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07/21/2008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CEO &amp;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5"/>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ROCKVILLE</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820" w:type="dxa"/>
            <w:vAlign w:val="bottom"/>
          </w:tcPr>
          <w:p>
            <w:pPr>
              <w:ind w:left="560"/>
              <w:spacing w:after="0"/>
              <w:rPr>
                <w:sz w:val="20"/>
                <w:szCs w:val="20"/>
                <w:color w:val="auto"/>
              </w:rPr>
            </w:pPr>
            <w:r>
              <w:rPr>
                <w:rFonts w:ascii="Arial" w:cs="Arial" w:eastAsia="Arial" w:hAnsi="Arial"/>
                <w:sz w:val="18"/>
                <w:szCs w:val="18"/>
                <w:color w:val="0000FF"/>
              </w:rPr>
              <w:t>20850</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180" w:type="dxa"/>
            <w:vAlign w:val="bottom"/>
            <w:gridSpan w:val="4"/>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80" w:type="dxa"/>
            <w:vAlign w:val="bottom"/>
            <w:gridSpan w:val="4"/>
            <w:vMerge w:val="restart"/>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1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2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Person</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48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2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00" w:type="dxa"/>
            <w:vAlign w:val="bottom"/>
            <w:gridSpan w:val="2"/>
          </w:tcPr>
          <w:p>
            <w:pPr>
              <w:ind w:left="1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0" w:type="dxa"/>
            <w:vAlign w:val="bottom"/>
            <w:gridSpan w:val="2"/>
          </w:tcPr>
          <w:p>
            <w:pPr>
              <w:ind w:left="11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0" w:type="dxa"/>
            <w:vAlign w:val="bottom"/>
            <w:gridSpan w:val="2"/>
          </w:tcPr>
          <w:p>
            <w:pPr>
              <w:jc w:val="center"/>
              <w:ind w:left="97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07/21/2008</w:t>
            </w:r>
          </w:p>
        </w:tc>
        <w:tc>
          <w:tcPr>
            <w:tcW w:w="1140" w:type="dxa"/>
            <w:vAlign w:val="bottom"/>
            <w:vMerge w:val="restart"/>
          </w:tcPr>
          <w:p>
            <w:pPr>
              <w:jc w:val="right"/>
              <w:ind w:right="81"/>
              <w:spacing w:after="0"/>
              <w:rPr>
                <w:sz w:val="20"/>
                <w:szCs w:val="20"/>
                <w:color w:val="auto"/>
              </w:rPr>
            </w:pPr>
            <w:r>
              <w:rPr>
                <w:rFonts w:ascii="Arial" w:cs="Arial" w:eastAsia="Arial" w:hAnsi="Arial"/>
                <w:sz w:val="18"/>
                <w:szCs w:val="18"/>
                <w:color w:val="0000FF"/>
              </w:rPr>
              <w:t>07/24/2008</w:t>
            </w: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100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12.64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7,943,735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07/22/2008</w:t>
            </w:r>
          </w:p>
        </w:tc>
        <w:tc>
          <w:tcPr>
            <w:tcW w:w="1140" w:type="dxa"/>
            <w:vAlign w:val="bottom"/>
            <w:vMerge w:val="restart"/>
          </w:tcPr>
          <w:p>
            <w:pPr>
              <w:jc w:val="right"/>
              <w:ind w:right="81"/>
              <w:spacing w:after="0"/>
              <w:rPr>
                <w:sz w:val="20"/>
                <w:szCs w:val="20"/>
                <w:color w:val="auto"/>
              </w:rPr>
            </w:pPr>
            <w:r>
              <w:rPr>
                <w:rFonts w:ascii="Arial" w:cs="Arial" w:eastAsia="Arial" w:hAnsi="Arial"/>
                <w:sz w:val="18"/>
                <w:szCs w:val="18"/>
                <w:color w:val="0000FF"/>
              </w:rPr>
              <w:t>07/25/2008</w:t>
            </w: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8,800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7,934,935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07/22/2008</w:t>
            </w:r>
          </w:p>
        </w:tc>
        <w:tc>
          <w:tcPr>
            <w:tcW w:w="1140" w:type="dxa"/>
            <w:vAlign w:val="bottom"/>
            <w:vMerge w:val="restart"/>
          </w:tcPr>
          <w:p>
            <w:pPr>
              <w:jc w:val="right"/>
              <w:ind w:right="81"/>
              <w:spacing w:after="0"/>
              <w:rPr>
                <w:sz w:val="20"/>
                <w:szCs w:val="20"/>
                <w:color w:val="auto"/>
              </w:rPr>
            </w:pPr>
            <w:r>
              <w:rPr>
                <w:rFonts w:ascii="Arial" w:cs="Arial" w:eastAsia="Arial" w:hAnsi="Arial"/>
                <w:sz w:val="18"/>
                <w:szCs w:val="18"/>
                <w:color w:val="0000FF"/>
              </w:rPr>
              <w:t>07/25/2008</w:t>
            </w: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500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12.51</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7,934,435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07/22/2008</w:t>
            </w:r>
          </w:p>
        </w:tc>
        <w:tc>
          <w:tcPr>
            <w:tcW w:w="1140" w:type="dxa"/>
            <w:vAlign w:val="bottom"/>
            <w:vMerge w:val="restart"/>
          </w:tcPr>
          <w:p>
            <w:pPr>
              <w:jc w:val="right"/>
              <w:ind w:right="81"/>
              <w:spacing w:after="0"/>
              <w:rPr>
                <w:sz w:val="20"/>
                <w:szCs w:val="20"/>
                <w:color w:val="auto"/>
              </w:rPr>
            </w:pPr>
            <w:r>
              <w:rPr>
                <w:rFonts w:ascii="Arial" w:cs="Arial" w:eastAsia="Arial" w:hAnsi="Arial"/>
                <w:sz w:val="18"/>
                <w:szCs w:val="18"/>
                <w:color w:val="0000FF"/>
              </w:rPr>
              <w:t>07/25/2008</w:t>
            </w: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100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12.54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7,934,335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07/22/2008</w:t>
            </w:r>
          </w:p>
        </w:tc>
        <w:tc>
          <w:tcPr>
            <w:tcW w:w="1140" w:type="dxa"/>
            <w:vAlign w:val="bottom"/>
            <w:vMerge w:val="restart"/>
          </w:tcPr>
          <w:p>
            <w:pPr>
              <w:jc w:val="right"/>
              <w:ind w:right="81"/>
              <w:spacing w:after="0"/>
              <w:rPr>
                <w:sz w:val="20"/>
                <w:szCs w:val="20"/>
                <w:color w:val="auto"/>
              </w:rPr>
            </w:pPr>
            <w:r>
              <w:rPr>
                <w:rFonts w:ascii="Arial" w:cs="Arial" w:eastAsia="Arial" w:hAnsi="Arial"/>
                <w:sz w:val="18"/>
                <w:szCs w:val="18"/>
                <w:color w:val="0000FF"/>
              </w:rPr>
              <w:t>07/25/2008</w:t>
            </w: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1,700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12.55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7,932,635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07/22/2008</w:t>
            </w:r>
          </w:p>
        </w:tc>
        <w:tc>
          <w:tcPr>
            <w:tcW w:w="1140" w:type="dxa"/>
            <w:vAlign w:val="bottom"/>
            <w:vMerge w:val="restart"/>
          </w:tcPr>
          <w:p>
            <w:pPr>
              <w:jc w:val="right"/>
              <w:ind w:right="81"/>
              <w:spacing w:after="0"/>
              <w:rPr>
                <w:sz w:val="20"/>
                <w:szCs w:val="20"/>
                <w:color w:val="auto"/>
              </w:rPr>
            </w:pPr>
            <w:r>
              <w:rPr>
                <w:rFonts w:ascii="Arial" w:cs="Arial" w:eastAsia="Arial" w:hAnsi="Arial"/>
                <w:sz w:val="18"/>
                <w:szCs w:val="18"/>
                <w:color w:val="0000FF"/>
              </w:rPr>
              <w:t>07/25/2008</w:t>
            </w: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500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12.56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7,932,135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07/22/2008</w:t>
            </w:r>
          </w:p>
        </w:tc>
        <w:tc>
          <w:tcPr>
            <w:tcW w:w="1140" w:type="dxa"/>
            <w:vAlign w:val="bottom"/>
            <w:vMerge w:val="restart"/>
          </w:tcPr>
          <w:p>
            <w:pPr>
              <w:jc w:val="right"/>
              <w:ind w:right="81"/>
              <w:spacing w:after="0"/>
              <w:rPr>
                <w:sz w:val="20"/>
                <w:szCs w:val="20"/>
                <w:color w:val="auto"/>
              </w:rPr>
            </w:pPr>
            <w:r>
              <w:rPr>
                <w:rFonts w:ascii="Arial" w:cs="Arial" w:eastAsia="Arial" w:hAnsi="Arial"/>
                <w:sz w:val="18"/>
                <w:szCs w:val="18"/>
                <w:color w:val="0000FF"/>
              </w:rPr>
              <w:t>07/25/2008</w:t>
            </w: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100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12.57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7,932,035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07/22/2008</w:t>
            </w:r>
          </w:p>
        </w:tc>
        <w:tc>
          <w:tcPr>
            <w:tcW w:w="1140" w:type="dxa"/>
            <w:vAlign w:val="bottom"/>
            <w:vMerge w:val="restart"/>
          </w:tcPr>
          <w:p>
            <w:pPr>
              <w:jc w:val="right"/>
              <w:ind w:right="81"/>
              <w:spacing w:after="0"/>
              <w:rPr>
                <w:sz w:val="20"/>
                <w:szCs w:val="20"/>
                <w:color w:val="auto"/>
              </w:rPr>
            </w:pPr>
            <w:r>
              <w:rPr>
                <w:rFonts w:ascii="Arial" w:cs="Arial" w:eastAsia="Arial" w:hAnsi="Arial"/>
                <w:sz w:val="18"/>
                <w:szCs w:val="18"/>
                <w:color w:val="0000FF"/>
              </w:rPr>
              <w:t>07/25/2008</w:t>
            </w: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100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12.58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7,931,935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07/22/2008</w:t>
            </w:r>
          </w:p>
        </w:tc>
        <w:tc>
          <w:tcPr>
            <w:tcW w:w="1140" w:type="dxa"/>
            <w:vAlign w:val="bottom"/>
            <w:vMerge w:val="restart"/>
          </w:tcPr>
          <w:p>
            <w:pPr>
              <w:jc w:val="right"/>
              <w:ind w:right="81"/>
              <w:spacing w:after="0"/>
              <w:rPr>
                <w:sz w:val="20"/>
                <w:szCs w:val="20"/>
                <w:color w:val="auto"/>
              </w:rPr>
            </w:pPr>
            <w:r>
              <w:rPr>
                <w:rFonts w:ascii="Arial" w:cs="Arial" w:eastAsia="Arial" w:hAnsi="Arial"/>
                <w:sz w:val="18"/>
                <w:szCs w:val="18"/>
                <w:color w:val="0000FF"/>
              </w:rPr>
              <w:t>07/25/2008</w:t>
            </w: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100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7,931,835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07/24/2008</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7"/>
              </w:rPr>
              <w:t>13,700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7,918,135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07/24/2008</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600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13.01</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7,917,535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07/24/2008</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300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13.02</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7,917,235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07/24/2008</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7,916,235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07/24/2008</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400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7,915,835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07/24/2008</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700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7,915,135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07/24/2008</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1,200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7,913,395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07/24/2008</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7,912,935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996"/>
              <w:spacing w:after="0"/>
              <w:rPr>
                <w:sz w:val="20"/>
                <w:szCs w:val="20"/>
                <w:color w:val="auto"/>
              </w:rPr>
            </w:pPr>
            <w:r>
              <w:rPr>
                <w:rFonts w:ascii="Arial" w:cs="Arial" w:eastAsia="Arial" w:hAnsi="Arial"/>
                <w:sz w:val="18"/>
                <w:szCs w:val="18"/>
                <w:color w:val="0000FF"/>
                <w:w w:val="88"/>
              </w:rPr>
              <w:t>07/24/2008</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300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7,912,635</w:t>
            </w:r>
            <w:r>
              <w:rPr>
                <w:rFonts w:ascii="Arial" w:cs="Arial" w:eastAsia="Arial" w:hAnsi="Arial"/>
                <w:sz w:val="22"/>
                <w:szCs w:val="22"/>
                <w:color w:val="008000"/>
                <w:w w:val="85"/>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683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6838950"/>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jc w:val="center"/>
              <w:ind w:left="36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80" w:type="dxa"/>
            <w:vAlign w:val="bottom"/>
            <w:gridSpan w:val="2"/>
            <w:vMerge w:val="restart"/>
          </w:tcPr>
          <w:p>
            <w:pPr>
              <w:jc w:val="center"/>
              <w:ind w:left="385"/>
              <w:spacing w:after="0"/>
              <w:rPr>
                <w:sz w:val="20"/>
                <w:szCs w:val="20"/>
                <w:color w:val="auto"/>
              </w:rPr>
            </w:pPr>
            <w:r>
              <w:rPr>
                <w:rFonts w:ascii="Arial" w:cs="Arial" w:eastAsia="Arial" w:hAnsi="Arial"/>
                <w:sz w:val="18"/>
                <w:szCs w:val="18"/>
                <w:color w:val="0000FF"/>
                <w:w w:val="88"/>
              </w:rPr>
              <w:t>07/24/2008</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93"/>
              </w:rPr>
              <w:t>300</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center"/>
              <w:ind w:left="25"/>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13.09</w:t>
            </w: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7,912,335</w:t>
            </w:r>
            <w:r>
              <w:rPr>
                <w:rFonts w:ascii="Arial" w:cs="Arial" w:eastAsia="Arial" w:hAnsi="Arial"/>
                <w:sz w:val="22"/>
                <w:szCs w:val="22"/>
                <w:color w:val="008000"/>
                <w:w w:val="85"/>
                <w:vertAlign w:val="superscript"/>
              </w:rPr>
              <w:t>(1)</w:t>
            </w:r>
          </w:p>
        </w:tc>
        <w:tc>
          <w:tcPr>
            <w:tcW w:w="320" w:type="dxa"/>
            <w:vAlign w:val="bottom"/>
          </w:tcPr>
          <w:p>
            <w:pPr>
              <w:spacing w:after="0"/>
              <w:rPr>
                <w:sz w:val="22"/>
                <w:szCs w:val="22"/>
                <w:color w:val="auto"/>
              </w:rPr>
            </w:pPr>
          </w:p>
        </w:tc>
        <w:tc>
          <w:tcPr>
            <w:tcW w:w="560" w:type="dxa"/>
            <w:vAlign w:val="bottom"/>
            <w:vMerge w:val="restart"/>
          </w:tcPr>
          <w:p>
            <w:pPr>
              <w:jc w:val="center"/>
              <w:ind w:right="282"/>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80" w:type="dxa"/>
            <w:vAlign w:val="bottom"/>
            <w:gridSpan w:val="2"/>
            <w:vMerge w:val="restart"/>
          </w:tcPr>
          <w:p>
            <w:pPr>
              <w:jc w:val="center"/>
              <w:ind w:left="385"/>
              <w:spacing w:after="0"/>
              <w:rPr>
                <w:sz w:val="20"/>
                <w:szCs w:val="20"/>
                <w:color w:val="auto"/>
              </w:rPr>
            </w:pPr>
            <w:r>
              <w:rPr>
                <w:rFonts w:ascii="Arial" w:cs="Arial" w:eastAsia="Arial" w:hAnsi="Arial"/>
                <w:sz w:val="18"/>
                <w:szCs w:val="18"/>
                <w:color w:val="0000FF"/>
                <w:w w:val="88"/>
              </w:rPr>
              <w:t>07/25/2008</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3,000</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jc w:val="center"/>
              <w:ind w:left="45"/>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13</w:t>
            </w:r>
          </w:p>
        </w:tc>
        <w:tc>
          <w:tcPr>
            <w:tcW w:w="2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7,909,335</w:t>
            </w:r>
            <w:r>
              <w:rPr>
                <w:rFonts w:ascii="Arial" w:cs="Arial" w:eastAsia="Arial" w:hAnsi="Arial"/>
                <w:sz w:val="22"/>
                <w:szCs w:val="22"/>
                <w:color w:val="008000"/>
                <w:w w:val="85"/>
                <w:vertAlign w:val="superscript"/>
              </w:rPr>
              <w:t>(1)</w:t>
            </w:r>
          </w:p>
        </w:tc>
        <w:tc>
          <w:tcPr>
            <w:tcW w:w="320" w:type="dxa"/>
            <w:vAlign w:val="bottom"/>
          </w:tcPr>
          <w:p>
            <w:pPr>
              <w:spacing w:after="0"/>
              <w:rPr>
                <w:sz w:val="22"/>
                <w:szCs w:val="22"/>
                <w:color w:val="auto"/>
              </w:rPr>
            </w:pPr>
          </w:p>
        </w:tc>
        <w:tc>
          <w:tcPr>
            <w:tcW w:w="560" w:type="dxa"/>
            <w:vAlign w:val="bottom"/>
            <w:vMerge w:val="restart"/>
          </w:tcPr>
          <w:p>
            <w:pPr>
              <w:jc w:val="center"/>
              <w:ind w:right="282"/>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80" w:type="dxa"/>
            <w:vAlign w:val="bottom"/>
            <w:gridSpan w:val="2"/>
            <w:vMerge w:val="restart"/>
          </w:tcPr>
          <w:p>
            <w:pPr>
              <w:jc w:val="center"/>
              <w:ind w:left="385"/>
              <w:spacing w:after="0"/>
              <w:rPr>
                <w:sz w:val="20"/>
                <w:szCs w:val="20"/>
                <w:color w:val="auto"/>
              </w:rPr>
            </w:pPr>
            <w:r>
              <w:rPr>
                <w:rFonts w:ascii="Arial" w:cs="Arial" w:eastAsia="Arial" w:hAnsi="Arial"/>
                <w:sz w:val="18"/>
                <w:szCs w:val="18"/>
                <w:color w:val="0000FF"/>
                <w:w w:val="88"/>
              </w:rPr>
              <w:t>07/25/2008</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93"/>
              </w:rPr>
              <w:t>700</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center"/>
              <w:ind w:left="25"/>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13.01</w:t>
            </w: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7,908,635</w:t>
            </w:r>
            <w:r>
              <w:rPr>
                <w:rFonts w:ascii="Arial" w:cs="Arial" w:eastAsia="Arial" w:hAnsi="Arial"/>
                <w:sz w:val="22"/>
                <w:szCs w:val="22"/>
                <w:color w:val="008000"/>
                <w:w w:val="85"/>
                <w:vertAlign w:val="superscript"/>
              </w:rPr>
              <w:t>(1)</w:t>
            </w:r>
          </w:p>
        </w:tc>
        <w:tc>
          <w:tcPr>
            <w:tcW w:w="320" w:type="dxa"/>
            <w:vAlign w:val="bottom"/>
          </w:tcPr>
          <w:p>
            <w:pPr>
              <w:spacing w:after="0"/>
              <w:rPr>
                <w:sz w:val="22"/>
                <w:szCs w:val="22"/>
                <w:color w:val="auto"/>
              </w:rPr>
            </w:pPr>
          </w:p>
        </w:tc>
        <w:tc>
          <w:tcPr>
            <w:tcW w:w="560" w:type="dxa"/>
            <w:vAlign w:val="bottom"/>
            <w:vMerge w:val="restart"/>
          </w:tcPr>
          <w:p>
            <w:pPr>
              <w:jc w:val="center"/>
              <w:ind w:right="282"/>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80" w:type="dxa"/>
            <w:vAlign w:val="bottom"/>
            <w:gridSpan w:val="2"/>
            <w:vMerge w:val="restart"/>
          </w:tcPr>
          <w:p>
            <w:pPr>
              <w:jc w:val="center"/>
              <w:ind w:left="385"/>
              <w:spacing w:after="0"/>
              <w:rPr>
                <w:sz w:val="20"/>
                <w:szCs w:val="20"/>
                <w:color w:val="auto"/>
              </w:rPr>
            </w:pPr>
            <w:r>
              <w:rPr>
                <w:rFonts w:ascii="Arial" w:cs="Arial" w:eastAsia="Arial" w:hAnsi="Arial"/>
                <w:sz w:val="18"/>
                <w:szCs w:val="18"/>
                <w:color w:val="0000FF"/>
                <w:w w:val="88"/>
              </w:rPr>
              <w:t>07/25/2008</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center"/>
              <w:ind w:left="25"/>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13.02</w:t>
            </w: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7,907,635</w:t>
            </w:r>
            <w:r>
              <w:rPr>
                <w:rFonts w:ascii="Arial" w:cs="Arial" w:eastAsia="Arial" w:hAnsi="Arial"/>
                <w:sz w:val="22"/>
                <w:szCs w:val="22"/>
                <w:color w:val="008000"/>
                <w:w w:val="85"/>
                <w:vertAlign w:val="superscript"/>
              </w:rPr>
              <w:t>(1)</w:t>
            </w:r>
          </w:p>
        </w:tc>
        <w:tc>
          <w:tcPr>
            <w:tcW w:w="320" w:type="dxa"/>
            <w:vAlign w:val="bottom"/>
          </w:tcPr>
          <w:p>
            <w:pPr>
              <w:spacing w:after="0"/>
              <w:rPr>
                <w:sz w:val="22"/>
                <w:szCs w:val="22"/>
                <w:color w:val="auto"/>
              </w:rPr>
            </w:pPr>
          </w:p>
        </w:tc>
        <w:tc>
          <w:tcPr>
            <w:tcW w:w="560" w:type="dxa"/>
            <w:vAlign w:val="bottom"/>
            <w:vMerge w:val="restart"/>
          </w:tcPr>
          <w:p>
            <w:pPr>
              <w:jc w:val="center"/>
              <w:ind w:right="282"/>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80" w:type="dxa"/>
            <w:vAlign w:val="bottom"/>
            <w:gridSpan w:val="2"/>
            <w:vMerge w:val="restart"/>
          </w:tcPr>
          <w:p>
            <w:pPr>
              <w:jc w:val="center"/>
              <w:ind w:left="385"/>
              <w:spacing w:after="0"/>
              <w:rPr>
                <w:sz w:val="20"/>
                <w:szCs w:val="20"/>
                <w:color w:val="auto"/>
              </w:rPr>
            </w:pPr>
            <w:r>
              <w:rPr>
                <w:rFonts w:ascii="Arial" w:cs="Arial" w:eastAsia="Arial" w:hAnsi="Arial"/>
                <w:sz w:val="18"/>
                <w:szCs w:val="18"/>
                <w:color w:val="0000FF"/>
                <w:w w:val="88"/>
              </w:rPr>
              <w:t>07/25/2008</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93"/>
              </w:rPr>
              <w:t>300</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center"/>
              <w:ind w:left="25"/>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13.03</w:t>
            </w: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7,907,335</w:t>
            </w:r>
            <w:r>
              <w:rPr>
                <w:rFonts w:ascii="Arial" w:cs="Arial" w:eastAsia="Arial" w:hAnsi="Arial"/>
                <w:sz w:val="22"/>
                <w:szCs w:val="22"/>
                <w:color w:val="008000"/>
                <w:w w:val="85"/>
                <w:vertAlign w:val="superscript"/>
              </w:rPr>
              <w:t>(1)</w:t>
            </w:r>
          </w:p>
        </w:tc>
        <w:tc>
          <w:tcPr>
            <w:tcW w:w="320" w:type="dxa"/>
            <w:vAlign w:val="bottom"/>
          </w:tcPr>
          <w:p>
            <w:pPr>
              <w:spacing w:after="0"/>
              <w:rPr>
                <w:sz w:val="22"/>
                <w:szCs w:val="22"/>
                <w:color w:val="auto"/>
              </w:rPr>
            </w:pPr>
          </w:p>
        </w:tc>
        <w:tc>
          <w:tcPr>
            <w:tcW w:w="560" w:type="dxa"/>
            <w:vAlign w:val="bottom"/>
            <w:vMerge w:val="restart"/>
          </w:tcPr>
          <w:p>
            <w:pPr>
              <w:jc w:val="center"/>
              <w:ind w:right="282"/>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80" w:type="dxa"/>
            <w:vAlign w:val="bottom"/>
            <w:gridSpan w:val="2"/>
            <w:vMerge w:val="restart"/>
          </w:tcPr>
          <w:p>
            <w:pPr>
              <w:jc w:val="center"/>
              <w:ind w:left="385"/>
              <w:spacing w:after="0"/>
              <w:rPr>
                <w:sz w:val="20"/>
                <w:szCs w:val="20"/>
                <w:color w:val="auto"/>
              </w:rPr>
            </w:pPr>
            <w:r>
              <w:rPr>
                <w:rFonts w:ascii="Arial" w:cs="Arial" w:eastAsia="Arial" w:hAnsi="Arial"/>
                <w:sz w:val="18"/>
                <w:szCs w:val="18"/>
                <w:color w:val="0000FF"/>
                <w:w w:val="88"/>
              </w:rPr>
              <w:t>07/25/2008</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93"/>
              </w:rPr>
              <w:t>200</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center"/>
              <w:ind w:left="25"/>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13.05</w:t>
            </w: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7,907,135</w:t>
            </w:r>
            <w:r>
              <w:rPr>
                <w:rFonts w:ascii="Arial" w:cs="Arial" w:eastAsia="Arial" w:hAnsi="Arial"/>
                <w:sz w:val="22"/>
                <w:szCs w:val="22"/>
                <w:color w:val="008000"/>
                <w:w w:val="85"/>
                <w:vertAlign w:val="superscript"/>
              </w:rPr>
              <w:t>(1)</w:t>
            </w:r>
          </w:p>
        </w:tc>
        <w:tc>
          <w:tcPr>
            <w:tcW w:w="320" w:type="dxa"/>
            <w:vAlign w:val="bottom"/>
          </w:tcPr>
          <w:p>
            <w:pPr>
              <w:spacing w:after="0"/>
              <w:rPr>
                <w:sz w:val="22"/>
                <w:szCs w:val="22"/>
                <w:color w:val="auto"/>
              </w:rPr>
            </w:pPr>
          </w:p>
        </w:tc>
        <w:tc>
          <w:tcPr>
            <w:tcW w:w="560" w:type="dxa"/>
            <w:vAlign w:val="bottom"/>
            <w:vMerge w:val="restart"/>
          </w:tcPr>
          <w:p>
            <w:pPr>
              <w:jc w:val="center"/>
              <w:ind w:right="282"/>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80" w:type="dxa"/>
            <w:vAlign w:val="bottom"/>
            <w:gridSpan w:val="2"/>
            <w:vMerge w:val="restart"/>
          </w:tcPr>
          <w:p>
            <w:pPr>
              <w:jc w:val="center"/>
              <w:ind w:left="385"/>
              <w:spacing w:after="0"/>
              <w:rPr>
                <w:sz w:val="20"/>
                <w:szCs w:val="20"/>
                <w:color w:val="auto"/>
              </w:rPr>
            </w:pPr>
            <w:r>
              <w:rPr>
                <w:rFonts w:ascii="Arial" w:cs="Arial" w:eastAsia="Arial" w:hAnsi="Arial"/>
                <w:sz w:val="18"/>
                <w:szCs w:val="18"/>
                <w:color w:val="0000FF"/>
                <w:w w:val="88"/>
              </w:rPr>
              <w:t>07/25/2008</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93"/>
              </w:rPr>
              <w:t>200</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jc w:val="center"/>
              <w:ind w:left="45"/>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13.1</w:t>
            </w:r>
          </w:p>
        </w:tc>
        <w:tc>
          <w:tcPr>
            <w:tcW w:w="2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7,906,935</w:t>
            </w:r>
            <w:r>
              <w:rPr>
                <w:rFonts w:ascii="Arial" w:cs="Arial" w:eastAsia="Arial" w:hAnsi="Arial"/>
                <w:sz w:val="22"/>
                <w:szCs w:val="22"/>
                <w:color w:val="008000"/>
                <w:w w:val="85"/>
                <w:vertAlign w:val="superscript"/>
              </w:rPr>
              <w:t>(1)</w:t>
            </w:r>
          </w:p>
        </w:tc>
        <w:tc>
          <w:tcPr>
            <w:tcW w:w="320" w:type="dxa"/>
            <w:vAlign w:val="bottom"/>
          </w:tcPr>
          <w:p>
            <w:pPr>
              <w:spacing w:after="0"/>
              <w:rPr>
                <w:sz w:val="22"/>
                <w:szCs w:val="22"/>
                <w:color w:val="auto"/>
              </w:rPr>
            </w:pPr>
          </w:p>
        </w:tc>
        <w:tc>
          <w:tcPr>
            <w:tcW w:w="560" w:type="dxa"/>
            <w:vAlign w:val="bottom"/>
            <w:vMerge w:val="restart"/>
          </w:tcPr>
          <w:p>
            <w:pPr>
              <w:jc w:val="center"/>
              <w:ind w:right="282"/>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246,992</w:t>
            </w:r>
            <w:r>
              <w:rPr>
                <w:rFonts w:ascii="Arial" w:cs="Arial" w:eastAsia="Arial" w:hAnsi="Arial"/>
                <w:sz w:val="22"/>
                <w:szCs w:val="22"/>
                <w:color w:val="008000"/>
                <w:w w:val="84"/>
                <w:vertAlign w:val="superscript"/>
              </w:rPr>
              <w:t>(2)</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2"/>
              <w:spacing w:after="0"/>
              <w:rPr>
                <w:sz w:val="20"/>
                <w:szCs w:val="20"/>
                <w:color w:val="auto"/>
              </w:rPr>
            </w:pPr>
            <w:r>
              <w:rPr>
                <w:rFonts w:ascii="Arial" w:cs="Arial" w:eastAsia="Arial" w:hAnsi="Arial"/>
                <w:sz w:val="18"/>
                <w:szCs w:val="18"/>
                <w:color w:val="0000FF"/>
                <w:w w:val="91"/>
              </w:rPr>
              <w:t>D</w:t>
            </w:r>
          </w:p>
        </w:tc>
        <w:tc>
          <w:tcPr>
            <w:tcW w:w="3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0000FF"/>
              </w:rPr>
              <w:t>By</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3,665,043</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560" w:type="dxa"/>
            <w:vAlign w:val="bottom"/>
          </w:tcPr>
          <w:p>
            <w:pPr>
              <w:jc w:val="center"/>
              <w:ind w:right="282"/>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BioPharm,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1,599,155</w:t>
            </w:r>
            <w:r>
              <w:rPr>
                <w:rFonts w:ascii="Arial" w:cs="Arial" w:eastAsia="Arial" w:hAnsi="Arial"/>
                <w:sz w:val="22"/>
                <w:szCs w:val="22"/>
                <w:color w:val="008000"/>
                <w:w w:val="85"/>
                <w:vertAlign w:val="superscript"/>
              </w:rPr>
              <w:t>(3)</w:t>
            </w:r>
          </w:p>
        </w:tc>
        <w:tc>
          <w:tcPr>
            <w:tcW w:w="320" w:type="dxa"/>
            <w:vAlign w:val="bottom"/>
          </w:tcPr>
          <w:p>
            <w:pPr>
              <w:spacing w:after="0"/>
              <w:rPr>
                <w:sz w:val="22"/>
                <w:szCs w:val="22"/>
                <w:color w:val="auto"/>
              </w:rPr>
            </w:pPr>
          </w:p>
        </w:tc>
        <w:tc>
          <w:tcPr>
            <w:tcW w:w="560" w:type="dxa"/>
            <w:vAlign w:val="bottom"/>
            <w:vMerge w:val="restart"/>
          </w:tcPr>
          <w:p>
            <w:pPr>
              <w:jc w:val="center"/>
              <w:ind w:right="282"/>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Biovac,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719,275</w:t>
            </w:r>
            <w:r>
              <w:rPr>
                <w:rFonts w:ascii="Arial" w:cs="Arial" w:eastAsia="Arial" w:hAnsi="Arial"/>
                <w:sz w:val="22"/>
                <w:szCs w:val="22"/>
                <w:color w:val="008000"/>
                <w:w w:val="84"/>
                <w:vertAlign w:val="superscript"/>
              </w:rPr>
              <w:t>(4)</w:t>
            </w:r>
          </w:p>
        </w:tc>
        <w:tc>
          <w:tcPr>
            <w:tcW w:w="320" w:type="dxa"/>
            <w:vAlign w:val="bottom"/>
          </w:tcPr>
          <w:p>
            <w:pPr>
              <w:spacing w:after="0"/>
              <w:rPr>
                <w:sz w:val="18"/>
                <w:szCs w:val="18"/>
                <w:color w:val="auto"/>
              </w:rPr>
            </w:pPr>
          </w:p>
        </w:tc>
        <w:tc>
          <w:tcPr>
            <w:tcW w:w="560" w:type="dxa"/>
            <w:vAlign w:val="bottom"/>
          </w:tcPr>
          <w:p>
            <w:pPr>
              <w:jc w:val="center"/>
              <w:ind w:right="282"/>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5"/>
              </w:rPr>
              <w:t>Managment,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 adopted by Intervac, L.L.C. on June 13, 2008. Intervac, L.L.C. was the direct owner of the shares of Common Stock sold pursuant to the Rule 10b5-1 trading plan, and was or is the direct owner of the shares of Common Stock reported as beneficially owned immediately following each of the reported sales. Both before and after the reported sales, Mr. El-Hibri held, individually and with his wife, as tenants by the entirety, an aggregate 38.0276% equity interest in Intervac, L.L.C. Mr. El-Hibri disclaims beneficial ownership of the shares of Common Stock directly owned by Intervac, L.L.C. for purposes of Section 16, except to the extent of his pecuniary interest therein.</w:t>
      </w:r>
    </w:p>
    <w:p>
      <w:pPr>
        <w:spacing w:after="0" w:line="8"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is the holder of a 40.17% (567,582.3 units) equity interest in BioPharm, L.L.C. BioPharm, L.L.C. is the direct owner of 3,665,043 shares of Common Stock. Mr. El-Hibri disclaims beneficial ownership of these shares for purposes of Section 16, except to the extent of his pecuniary interest in 1,472,248 shares.</w:t>
      </w:r>
    </w:p>
    <w:p>
      <w:pPr>
        <w:spacing w:after="0" w:line="30" w:lineRule="exact"/>
        <w:rPr>
          <w:rFonts w:ascii="Arial" w:cs="Arial" w:eastAsia="Arial" w:hAnsi="Arial"/>
          <w:sz w:val="14"/>
          <w:szCs w:val="14"/>
          <w:color w:val="008000"/>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holds with his wife, as tenants by the entirety, a 89.2% equity interest in Biovac, L.L.C. Biovac, L.L.C. is the direct owner of 1,599,155 shares of Common Stock. Mr. El-Hibri disclaims beneficial ownership of these shares for purposes of Section 16, except to the extent of his pecuniary interest in 1,426,446 shares.</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holds with his wife, as tenants by the entirety, a 31.11% equity interest in Intervac Management, L.L.C. Intervac Management, L.L.C. is the direct owner of 719,275 shares of Common Stock. Mr. El-Hibri disclaims beneficial ownership of these shares for purposes of Section 16, except to the extent of his pecuniary interest in 223,766 shares.</w:t>
      </w:r>
    </w:p>
    <w:p>
      <w:pPr>
        <w:ind w:left="6860"/>
        <w:spacing w:after="0" w:line="183" w:lineRule="auto"/>
        <w:rPr>
          <w:sz w:val="20"/>
          <w:szCs w:val="20"/>
          <w:color w:val="auto"/>
        </w:rPr>
      </w:pPr>
      <w:r>
        <w:rPr>
          <w:rFonts w:ascii="Arial" w:cs="Arial" w:eastAsia="Arial" w:hAnsi="Arial"/>
          <w:sz w:val="17"/>
          <w:szCs w:val="17"/>
          <w:color w:val="0000FF"/>
        </w:rPr>
        <w:t xml:space="preserve">/s/Denise Esposito, attorney-in- </w:t>
      </w:r>
      <w:r>
        <w:rPr>
          <w:rFonts w:ascii="Arial" w:cs="Arial" w:eastAsia="Arial" w:hAnsi="Arial"/>
          <w:sz w:val="33"/>
          <w:szCs w:val="33"/>
          <w:color w:val="0000FF"/>
          <w:vertAlign w:val="subscript"/>
        </w:rPr>
        <w:t>07/28/2008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8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2019-12-18T13:32:58Z</dcterms:created>
  <dcterms:modified xsi:type="dcterms:W3CDTF">2019-12-18T13:32:58Z</dcterms:modified>
</cp:coreProperties>
</file>