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Kirk Sean</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Arial" w:cs="Arial" w:eastAsia="Arial" w:hAnsi="Arial"/>
                <w:sz w:val="20"/>
                <w:szCs w:val="20"/>
                <w:color w:val="0000FF"/>
              </w:rPr>
              <w:t>03/05/2020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Emergent BioSolutions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EBS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6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06"/>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400 PROFESSIONAL DRIVE,</w:t>
            </w:r>
          </w:p>
        </w:tc>
      </w:tr>
      <w:tr>
        <w:trPr>
          <w:trHeight w:val="248"/>
        </w:trPr>
        <w:tc>
          <w:tcPr>
            <w:tcW w:w="1000" w:type="dxa"/>
            <w:vAlign w:val="bottom"/>
          </w:tcPr>
          <w:p>
            <w:pPr>
              <w:ind w:left="40"/>
              <w:spacing w:after="0"/>
              <w:rPr>
                <w:sz w:val="20"/>
                <w:szCs w:val="20"/>
                <w:color w:val="auto"/>
              </w:rPr>
            </w:pPr>
            <w:r>
              <w:rPr>
                <w:rFonts w:ascii="Arial" w:cs="Arial" w:eastAsia="Arial" w:hAnsi="Arial"/>
                <w:sz w:val="20"/>
                <w:szCs w:val="20"/>
                <w:color w:val="0000FF"/>
                <w:w w:val="96"/>
              </w:rPr>
              <w:t>SUITE 400</w:t>
            </w: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100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299"/>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9"/>
        </w:trPr>
        <w:tc>
          <w:tcPr>
            <w:tcW w:w="2000" w:type="dxa"/>
            <w:vAlign w:val="bottom"/>
            <w:gridSpan w:val="2"/>
          </w:tcPr>
          <w:p>
            <w:pPr>
              <w:ind w:left="40"/>
              <w:spacing w:after="0"/>
              <w:rPr>
                <w:sz w:val="20"/>
                <w:szCs w:val="20"/>
                <w:color w:val="auto"/>
              </w:rPr>
            </w:pPr>
            <w:r>
              <w:rPr>
                <w:rFonts w:ascii="Arial" w:cs="Arial" w:eastAsia="Arial" w:hAnsi="Arial"/>
                <w:sz w:val="20"/>
                <w:szCs w:val="20"/>
                <w:color w:val="0000FF"/>
                <w:w w:val="98"/>
              </w:rPr>
              <w:t>GAITHERSBURG MD</w:t>
            </w:r>
          </w:p>
        </w:tc>
        <w:tc>
          <w:tcPr>
            <w:tcW w:w="1100" w:type="dxa"/>
            <w:vAlign w:val="bottom"/>
          </w:tcPr>
          <w:p>
            <w:pPr>
              <w:jc w:val="right"/>
              <w:ind w:right="217"/>
              <w:spacing w:after="0"/>
              <w:rPr>
                <w:sz w:val="20"/>
                <w:szCs w:val="20"/>
                <w:color w:val="auto"/>
              </w:rPr>
            </w:pPr>
            <w:r>
              <w:rPr>
                <w:rFonts w:ascii="Arial" w:cs="Arial" w:eastAsia="Arial" w:hAnsi="Arial"/>
                <w:sz w:val="20"/>
                <w:szCs w:val="20"/>
                <w:color w:val="0000FF"/>
              </w:rPr>
              <w:t>20879</w:t>
            </w:r>
          </w:p>
        </w:tc>
      </w:tr>
      <w:tr>
        <w:trPr>
          <w:trHeight w:val="177"/>
        </w:trPr>
        <w:tc>
          <w:tcPr>
            <w:tcW w:w="10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4"/>
        </w:trPr>
        <w:tc>
          <w:tcPr>
            <w:tcW w:w="1000" w:type="dxa"/>
            <w:vAlign w:val="bottom"/>
          </w:tcPr>
          <w:p>
            <w:pPr>
              <w:ind w:left="40"/>
              <w:spacing w:after="0"/>
              <w:rPr>
                <w:sz w:val="20"/>
                <w:szCs w:val="20"/>
                <w:color w:val="auto"/>
              </w:rPr>
            </w:pPr>
            <w:r>
              <w:rPr>
                <w:rFonts w:ascii="Arial" w:cs="Arial" w:eastAsia="Arial" w:hAnsi="Arial"/>
                <w:sz w:val="15"/>
                <w:szCs w:val="15"/>
                <w:color w:val="auto"/>
              </w:rPr>
              <w:t>(City)</w:t>
            </w:r>
          </w:p>
        </w:tc>
        <w:tc>
          <w:tcPr>
            <w:tcW w:w="1000" w:type="dxa"/>
            <w:vAlign w:val="bottom"/>
          </w:tcPr>
          <w:p>
            <w:pPr>
              <w:ind w:left="6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263"/>
        <w:spacing w:after="0"/>
        <w:rPr>
          <w:sz w:val="20"/>
          <w:szCs w:val="20"/>
          <w:color w:val="auto"/>
        </w:rPr>
      </w:pPr>
      <w:r>
        <w:rPr>
          <w:rFonts w:ascii="Arial" w:cs="Arial" w:eastAsia="Arial" w:hAnsi="Arial"/>
          <w:sz w:val="18"/>
          <w:szCs w:val="18"/>
          <w:color w:val="0000FF"/>
        </w:rPr>
        <w:t>EVP, Manufacturing &amp; Tech Ops</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06/03/2019</w:t>
      </w:r>
    </w:p>
    <w:p>
      <w:pPr>
        <w:spacing w:after="0" w:line="318"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60"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77" w:lineRule="exact"/>
        <w:rPr>
          <w:sz w:val="24"/>
          <w:szCs w:val="24"/>
          <w:color w:val="auto"/>
        </w:rPr>
      </w:pPr>
    </w:p>
    <w:p>
      <w:pPr>
        <w:sectPr>
          <w:pgSz w:w="11900" w:h="16838" w:orient="portrait"/>
          <w:cols w:equalWidth="0" w:num="3">
            <w:col w:w="4277" w:space="720"/>
            <w:col w:w="3003" w:space="260"/>
            <w:col w:w="268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80"/>
              <w:spacing w:after="0"/>
              <w:rPr>
                <w:sz w:val="20"/>
                <w:szCs w:val="20"/>
                <w:color w:val="auto"/>
              </w:rPr>
            </w:pPr>
            <w:r>
              <w:rPr>
                <w:rFonts w:ascii="Arial" w:cs="Arial" w:eastAsia="Arial" w:hAnsi="Arial"/>
                <w:sz w:val="20"/>
                <w:szCs w:val="20"/>
                <w:color w:val="0000FF"/>
              </w:rPr>
              <w:t>12,180</w:t>
            </w:r>
            <w:r>
              <w:rPr>
                <w:rFonts w:ascii="Arial" w:cs="Arial" w:eastAsia="Arial" w:hAnsi="Arial"/>
                <w:sz w:val="25"/>
                <w:szCs w:val="25"/>
                <w:color w:val="008000"/>
                <w:vertAlign w:val="superscript"/>
              </w:rPr>
              <w:t>(1)(2)</w:t>
            </w:r>
          </w:p>
        </w:tc>
        <w:tc>
          <w:tcPr>
            <w:tcW w:w="90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w w:val="99"/>
              </w:rPr>
              <w:t>Employee Stock Options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03/31/2026</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w w:val="90"/>
              </w:rPr>
              <w:t>5,696</w:t>
            </w:r>
            <w:r>
              <w:rPr>
                <w:rFonts w:ascii="Arial" w:cs="Arial" w:eastAsia="Arial" w:hAnsi="Arial"/>
                <w:sz w:val="25"/>
                <w:szCs w:val="25"/>
                <w:color w:val="008000"/>
                <w:w w:val="90"/>
                <w:vertAlign w:val="superscript"/>
              </w:rPr>
              <w:t>(2)</w:t>
            </w:r>
          </w:p>
        </w:tc>
        <w:tc>
          <w:tcPr>
            <w:tcW w:w="6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Arial" w:cs="Arial" w:eastAsia="Arial" w:hAnsi="Arial"/>
                <w:sz w:val="20"/>
                <w:szCs w:val="20"/>
                <w:color w:val="0000FF"/>
              </w:rPr>
              <w:t>50.52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97" w:lineRule="auto"/>
        <w:tabs>
          <w:tab w:leader="none" w:pos="19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Consists of 2,933 shares, 1,424 unvested PSUs and 7,823 unvested RSUs granted from the Emergent Stock Incentive Plan. Each RSU and each PSU represents a right to receive one share of common stock. The PSUs vest upon achievement with respect to adjusted net income as a percentage of GAAP revenue for the 2021 fiscal year, as certified by the Compensation Committee following the performance period. The RSUs vest in three equal installments annually on the day prior to the anniversary date of the grant.</w:t>
      </w: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 amount reported herein has been amended to reflect a corrected share total from the form 3 filed on June 3,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Vests in three equal installments beginning on the day prior to the anniversary date of the grant.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 Scott Lieberman,</w:t>
            </w:r>
          </w:p>
        </w:tc>
        <w:tc>
          <w:tcPr>
            <w:tcW w:w="4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8426" TargetMode="External"/><Relationship Id="rId11"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2020-03-06T15:43:14Z</dcterms:created>
  <dcterms:modified xsi:type="dcterms:W3CDTF">2020-03-06T15:43:14Z</dcterms:modified>
</cp:coreProperties>
</file>