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300"/>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Arial" w:cs="Arial" w:eastAsia="Arial" w:hAnsi="Arial"/>
                <w:sz w:val="18"/>
                <w:szCs w:val="18"/>
                <w:b w:val="1"/>
                <w:bCs w:val="1"/>
                <w:color w:val="auto"/>
              </w:rPr>
              <w:t>For the transition period from to</w:t>
            </w:r>
          </w:p>
        </w:tc>
        <w:tc>
          <w:tcPr>
            <w:tcW w:w="1440" w:type="dxa"/>
            <w:vAlign w:val="bottom"/>
          </w:tcPr>
          <w:p>
            <w:pPr>
              <w:spacing w:after="0"/>
              <w:rPr>
                <w:sz w:val="20"/>
                <w:szCs w:val="20"/>
                <w:color w:val="auto"/>
              </w:rPr>
            </w:pPr>
          </w:p>
        </w:tc>
      </w:tr>
      <w:tr>
        <w:trPr>
          <w:trHeight w:val="441"/>
        </w:trPr>
        <w:tc>
          <w:tcPr>
            <w:tcW w:w="6820" w:type="dxa"/>
            <w:vAlign w:val="bottom"/>
          </w:tcPr>
          <w:p>
            <w:pPr>
              <w:jc w:val="center"/>
              <w:ind w:left="2550"/>
              <w:spacing w:after="0"/>
              <w:rPr>
                <w:sz w:val="20"/>
                <w:szCs w:val="20"/>
                <w:color w:val="auto"/>
              </w:rPr>
            </w:pPr>
            <w:r>
              <w:rPr>
                <w:rFonts w:ascii="Arial" w:cs="Arial" w:eastAsia="Arial" w:hAnsi="Arial"/>
                <w:sz w:val="18"/>
                <w:szCs w:val="18"/>
                <w:b w:val="1"/>
                <w:bCs w:val="1"/>
                <w:color w:val="auto"/>
                <w:w w:val="90"/>
              </w:rPr>
              <w:t>Commission file number: 001-33137</w:t>
            </w:r>
          </w:p>
        </w:tc>
        <w:tc>
          <w:tcPr>
            <w:tcW w:w="1440" w:type="dxa"/>
            <w:vAlign w:val="bottom"/>
          </w:tcPr>
          <w:p>
            <w:pPr>
              <w:spacing w:after="0"/>
              <w:rPr>
                <w:sz w:val="24"/>
                <w:szCs w:val="24"/>
                <w:color w:val="auto"/>
              </w:rPr>
            </w:pPr>
          </w:p>
        </w:tc>
      </w:tr>
      <w:tr>
        <w:trPr>
          <w:trHeight w:val="220"/>
        </w:trPr>
        <w:tc>
          <w:tcPr>
            <w:tcW w:w="6820" w:type="dxa"/>
            <w:vAlign w:val="bottom"/>
          </w:tcPr>
          <w:p>
            <w:pPr>
              <w:jc w:val="center"/>
              <w:ind w:left="2550"/>
              <w:spacing w:after="0"/>
              <w:rPr>
                <w:sz w:val="20"/>
                <w:szCs w:val="20"/>
                <w:color w:val="auto"/>
              </w:rPr>
            </w:pPr>
            <w:r>
              <w:rPr>
                <w:rFonts w:ascii="Arial" w:cs="Arial" w:eastAsia="Arial" w:hAnsi="Arial"/>
                <w:sz w:val="18"/>
                <w:szCs w:val="18"/>
                <w:b w:val="1"/>
                <w:bCs w:val="1"/>
                <w:color w:val="auto"/>
              </w:rPr>
              <w:t>EMERGENT BIOSOLUTIONS INC.</w:t>
            </w:r>
          </w:p>
        </w:tc>
        <w:tc>
          <w:tcPr>
            <w:tcW w:w="1440" w:type="dxa"/>
            <w:vAlign w:val="bottom"/>
          </w:tcPr>
          <w:p>
            <w:pPr>
              <w:spacing w:after="0"/>
              <w:rPr>
                <w:sz w:val="19"/>
                <w:szCs w:val="19"/>
                <w:color w:val="auto"/>
              </w:rPr>
            </w:pPr>
          </w:p>
        </w:tc>
      </w:tr>
      <w:tr>
        <w:trPr>
          <w:trHeight w:val="230"/>
        </w:trPr>
        <w:tc>
          <w:tcPr>
            <w:tcW w:w="6820" w:type="dxa"/>
            <w:vAlign w:val="bottom"/>
          </w:tcPr>
          <w:p>
            <w:pPr>
              <w:jc w:val="center"/>
              <w:ind w:left="255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1440" w:type="dxa"/>
            <w:vAlign w:val="bottom"/>
          </w:tcPr>
          <w:p>
            <w:pPr>
              <w:spacing w:after="0"/>
              <w:rPr>
                <w:sz w:val="20"/>
                <w:szCs w:val="20"/>
                <w:color w:val="auto"/>
              </w:rPr>
            </w:pPr>
          </w:p>
        </w:tc>
      </w:tr>
      <w:tr>
        <w:trPr>
          <w:trHeight w:val="445"/>
        </w:trPr>
        <w:tc>
          <w:tcPr>
            <w:tcW w:w="6820" w:type="dxa"/>
            <w:vAlign w:val="bottom"/>
          </w:tcPr>
          <w:p>
            <w:pPr>
              <w:jc w:val="center"/>
              <w:ind w:right="297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14-1902018</w:t>
            </w:r>
          </w:p>
        </w:tc>
      </w:tr>
      <w:tr>
        <w:trPr>
          <w:trHeight w:val="216"/>
        </w:trPr>
        <w:tc>
          <w:tcPr>
            <w:tcW w:w="6820" w:type="dxa"/>
            <w:vAlign w:val="bottom"/>
          </w:tcPr>
          <w:p>
            <w:pPr>
              <w:jc w:val="center"/>
              <w:ind w:right="2950"/>
              <w:spacing w:after="0"/>
              <w:rPr>
                <w:sz w:val="20"/>
                <w:szCs w:val="20"/>
                <w:color w:val="auto"/>
              </w:rPr>
            </w:pPr>
            <w:r>
              <w:rPr>
                <w:rFonts w:ascii="Arial" w:cs="Arial" w:eastAsia="Arial" w:hAnsi="Arial"/>
                <w:sz w:val="18"/>
                <w:szCs w:val="18"/>
                <w:i w:val="1"/>
                <w:iCs w:val="1"/>
                <w:color w:val="auto"/>
                <w:w w:val="93"/>
              </w:rPr>
              <w:t>(State or Other Jurisdiction of</w:t>
            </w:r>
          </w:p>
        </w:tc>
        <w:tc>
          <w:tcPr>
            <w:tcW w:w="1440" w:type="dxa"/>
            <w:vAlign w:val="bottom"/>
          </w:tcPr>
          <w:p>
            <w:pPr>
              <w:jc w:val="center"/>
              <w:ind w:left="3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820" w:type="dxa"/>
            <w:vAlign w:val="bottom"/>
          </w:tcPr>
          <w:p>
            <w:pPr>
              <w:jc w:val="center"/>
              <w:ind w:right="2970"/>
              <w:spacing w:after="0"/>
              <w:rPr>
                <w:sz w:val="20"/>
                <w:szCs w:val="20"/>
                <w:color w:val="auto"/>
              </w:rPr>
            </w:pPr>
            <w:r>
              <w:rPr>
                <w:rFonts w:ascii="Arial" w:cs="Arial" w:eastAsia="Arial" w:hAnsi="Arial"/>
                <w:sz w:val="18"/>
                <w:szCs w:val="18"/>
                <w:i w:val="1"/>
                <w:iCs w:val="1"/>
                <w:color w:val="auto"/>
                <w:w w:val="95"/>
              </w:rPr>
              <w:t>Incorporation or Organization)</w:t>
            </w:r>
          </w:p>
        </w:tc>
        <w:tc>
          <w:tcPr>
            <w:tcW w:w="1440" w:type="dxa"/>
            <w:vAlign w:val="bottom"/>
          </w:tcPr>
          <w:p>
            <w:pPr>
              <w:jc w:val="center"/>
              <w:ind w:left="1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6820" w:type="dxa"/>
            <w:vAlign w:val="bottom"/>
          </w:tcPr>
          <w:p>
            <w:pPr>
              <w:jc w:val="center"/>
              <w:ind w:right="2970"/>
              <w:spacing w:after="0"/>
              <w:rPr>
                <w:sz w:val="20"/>
                <w:szCs w:val="20"/>
                <w:color w:val="auto"/>
              </w:rPr>
            </w:pPr>
            <w:r>
              <w:rPr>
                <w:rFonts w:ascii="Arial" w:cs="Arial" w:eastAsia="Arial" w:hAnsi="Arial"/>
                <w:sz w:val="18"/>
                <w:szCs w:val="18"/>
                <w:b w:val="1"/>
                <w:bCs w:val="1"/>
                <w:color w:val="auto"/>
                <w:w w:val="89"/>
              </w:rPr>
              <w:t>2273 Research Boulevard, Suite 400</w:t>
            </w:r>
          </w:p>
        </w:tc>
        <w:tc>
          <w:tcPr>
            <w:tcW w:w="1440" w:type="dxa"/>
            <w:vAlign w:val="bottom"/>
          </w:tcPr>
          <w:p>
            <w:pPr>
              <w:spacing w:after="0"/>
              <w:rPr>
                <w:sz w:val="24"/>
                <w:szCs w:val="24"/>
                <w:color w:val="auto"/>
              </w:rPr>
            </w:pPr>
          </w:p>
        </w:tc>
      </w:tr>
      <w:tr>
        <w:trPr>
          <w:trHeight w:val="220"/>
        </w:trPr>
        <w:tc>
          <w:tcPr>
            <w:tcW w:w="6820" w:type="dxa"/>
            <w:vAlign w:val="bottom"/>
          </w:tcPr>
          <w:p>
            <w:pPr>
              <w:jc w:val="center"/>
              <w:ind w:right="2950"/>
              <w:spacing w:after="0"/>
              <w:rPr>
                <w:sz w:val="20"/>
                <w:szCs w:val="20"/>
                <w:color w:val="auto"/>
              </w:rPr>
            </w:pPr>
            <w:r>
              <w:rPr>
                <w:rFonts w:ascii="Arial" w:cs="Arial" w:eastAsia="Arial" w:hAnsi="Arial"/>
                <w:sz w:val="18"/>
                <w:szCs w:val="18"/>
                <w:b w:val="1"/>
                <w:bCs w:val="1"/>
                <w:color w:val="auto"/>
                <w:w w:val="93"/>
              </w:rPr>
              <w:t>Rockville, Maryland</w:t>
            </w: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20850</w:t>
            </w:r>
          </w:p>
        </w:tc>
      </w:tr>
      <w:tr>
        <w:trPr>
          <w:trHeight w:val="230"/>
        </w:trPr>
        <w:tc>
          <w:tcPr>
            <w:tcW w:w="6820" w:type="dxa"/>
            <w:vAlign w:val="bottom"/>
          </w:tcPr>
          <w:p>
            <w:pPr>
              <w:jc w:val="center"/>
              <w:ind w:right="29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40" w:type="dxa"/>
            <w:vAlign w:val="bottom"/>
          </w:tcPr>
          <w:p>
            <w:pPr>
              <w:jc w:val="center"/>
              <w:ind w:left="10"/>
              <w:spacing w:after="0"/>
              <w:rPr>
                <w:sz w:val="20"/>
                <w:szCs w:val="20"/>
                <w:color w:val="auto"/>
              </w:rPr>
            </w:pPr>
            <w:r>
              <w:rPr>
                <w:rFonts w:ascii="Arial" w:cs="Arial" w:eastAsia="Arial" w:hAnsi="Arial"/>
                <w:sz w:val="18"/>
                <w:szCs w:val="18"/>
                <w:i w:val="1"/>
                <w:iCs w:val="1"/>
                <w:color w:val="auto"/>
                <w:w w:val="91"/>
              </w:rPr>
              <w:t>(Zip Code)</w:t>
            </w:r>
          </w:p>
        </w:tc>
      </w:tr>
      <w:tr>
        <w:trPr>
          <w:trHeight w:val="445"/>
        </w:trPr>
        <w:tc>
          <w:tcPr>
            <w:tcW w:w="6820" w:type="dxa"/>
            <w:vAlign w:val="bottom"/>
          </w:tcPr>
          <w:p>
            <w:pPr>
              <w:jc w:val="center"/>
              <w:ind w:left="2570"/>
              <w:spacing w:after="0"/>
              <w:rPr>
                <w:sz w:val="20"/>
                <w:szCs w:val="20"/>
                <w:color w:val="auto"/>
              </w:rPr>
            </w:pPr>
            <w:r>
              <w:rPr>
                <w:rFonts w:ascii="Arial" w:cs="Arial" w:eastAsia="Arial" w:hAnsi="Arial"/>
                <w:sz w:val="18"/>
                <w:szCs w:val="18"/>
                <w:b w:val="1"/>
                <w:bCs w:val="1"/>
                <w:color w:val="auto"/>
                <w:w w:val="90"/>
              </w:rPr>
              <w:t>(301) 795-1800</w:t>
            </w:r>
          </w:p>
        </w:tc>
        <w:tc>
          <w:tcPr>
            <w:tcW w:w="1440" w:type="dxa"/>
            <w:vAlign w:val="bottom"/>
          </w:tcPr>
          <w:p>
            <w:pPr>
              <w:spacing w:after="0"/>
              <w:rPr>
                <w:sz w:val="24"/>
                <w:szCs w:val="24"/>
                <w:color w:val="auto"/>
              </w:rPr>
            </w:pPr>
          </w:p>
        </w:tc>
      </w:tr>
      <w:tr>
        <w:trPr>
          <w:trHeight w:val="230"/>
        </w:trPr>
        <w:tc>
          <w:tcPr>
            <w:tcW w:w="6820" w:type="dxa"/>
            <w:vAlign w:val="bottom"/>
          </w:tcPr>
          <w:p>
            <w:pPr>
              <w:jc w:val="center"/>
              <w:ind w:left="257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40" w:type="dxa"/>
            <w:vAlign w:val="bottom"/>
          </w:tcPr>
          <w:p>
            <w:pPr>
              <w:spacing w:after="0"/>
              <w:rPr>
                <w:sz w:val="20"/>
                <w:szCs w:val="20"/>
                <w:color w:val="auto"/>
              </w:rPr>
            </w:pPr>
          </w:p>
        </w:tc>
      </w:tr>
    </w:tbl>
    <w:p>
      <w:pPr>
        <w:spacing w:after="0" w:line="229"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208"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Rule 405 of Regulation S-T during the preceding 12 months (or for such shorter period that the registrant was required to submit and post such files). Yes No</w:t>
      </w:r>
    </w:p>
    <w:p>
      <w:pPr>
        <w:spacing w:after="0" w:line="208"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49" w:lineRule="exact"/>
        <w:rPr>
          <w:sz w:val="24"/>
          <w:szCs w:val="24"/>
          <w:color w:val="auto"/>
        </w:rPr>
      </w:pPr>
    </w:p>
    <w:p>
      <w:pPr>
        <w:ind w:left="2600" w:right="3760" w:hanging="3245"/>
        <w:spacing w:after="0" w:line="277" w:lineRule="auto"/>
        <w:tabs>
          <w:tab w:leader="none" w:pos="2580" w:val="left"/>
        </w:tabs>
        <w:rPr>
          <w:sz w:val="20"/>
          <w:szCs w:val="20"/>
          <w:color w:val="auto"/>
        </w:rPr>
      </w:pPr>
      <w:r>
        <w:rPr>
          <w:rFonts w:ascii="Arial" w:cs="Arial" w:eastAsia="Arial" w:hAnsi="Arial"/>
          <w:sz w:val="18"/>
          <w:szCs w:val="18"/>
          <w:color w:val="auto"/>
        </w:rPr>
        <w:t>Large accelerated filer</w:t>
        <w:tab/>
        <w:t>Accelerated filer Non-accelerated filer Smaller reporting company (Do not check if a smaller reporting company)</w:t>
      </w:r>
    </w:p>
    <w:p>
      <w:pPr>
        <w:spacing w:after="0" w:line="197" w:lineRule="exact"/>
        <w:rPr>
          <w:sz w:val="24"/>
          <w:szCs w:val="24"/>
          <w:color w:val="auto"/>
        </w:rPr>
      </w:pPr>
    </w:p>
    <w:p>
      <w:pPr>
        <w:ind w:left="660"/>
        <w:spacing w:after="0"/>
        <w:tabs>
          <w:tab w:leader="none" w:pos="9000" w:val="left"/>
          <w:tab w:leader="none" w:pos="94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April 30, 2014, the registrant had 37,411,197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Emergent BioSolutions Inc.</w:t>
            </w:r>
          </w:p>
        </w:tc>
      </w:tr>
      <w:tr>
        <w:trPr>
          <w:trHeight w:val="234"/>
        </w:trPr>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Index to Form 10-Q</w:t>
            </w:r>
          </w:p>
        </w:tc>
      </w:tr>
      <w:tr>
        <w:trPr>
          <w:trHeight w:val="419"/>
        </w:trPr>
        <w:tc>
          <w:tcPr>
            <w:tcW w:w="2260" w:type="dxa"/>
            <w:vAlign w:val="bottom"/>
            <w:tcBorders>
              <w:bottom w:val="single" w:sz="8" w:color="0000EE"/>
            </w:tcBorders>
            <w:gridSpan w:val="6"/>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Financial Information</w:t>
              </w:r>
            </w:hyperlink>
          </w:p>
        </w:tc>
        <w:tc>
          <w:tcPr>
            <w:tcW w:w="5240" w:type="dxa"/>
            <w:vAlign w:val="bottom"/>
            <w:gridSpan w:val="13"/>
          </w:tcPr>
          <w:p>
            <w:pPr>
              <w:spacing w:after="0"/>
              <w:rPr>
                <w:sz w:val="24"/>
                <w:szCs w:val="24"/>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644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1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w:t>
              </w:r>
            </w:hyperlink>
          </w:p>
        </w:tc>
        <w:tc>
          <w:tcPr>
            <w:tcW w:w="4340" w:type="dxa"/>
            <w:vAlign w:val="bottom"/>
            <w:gridSpan w:val="8"/>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8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w:t>
              </w:r>
            </w:hyperlink>
          </w:p>
        </w:tc>
        <w:tc>
          <w:tcPr>
            <w:tcW w:w="3620" w:type="dxa"/>
            <w:vAlign w:val="bottom"/>
            <w:gridSpan w:val="6"/>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644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Comprehensive Loss</w:t>
              </w:r>
            </w:hyperlink>
          </w:p>
        </w:tc>
      </w:tr>
      <w:tr>
        <w:trPr>
          <w:trHeight w:val="196"/>
        </w:trPr>
        <w:tc>
          <w:tcPr>
            <w:tcW w:w="10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w:t>
              </w:r>
            </w:hyperlink>
          </w:p>
        </w:tc>
        <w:tc>
          <w:tcPr>
            <w:tcW w:w="660" w:type="dxa"/>
            <w:vAlign w:val="bottom"/>
            <w:tcBorders>
              <w:top w:val="single" w:sz="8" w:color="0000EE"/>
            </w:tcBorders>
            <w:gridSpan w:val="2"/>
          </w:tcPr>
          <w:p>
            <w:pPr>
              <w:spacing w:after="0"/>
              <w:rPr>
                <w:sz w:val="17"/>
                <w:szCs w:val="17"/>
                <w:color w:val="auto"/>
              </w:rPr>
            </w:pPr>
          </w:p>
        </w:tc>
        <w:tc>
          <w:tcPr>
            <w:tcW w:w="290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1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w:t>
              </w:r>
            </w:hyperlink>
          </w:p>
        </w:tc>
        <w:tc>
          <w:tcPr>
            <w:tcW w:w="3280" w:type="dxa"/>
            <w:vAlign w:val="bottom"/>
            <w:gridSpan w:val="4"/>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2060" w:type="dxa"/>
            <w:vAlign w:val="bottom"/>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Controls and Procedures</w:t>
              </w:r>
            </w:hyperlink>
          </w:p>
        </w:tc>
        <w:tc>
          <w:tcPr>
            <w:tcW w:w="4660" w:type="dxa"/>
            <w:vAlign w:val="bottom"/>
            <w:gridSpan w:val="9"/>
          </w:tcPr>
          <w:p>
            <w:pPr>
              <w:spacing w:after="0"/>
              <w:rPr>
                <w:sz w:val="17"/>
                <w:szCs w:val="17"/>
                <w:color w:val="auto"/>
              </w:rPr>
            </w:pPr>
          </w:p>
        </w:tc>
      </w:tr>
      <w:tr>
        <w:trPr>
          <w:trHeight w:val="196"/>
        </w:trPr>
        <w:tc>
          <w:tcPr>
            <w:tcW w:w="7500" w:type="dxa"/>
            <w:vAlign w:val="bottom"/>
            <w:gridSpan w:val="19"/>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Other Information</w:t>
              </w:r>
            </w:hyperlink>
          </w:p>
        </w:tc>
      </w:tr>
      <w:tr>
        <w:trPr>
          <w:trHeight w:val="20"/>
        </w:trPr>
        <w:tc>
          <w:tcPr>
            <w:tcW w:w="10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Legal Proceedings</w:t>
              </w:r>
            </w:hyperlink>
          </w:p>
        </w:tc>
        <w:tc>
          <w:tcPr>
            <w:tcW w:w="5100" w:type="dxa"/>
            <w:vAlign w:val="bottom"/>
            <w:gridSpan w:val="11"/>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6440" w:type="dxa"/>
            <w:vAlign w:val="bottom"/>
            <w:gridSpan w:val="1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9"/>
              </w:rPr>
              <w:t>Unregistered Sales of Equity Securities and Use of Proceeds</w:t>
            </w:r>
          </w:p>
        </w:tc>
        <w:tc>
          <w:tcPr>
            <w:tcW w:w="2080" w:type="dxa"/>
            <w:vAlign w:val="bottom"/>
            <w:gridSpan w:val="2"/>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44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4120" w:type="dxa"/>
            <w:vAlign w:val="bottom"/>
            <w:gridSpan w:val="7"/>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Other Information</w:t>
              </w:r>
            </w:hyperlink>
          </w:p>
        </w:tc>
        <w:tc>
          <w:tcPr>
            <w:tcW w:w="5120" w:type="dxa"/>
            <w:vAlign w:val="bottom"/>
            <w:gridSpan w:val="12"/>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44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60" w:type="dxa"/>
            <w:vAlign w:val="bottom"/>
            <w:gridSpan w:val="14"/>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644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r>
      <w:tr>
        <w:trPr>
          <w:trHeight w:val="20"/>
        </w:trPr>
        <w:tc>
          <w:tcPr>
            <w:tcW w:w="10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60" w:type="dxa"/>
            <w:vAlign w:val="bottom"/>
            <w:gridSpan w:val="14"/>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6440" w:type="dxa"/>
            <w:vAlign w:val="bottom"/>
            <w:gridSpan w:val="1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Exhibit Index</w:t>
              </w:r>
            </w:hyperlink>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spacing w:after="0" w:line="195" w:lineRule="auto"/>
        <w:rPr>
          <w:sz w:val="20"/>
          <w:szCs w:val="20"/>
          <w:color w:val="auto"/>
        </w:rPr>
      </w:pPr>
      <w:r>
        <w:rPr>
          <w:rFonts w:ascii="Arial" w:cs="Arial" w:eastAsia="Arial" w:hAnsi="Arial"/>
          <w:sz w:val="17"/>
          <w:szCs w:val="17"/>
          <w:color w:val="auto"/>
        </w:rPr>
        <w:t>BioThrax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(Anthrax Vaccine Adsorbed), RSDL</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(decontamination lotion), BAT™ (Botulism Antitoxin Heptavalent (A,B,C,D,E,F,G)-Equine), HepaGam B</w:t>
      </w:r>
      <w:r>
        <w:rPr>
          <w:rFonts w:ascii="Arial" w:cs="Arial" w:eastAsia="Arial" w:hAnsi="Arial"/>
          <w:sz w:val="28"/>
          <w:szCs w:val="28"/>
          <w:color w:val="auto"/>
          <w:vertAlign w:val="superscript"/>
        </w:rPr>
        <w:t>®</w:t>
      </w:r>
      <w:r>
        <w:rPr>
          <w:rFonts w:ascii="Arial" w:cs="Arial" w:eastAsia="Arial" w:hAnsi="Arial"/>
          <w:sz w:val="17"/>
          <w:szCs w:val="17"/>
          <w:color w:val="auto"/>
        </w:rPr>
        <w:t xml:space="preserve"> (Hepatitis B Immune Globulin Intravenous (Human)), VARIZIG</w:t>
      </w:r>
      <w:r>
        <w:rPr>
          <w:rFonts w:ascii="Arial" w:cs="Arial" w:eastAsia="Arial" w:hAnsi="Arial"/>
          <w:sz w:val="28"/>
          <w:szCs w:val="28"/>
          <w:color w:val="auto"/>
          <w:vertAlign w:val="superscript"/>
        </w:rPr>
        <w:t>®</w:t>
      </w:r>
      <w:r>
        <w:rPr>
          <w:rFonts w:ascii="Arial" w:cs="Arial" w:eastAsia="Arial" w:hAnsi="Arial"/>
          <w:sz w:val="17"/>
          <w:szCs w:val="17"/>
          <w:color w:val="auto"/>
        </w:rPr>
        <w:t xml:space="preserve"> (Varicella Zoster Immune Globulin (Human)), WinRho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SDF (Rh</w:t>
      </w:r>
      <w:r>
        <w:rPr>
          <w:rFonts w:ascii="Arial" w:cs="Arial" w:eastAsia="Arial" w:hAnsi="Arial"/>
          <w:sz w:val="28"/>
          <w:szCs w:val="28"/>
          <w:color w:val="auto"/>
          <w:vertAlign w:val="subscript"/>
        </w:rPr>
        <w:t>0</w:t>
      </w:r>
      <w:r>
        <w:rPr>
          <w:rFonts w:ascii="Arial" w:cs="Arial" w:eastAsia="Arial" w:hAnsi="Arial"/>
          <w:sz w:val="17"/>
          <w:szCs w:val="17"/>
          <w:color w:val="auto"/>
        </w:rPr>
        <w:t xml:space="preserve"> (D) Immune Globulin Intravenous (Human)) and any and all Emergent BioSolutions Inc. brands, products, services and feature names, logos and slogans are trademarks or registered trademarks of Emergent BioSolutions Inc. or its subsidiaries in the United States or other countries. episil</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is a trademark of Camurus AB. All rights reserved. All other brands, products, services and feature names or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quarterly report on Form 10-Q includes forward-looking statements within the meaning of the Private Securities Litigation Reform Act of 1995. All statements, other than statements of historical fact, including statements regarding our strategy, future operations, future financial position, future revenues, projected costs, prospects, plans and objectives of management, are forward-looking statements. We generally identify forward-looking statements by using words like "believes," "expects," "anticipates," "intends," "plans," "forecasts," "estimates" and similar expressions in conjunction with, among other things, discussions of financial performance or financial condition, growth strategy, product sales, manufacturing capabilities, product development, regulatory approvals or expenditures. These forward-looking statements are based on our current intentions, beliefs and expectations regarding future events. We cannot guarantee that any forward-looking statement will be accurate. You should realize that if underlying assumptions prove inaccurate or unknown risks or uncertainties materialize, actual results could differ materially from our expectations. You are, therefore, cautioned not to place undue reliance on any forward-looking statement. Any forward-looking statement speaks only as of the date on which such statement is made, and, except as required by law, we do not undertake to update any forward-looking statement to reflect new information, events or circumstances.</w:t>
      </w:r>
    </w:p>
    <w:p>
      <w:pPr>
        <w:spacing w:after="0" w:line="19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There are a number of important factors that could cause our actual results to differ materially from those indicated by such forward-looking statements, including, among others:</w:t>
      </w:r>
    </w:p>
    <w:p>
      <w:pPr>
        <w:spacing w:after="0" w:line="58"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appropriations for the procurement of 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Vaccine Adsorbed), our FDA-approved anthrax vaccine;</w:t>
      </w:r>
    </w:p>
    <w:p>
      <w:pPr>
        <w:ind w:left="980" w:right="680" w:hanging="324"/>
        <w:spacing w:after="0" w:line="249"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our ability to successfully integrate our acquisitions of Cangene Corporation and the Healthcare Protective Products Division of Bracco Diagnostics Inc., which we recently acquired, and realize the benefits of these acquisitions;</w:t>
      </w: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our ability to perform under our contracts with the U.S. government related to BioThrax, including the timing of deliveries;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our ability to obtain new BioThrax sales contracts or modifications to existing contracts;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the availability of funding for our U.S. government grants and contracts;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our ability to successfully execute our growth strategy and achieve our financial and operational goals;</w:t>
      </w:r>
    </w:p>
    <w:p>
      <w:pPr>
        <w:spacing w:after="0" w:line="9" w:lineRule="exact"/>
        <w:rPr>
          <w:rFonts w:ascii="Arial" w:cs="Arial" w:eastAsia="Arial" w:hAnsi="Arial"/>
          <w:sz w:val="16"/>
          <w:szCs w:val="16"/>
          <w:color w:val="auto"/>
        </w:rPr>
      </w:pPr>
    </w:p>
    <w:p>
      <w:pPr>
        <w:ind w:left="980" w:right="540" w:hanging="324"/>
        <w:spacing w:after="0" w:line="250"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our ability to successfully integrate and develop the products or product candidates, programs, operations and personnel of any entities or businesses that we acquire;</w:t>
      </w:r>
    </w:p>
    <w:p>
      <w:pPr>
        <w:ind w:left="980" w:right="200" w:hanging="324"/>
        <w:spacing w:after="0" w:line="250"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our ability to perform under our contract with the U.S. government to develop and obtain regulatory approval for large-scale manufacturing of BioThrax in Building 55, our large-scale vaccine manufacturing facility in Lansing, Michigan;</w:t>
      </w:r>
    </w:p>
    <w:p>
      <w:pPr>
        <w:ind w:left="980" w:hanging="324"/>
        <w:spacing w:after="0"/>
        <w:tabs>
          <w:tab w:leader="none" w:pos="980" w:val="left"/>
        </w:tabs>
        <w:numPr>
          <w:ilvl w:val="0"/>
          <w:numId w:val="1"/>
        </w:numPr>
        <w:rPr>
          <w:rFonts w:ascii="Arial" w:cs="Arial" w:eastAsia="Arial" w:hAnsi="Arial"/>
          <w:sz w:val="15"/>
          <w:szCs w:val="15"/>
          <w:color w:val="auto"/>
        </w:rPr>
      </w:pPr>
      <w:r>
        <w:rPr>
          <w:rFonts w:ascii="Arial" w:cs="Arial" w:eastAsia="Arial" w:hAnsi="Arial"/>
          <w:sz w:val="17"/>
          <w:szCs w:val="17"/>
          <w:color w:val="auto"/>
        </w:rPr>
        <w:t>our ability to identify and acquire companies or in-license products or late-stage product candidates that satisfy our selection criteria;</w:t>
      </w:r>
    </w:p>
    <w:p>
      <w:pPr>
        <w:spacing w:after="0" w:line="20" w:lineRule="exact"/>
        <w:rPr>
          <w:rFonts w:ascii="Arial" w:cs="Arial" w:eastAsia="Arial" w:hAnsi="Arial"/>
          <w:sz w:val="15"/>
          <w:szCs w:val="15"/>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whether anticipated synergies and benefits from an acquisition or in-license are realized within expected time periods or at all;</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our ability to selectively enter into collaboration arrangements;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our ability to obtain and maintain intellectual property protection for our products and product candidates;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our ability and plans to expand our manufacturing facilities and capabilities;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our ability to meet operating and financial restrictions placed on us and our subsidiaries under our senior secured credit facility;</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the rate and degree of market acceptance and clinical utility of our products;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the success of our ongoing and planned development programs, preclinical studies and clinical trials of our product candidates;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the timing of and our ability to obtain and maintain regulatory approvals for our product candidates;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our commercialization, marketing and manufacturing capabilities and strategy; and</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8"/>
          <w:szCs w:val="18"/>
          <w:color w:val="auto"/>
        </w:rPr>
        <w:t>our estimates regarding expenses, future revenues, capital requirements and needs for additional financing.</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foregoing sets forth many, but not all, of the factors that could cause actual results to differ from our expectations in any forward-looking statement. New factors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You should consider this cautionary statement, the risk factors identified in the section entitled "Risk Factors" in this quarterly report on Form 10-Q and the risk factors identified in our other periodic reports filed with the Securities and Exchange Commission when evaluating our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160,215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62,938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71,268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Income tax receivable, net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17,800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ind w:left="2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327,203</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273,115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303,468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68,928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 long-term</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823,251</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626,630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36,643</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18,242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purchase consideration, current portion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Provisions for chargebacks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liability, current portion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Deferred revenue, current portion</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purchase consideration, net of current portion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Long-term indebtedness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liability,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345,756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137,465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Preferred stock, $0.001 par value; 15,000,000 shares authorized, 0 shares issued and outstanding at March 31, 2014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and December 31, 2013, respectively</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140"/>
              <w:spacing w:after="0" w:line="201" w:lineRule="exact"/>
              <w:rPr>
                <w:sz w:val="20"/>
                <w:szCs w:val="20"/>
                <w:color w:val="auto"/>
              </w:rPr>
            </w:pPr>
            <w:r>
              <w:rPr>
                <w:rFonts w:ascii="Arial" w:cs="Arial" w:eastAsia="Arial" w:hAnsi="Arial"/>
                <w:sz w:val="18"/>
                <w:szCs w:val="18"/>
                <w:color w:val="auto"/>
                <w:w w:val="92"/>
              </w:rPr>
              <w:t>Common stock, $0.001 par value; 100,000,000 shares authorized, 37,719,153 shares issued and 37,306,200, shares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w w:val="94"/>
              </w:rPr>
              <w:t>outstanding at March 31, 2014; 37,036,996 shares issued and 36,624,043, shares outstanding at December 31, 2013</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 412,953 common shares at both March 31, 2014 and December 31, 2013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255,675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247,637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231,292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Emergent BioSolutions Inc.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477,495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Noncontrolling interest in subsidiaries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477,495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823,251</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626,630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1440" w:gutter="0" w:footer="0" w:header="0"/>
        </w:sect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jc w:val="center"/>
        <w:ind w:right="10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00" w:type="dxa"/>
            <w:vAlign w:val="bottom"/>
            <w:gridSpan w:val="8"/>
          </w:tcPr>
          <w:p>
            <w:pPr>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40"/>
              <w:spacing w:after="0"/>
              <w:rPr>
                <w:sz w:val="20"/>
                <w:szCs w:val="20"/>
                <w:color w:val="auto"/>
              </w:rPr>
            </w:pPr>
            <w:r>
              <w:rPr>
                <w:rFonts w:ascii="Arial" w:cs="Arial" w:eastAsia="Arial" w:hAnsi="Arial"/>
                <w:sz w:val="18"/>
                <w:szCs w:val="18"/>
                <w:color w:val="auto"/>
              </w:rPr>
              <w:t>Product sales</w:t>
            </w:r>
          </w:p>
        </w:tc>
        <w:tc>
          <w:tcPr>
            <w:tcW w:w="2660" w:type="dxa"/>
            <w:vAlign w:val="bottom"/>
            <w:gridSpan w:val="2"/>
          </w:tcPr>
          <w:p>
            <w:pPr>
              <w:ind w:left="2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35,767</w:t>
            </w:r>
          </w:p>
        </w:tc>
        <w:tc>
          <w:tcPr>
            <w:tcW w:w="12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manufacturing</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140"/>
              <w:spacing w:after="0"/>
              <w:rPr>
                <w:sz w:val="20"/>
                <w:szCs w:val="20"/>
                <w:color w:val="auto"/>
              </w:rPr>
            </w:pPr>
            <w:r>
              <w:rPr>
                <w:rFonts w:ascii="Arial" w:cs="Arial" w:eastAsia="Arial" w:hAnsi="Arial"/>
                <w:sz w:val="18"/>
                <w:szCs w:val="18"/>
                <w:color w:val="auto"/>
              </w:rPr>
              <w:t>Contracts and grants</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15,391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40"/>
              <w:spacing w:after="0"/>
              <w:rPr>
                <w:sz w:val="20"/>
                <w:szCs w:val="20"/>
                <w:color w:val="auto"/>
              </w:rPr>
            </w:pPr>
            <w:r>
              <w:rPr>
                <w:rFonts w:ascii="Arial" w:cs="Arial" w:eastAsia="Arial" w:hAnsi="Arial"/>
                <w:sz w:val="18"/>
                <w:szCs w:val="18"/>
                <w:color w:val="auto"/>
              </w:rPr>
              <w:t>Cost of product sales and contract manufacturing</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18,997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30,089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2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benefit from income taxes</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(28,441)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(8,205)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(20,236)</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Net loss attributable to noncontrolling interest</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Emergent BioSolutions Inc.</w:t>
            </w:r>
          </w:p>
        </w:tc>
        <w:tc>
          <w:tcPr>
            <w:tcW w:w="2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(20,236)</w:t>
            </w: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660" w:type="dxa"/>
            <w:vAlign w:val="bottom"/>
            <w:gridSpan w:val="2"/>
          </w:tcPr>
          <w:p>
            <w:pPr>
              <w:spacing w:after="0"/>
              <w:rPr>
                <w:sz w:val="18"/>
                <w:szCs w:val="18"/>
                <w:color w:val="auto"/>
              </w:rPr>
            </w:pPr>
          </w:p>
        </w:tc>
        <w:tc>
          <w:tcPr>
            <w:tcW w:w="1080" w:type="dxa"/>
            <w:vAlign w:val="bottom"/>
            <w:gridSpan w:val="3"/>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 basic</w:t>
            </w:r>
          </w:p>
        </w:tc>
        <w:tc>
          <w:tcPr>
            <w:tcW w:w="266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Loss per share - diluted</w:t>
            </w:r>
          </w:p>
        </w:tc>
        <w:tc>
          <w:tcPr>
            <w:tcW w:w="2660" w:type="dxa"/>
            <w:vAlign w:val="bottom"/>
            <w:gridSpan w:val="2"/>
          </w:tcPr>
          <w:p>
            <w:pPr>
              <w:ind w:left="24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(0.55)</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Weighted-average number of shares - basic</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36,854,370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35,968,064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shares - diluted</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36,854,370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35,968,064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5080" w:type="dxa"/>
            <w:vAlign w:val="bottom"/>
            <w:gridSpan w:val="8"/>
          </w:tcPr>
          <w:p>
            <w:pPr>
              <w:jc w:val="right"/>
              <w:ind w:right="1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(Unaudited)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Net loss attributable to Emergent BioSolutions Inc.</w:t>
            </w:r>
          </w:p>
        </w:tc>
        <w:tc>
          <w:tcPr>
            <w:tcW w:w="2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(20,236)</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translations, net of tax</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(20,162)</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(7,692)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6" w:name="page7"/>
    <w:bookmarkEnd w:id="6"/>
    <w:p>
      <w:pPr>
        <w:jc w:val="center"/>
        <w:ind w:right="10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(Unaudited)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(20,236)</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(8,805)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to net cash used in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2,976</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w:t>
            </w: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(4,516)</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development expenses from joint venture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Change in fair value of contingent obligations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Write off of debt issuance costs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(1,608)</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33,079</w:t>
            </w: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(6,987)</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(7,918)</w:t>
            </w: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(4,196)</w:t>
            </w: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(10,982)</w:t>
            </w: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Provision for chargebacks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Net cash used by operating activities</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(29,245)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(4,626)</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(7,679)</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Cangene Corporation, net of acquired cash</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(178,167)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(182,757)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(7,679)</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Proceeds from convertible debenture, net of debt issuance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241,654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other long-term debt obligations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Issuance of common stock subject to exercise of stock options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w:t>
            </w: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Principal payments on long-term indebtedness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(62,000)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(1,117)</w:t>
            </w: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obligation payments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192,874</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top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(19,123)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(11,428)</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179,338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160,215</w:t>
            </w:r>
          </w:p>
        </w:tc>
        <w:tc>
          <w:tcPr>
            <w:tcW w:w="14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130,238</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ind w:left="66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accompanying unaudited consolidated financial statements include the accounts of Emergent BioSolutions Inc. (the "Company" or "Emergent") and its wholly-owned and majority-owned subsidiaries. All significant intercompany accounts and transactions have been eliminated in consolidation.</w:t>
      </w:r>
    </w:p>
    <w:p>
      <w:pPr>
        <w:spacing w:after="0" w:line="1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unaudited consolidated financial statements included herein have been prepared in accordance with U.S. generally accepted accounting principles for interim financial information and in accordance with the instructions to Form 10-Q and Article 10 of Regulation S-X issued by the Securities and Exchange Commission ("SEC"). Certain information and footnote disclosures normally included in consolidated financial statements prepared in accordance with U.S. generally accepted accounting principles have been condensed or omitted pursuant to such rules and regulations. These consolidated financial statements should be read in conjunction with the audited consolidated financial statements and notes thereto contained in the Company's Annual Report on Form 10-K for the year ended December 31, 2013, as filed with the SEC.</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opinion of the Company's management, any adjustments contained in the accompanying unaudited consolidated financial statements are of a normal recurring nature, and are necessary to present fairly the financial position of the Company as of March 31, 2014 and the results of operations, comprehensive loss and cash flows for the three months ended March 31, 2014 and 2013. Interim results are not necessarily indicative of results that may be expected for any other interim period or for an entire year.</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There have been no significant changes to the Company's summary of significant accounting policies, contained in the Company's Annual Report on Form 10-K for the year ended December 31, 2013, as filed with the SEC, during the three months ended March 31, 2014, except for additions to the Company's accounting policies for revenue recognition and inventories related to the Cangene Corporation ("Cangene") acquisition (see Note 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recognizes revenues from product sales if four basic criteria have been met:</w:t>
      </w:r>
    </w:p>
    <w:p>
      <w:pPr>
        <w:spacing w:after="0" w:line="225" w:lineRule="exact"/>
        <w:rPr>
          <w:sz w:val="20"/>
          <w:szCs w:val="20"/>
          <w:color w:val="auto"/>
        </w:rPr>
      </w:pPr>
    </w:p>
    <w:p>
      <w:pPr>
        <w:ind w:left="2040" w:hanging="735"/>
        <w:spacing w:after="0"/>
        <w:tabs>
          <w:tab w:leader="none" w:pos="2040" w:val="left"/>
        </w:tabs>
        <w:numPr>
          <w:ilvl w:val="0"/>
          <w:numId w:val="2"/>
        </w:numPr>
        <w:rPr>
          <w:rFonts w:ascii="Arial" w:cs="Arial" w:eastAsia="Arial" w:hAnsi="Arial"/>
          <w:sz w:val="16"/>
          <w:szCs w:val="16"/>
          <w:color w:val="auto"/>
        </w:rPr>
      </w:pPr>
      <w:r>
        <w:rPr>
          <w:rFonts w:ascii="Arial" w:cs="Arial" w:eastAsia="Arial" w:hAnsi="Arial"/>
          <w:sz w:val="18"/>
          <w:szCs w:val="18"/>
          <w:color w:val="auto"/>
        </w:rPr>
        <w:t>there is persuasive evidence of an arrangement;</w:t>
      </w:r>
    </w:p>
    <w:p>
      <w:pPr>
        <w:spacing w:after="0" w:line="23" w:lineRule="exact"/>
        <w:rPr>
          <w:rFonts w:ascii="Arial" w:cs="Arial" w:eastAsia="Arial" w:hAnsi="Arial"/>
          <w:sz w:val="16"/>
          <w:szCs w:val="16"/>
          <w:color w:val="auto"/>
        </w:rPr>
      </w:pPr>
    </w:p>
    <w:p>
      <w:pPr>
        <w:ind w:left="2040" w:hanging="735"/>
        <w:spacing w:after="0"/>
        <w:tabs>
          <w:tab w:leader="none" w:pos="2040" w:val="left"/>
        </w:tabs>
        <w:numPr>
          <w:ilvl w:val="0"/>
          <w:numId w:val="2"/>
        </w:numPr>
        <w:rPr>
          <w:rFonts w:ascii="Arial" w:cs="Arial" w:eastAsia="Arial" w:hAnsi="Arial"/>
          <w:sz w:val="16"/>
          <w:szCs w:val="16"/>
          <w:color w:val="auto"/>
        </w:rPr>
      </w:pPr>
      <w:r>
        <w:rPr>
          <w:rFonts w:ascii="Arial" w:cs="Arial" w:eastAsia="Arial" w:hAnsi="Arial"/>
          <w:sz w:val="18"/>
          <w:szCs w:val="18"/>
          <w:color w:val="auto"/>
        </w:rPr>
        <w:t>delivery has occurred or title has passed to the Company's customer;</w:t>
      </w:r>
    </w:p>
    <w:p>
      <w:pPr>
        <w:spacing w:after="0" w:line="9" w:lineRule="exact"/>
        <w:rPr>
          <w:rFonts w:ascii="Arial" w:cs="Arial" w:eastAsia="Arial" w:hAnsi="Arial"/>
          <w:sz w:val="16"/>
          <w:szCs w:val="16"/>
          <w:color w:val="auto"/>
        </w:rPr>
      </w:pPr>
    </w:p>
    <w:p>
      <w:pPr>
        <w:ind w:left="2040" w:hanging="735"/>
        <w:spacing w:after="0"/>
        <w:tabs>
          <w:tab w:leader="none" w:pos="2040" w:val="left"/>
        </w:tabs>
        <w:numPr>
          <w:ilvl w:val="0"/>
          <w:numId w:val="2"/>
        </w:numPr>
        <w:rPr>
          <w:rFonts w:ascii="Arial" w:cs="Arial" w:eastAsia="Arial" w:hAnsi="Arial"/>
          <w:sz w:val="16"/>
          <w:szCs w:val="16"/>
          <w:color w:val="auto"/>
        </w:rPr>
      </w:pPr>
      <w:r>
        <w:rPr>
          <w:rFonts w:ascii="Arial" w:cs="Arial" w:eastAsia="Arial" w:hAnsi="Arial"/>
          <w:sz w:val="18"/>
          <w:szCs w:val="18"/>
          <w:color w:val="auto"/>
        </w:rPr>
        <w:t>the fee is fixed or determinable; and</w:t>
      </w:r>
    </w:p>
    <w:p>
      <w:pPr>
        <w:spacing w:after="0" w:line="9" w:lineRule="exact"/>
        <w:rPr>
          <w:rFonts w:ascii="Arial" w:cs="Arial" w:eastAsia="Arial" w:hAnsi="Arial"/>
          <w:sz w:val="16"/>
          <w:szCs w:val="16"/>
          <w:color w:val="auto"/>
        </w:rPr>
      </w:pPr>
    </w:p>
    <w:p>
      <w:pPr>
        <w:ind w:left="2040" w:hanging="735"/>
        <w:spacing w:after="0"/>
        <w:tabs>
          <w:tab w:leader="none" w:pos="2040" w:val="left"/>
        </w:tabs>
        <w:numPr>
          <w:ilvl w:val="0"/>
          <w:numId w:val="2"/>
        </w:numPr>
        <w:rPr>
          <w:rFonts w:ascii="Arial" w:cs="Arial" w:eastAsia="Arial" w:hAnsi="Arial"/>
          <w:sz w:val="16"/>
          <w:szCs w:val="16"/>
          <w:color w:val="auto"/>
        </w:rPr>
      </w:pPr>
      <w:r>
        <w:rPr>
          <w:rFonts w:ascii="Arial" w:cs="Arial" w:eastAsia="Arial" w:hAnsi="Arial"/>
          <w:sz w:val="18"/>
          <w:szCs w:val="18"/>
          <w:color w:val="auto"/>
        </w:rPr>
        <w:t>collectability is reasonably assured.</w:t>
      </w:r>
    </w:p>
    <w:p>
      <w:pPr>
        <w:spacing w:after="0" w:line="2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revenues from product sales are recorded net of applicable allowances for sales returns, rebates, special promotional programs, and discounts. The Company estimates allowances for deductions from revenue using a combination of information received from third parties including market data, inventory reports from major wholesalers, historical information and analysis. These estimates are subject to the inherent limitations of estimates that rely on third-party data, as certain third- party information may itself rely on estimates and reflect other limitations. Provisions for estimated rebates and other allowances, such as discounts and promotional and other credits, are estimated based on historical payment experience, historical relationship to revenues, estimated customer inventory levels and contract terms, and actual discounts offered. Management believes that such provisions are determinable because of the limited number of assumptions involved and the consistency of historical experience.</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markets and sells its Biosciences products through commercial wholesalers (direct customers) who purchase the products at a price referred to as the wholesale acquisition cost ("WAC"). Additionally, the Company enters into agreements with indirect customers for a contracted price that is less than the WAC. The indirect customers, such as group-purchasing organizations, physician practice-management groups and hospitals, purchase the Company's products from the wholesalers. Under these agreements with the wholesalers, the Company guarantees that it will credit them for the difference between the WAC and the indirect customers' contracted price. This credit is referred to as a chargeback. Wholesalers provide detailed information regarding indirect customer purchases as part of the justification for their credit request. Once received by the Company, these requests are standardized and tracked within a software system that adjudicates and reconciles all indirect claims coming from wholesalers. The database with these claims is used for historical trending and estimating future indirect sales, which are used to estimate accruals. Adjustments to these provisions are made periodically to reflect new facts and circumstances that may indicate that historical experience may not be indicative of current and/or future results. The Company makes subjective judgments primarily based on its evaluation of current market conditions and trade inventory levels related to the products. This evaluation may result in an increase or decrease in the experience rate that is applied to current and future sales, or as an adjustment to past sales, or both. The Company estimates allowances for revenue reducing obligations such as rebates, special promotional programs, and discounts, using a combination of historical trends, contractual obligations and information received from third parties. The accuracy of these estimates is dependent upon the inherent limitations of extrapolating estimates from historical trends and upon the quality of the third-party information.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Inventories are stated at the lower of cost or market with cost being determined using a standard cost method, which approximates average cost. Average cost consists primarily of material, labor and manufacturing overhead expenses (which includes fixed production-overhead costs) and includes the services and products of third party suppliers. The Company analyzes its inventory levels quarterly and writes down, in the applicable period, inventory that has become obsolete, inventory that has a cost basis in excess of its expected net realizable value and inventory in excess of expected customer demand. The Company also writes off in the applicable period the costs related to expired inventory. Costs of purchased inventories are recorded using weighted-average costing. The Company determines normal capacity for each production facility and allocates fixed production-overhead costs on that basis. Any excess, unallocated fixed production-overhead costs are expensed as incurred.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ectPr>
          <w:pgSz w:w="11900" w:h="16838" w:orient="portrait"/>
          <w:cols w:equalWidth="0" w:num="1">
            <w:col w:w="11420"/>
          </w:cols>
          <w:pgMar w:left="240" w:top="364" w:right="239" w:bottom="0" w:gutter="0" w:footer="0" w:header="0"/>
        </w:sectPr>
      </w:pPr>
    </w:p>
    <w:p>
      <w:pPr>
        <w:spacing w:after="0" w:line="243" w:lineRule="exact"/>
        <w:rPr>
          <w:sz w:val="20"/>
          <w:szCs w:val="20"/>
          <w:color w:val="auto"/>
        </w:rPr>
      </w:pPr>
    </w:p>
    <w:p>
      <w:pPr>
        <w:ind w:left="1060"/>
        <w:spacing w:after="0"/>
        <w:rPr>
          <w:sz w:val="20"/>
          <w:szCs w:val="20"/>
          <w:color w:val="auto"/>
        </w:rPr>
      </w:pPr>
      <w:r>
        <w:rPr>
          <w:rFonts w:ascii="Arial" w:cs="Arial" w:eastAsia="Arial" w:hAnsi="Arial"/>
          <w:sz w:val="19"/>
          <w:szCs w:val="19"/>
          <w:b w:val="1"/>
          <w:bCs w:val="1"/>
          <w:color w:val="auto"/>
        </w:rPr>
        <w:t>Cangene Corporation</w:t>
      </w:r>
    </w:p>
    <w:p>
      <w:pPr>
        <w:sectPr>
          <w:pgSz w:w="11900" w:h="16838" w:orient="portrait"/>
          <w:cols w:equalWidth="0" w:num="1">
            <w:col w:w="11420"/>
          </w:cols>
          <w:pgMar w:left="240" w:top="364" w:right="239" w:bottom="0" w:gutter="0" w:footer="0" w:header="0"/>
          <w:type w:val="continuous"/>
        </w:sectPr>
      </w:pPr>
    </w:p>
    <w:bookmarkStart w:id="8" w:name="page9"/>
    <w:bookmarkEnd w:id="8"/>
    <w:p>
      <w:pPr>
        <w:jc w:val="both"/>
        <w:ind w:firstLine="648"/>
        <w:spacing w:after="0" w:line="257" w:lineRule="auto"/>
        <w:rPr>
          <w:sz w:val="20"/>
          <w:szCs w:val="20"/>
          <w:color w:val="auto"/>
        </w:rPr>
      </w:pPr>
      <w:r>
        <w:rPr>
          <w:rFonts w:ascii="Arial" w:cs="Arial" w:eastAsia="Arial" w:hAnsi="Arial"/>
          <w:sz w:val="18"/>
          <w:szCs w:val="18"/>
          <w:color w:val="auto"/>
        </w:rPr>
        <w:t>On February 21, 2014, the Company acquired 100% of the voting interest of Cangene for $3.24 per share in cash (on a fully-diluted basis), which represents a total purchase price of $221.8 million. This transaction was accounted for by the Company under the acquisition method of accounting, with the Company as the acquiror. Under the acquisition method of accounting, the assets and liabilities of Cangene were recorded as of the acquisition date, at their respective fair values, and combined with those of the Company. This acquisition diversifies the Company's Biodefense and Biosciences product portfolio and expands the Company's manufacturing capabilities.</w:t>
      </w: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table below summarizes the preliminary allocation of the purchase price based upon estimated fair values of assets acquired and liabilities assumed at February 21, 2014. As of the date of this filing, the valuation of acquired intangible assets, inventory, deferred taxes, property plant and equipment, employee related liabilities and other fair value adjustments are not complete, and as such the purchase price allocation is subject to change.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February 21,</w:t>
            </w:r>
          </w:p>
        </w:tc>
        <w:tc>
          <w:tcPr>
            <w:tcW w:w="0" w:type="dxa"/>
            <w:vAlign w:val="bottom"/>
          </w:tcPr>
          <w:p>
            <w:pPr>
              <w:spacing w:after="0"/>
              <w:rPr>
                <w:sz w:val="1"/>
                <w:szCs w:val="1"/>
                <w:color w:val="auto"/>
              </w:rPr>
            </w:pPr>
          </w:p>
        </w:tc>
      </w:tr>
      <w:tr>
        <w:trPr>
          <w:trHeight w:val="241"/>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Fair value of tangible assets acquired and liabilities assumed:</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9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Accounts receivable</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Inventory (i)</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Deferred taxes, net</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chargebacks</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Contingent purchase consideration</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fair value of tangible assets acquired and liabilities assumed</w:t>
            </w:r>
          </w:p>
        </w:tc>
        <w:tc>
          <w:tcPr>
            <w:tcW w:w="27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141,130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Goodwill</w:t>
            </w:r>
          </w:p>
        </w:tc>
        <w:tc>
          <w:tcPr>
            <w:tcW w:w="2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Acquired inventory reflects a $6.2 million adjustment to record inventory at fair value, referred to as a step-up adjustment. The $6.2 million step-up was</w:t>
      </w:r>
    </w:p>
    <w:p>
      <w:pPr>
        <w:spacing w:after="0" w:line="46"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estimated to be amortized through cost of product sales and contract manufacturing over the next five years based on estimated inventory turnover, which will increase costs of product sales and contract manufacturing during such period.</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summarizes the preliminary estimated fair value of intangible assets acquired and the estimated amortization periods: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Corporate Trade Name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2,800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Marketed Products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Licensed Products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Biodefense Products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Contract Manufacturing</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5,600</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identified intangible assets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determined the estimated fair value of the intangibles assets using the income approach, which is based on the present value of future cash flows. The fair value measurements are based on significant unobservable inputs that are developed by the Company using estimates and assumptions of the respective market and market penetration of the Company's products.</w:t>
      </w:r>
    </w:p>
    <w:p>
      <w:pPr>
        <w:spacing w:after="0" w:line="198"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16"/>
          <w:szCs w:val="16"/>
          <w:color w:val="auto"/>
        </w:rPr>
        <w:t>A substantial portion of the assets acquired from Cangene consisted of intangible assets. The Marketed Products intangible asset includes WinRho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SDF (Rh</w:t>
      </w:r>
      <w:r>
        <w:rPr>
          <w:rFonts w:ascii="Arial" w:cs="Arial" w:eastAsia="Arial" w:hAnsi="Arial"/>
          <w:sz w:val="26"/>
          <w:szCs w:val="26"/>
          <w:color w:val="auto"/>
          <w:vertAlign w:val="subscript"/>
        </w:rPr>
        <w:t>o</w:t>
      </w:r>
      <w:r>
        <w:rPr>
          <w:rFonts w:ascii="Arial" w:cs="Arial" w:eastAsia="Arial" w:hAnsi="Arial"/>
          <w:sz w:val="16"/>
          <w:szCs w:val="16"/>
          <w:color w:val="auto"/>
        </w:rPr>
        <w:t>(D) Immune Globulin Intravenous (Human)) and VARIZIG</w:t>
      </w:r>
      <w:r>
        <w:rPr>
          <w:rFonts w:ascii="Arial" w:cs="Arial" w:eastAsia="Arial" w:hAnsi="Arial"/>
          <w:sz w:val="26"/>
          <w:szCs w:val="26"/>
          <w:color w:val="auto"/>
          <w:vertAlign w:val="superscript"/>
        </w:rPr>
        <w:t>®</w:t>
      </w:r>
      <w:r>
        <w:rPr>
          <w:rFonts w:ascii="Arial" w:cs="Arial" w:eastAsia="Arial" w:hAnsi="Arial"/>
          <w:sz w:val="16"/>
          <w:szCs w:val="16"/>
          <w:color w:val="auto"/>
        </w:rPr>
        <w:t xml:space="preserve"> (Varicella Zoster Immune Globulin (Human)). The Licensed Products intangible asset includes HepaGam B</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(Hepatitis B Immune Globulin Intravenous (Human)) and episil</w:t>
      </w:r>
      <w:r>
        <w:rPr>
          <w:rFonts w:ascii="Arial" w:cs="Arial" w:eastAsia="Arial" w:hAnsi="Arial"/>
          <w:sz w:val="26"/>
          <w:szCs w:val="26"/>
          <w:color w:val="auto"/>
          <w:vertAlign w:val="superscript"/>
        </w:rPr>
        <w:t>®</w:t>
      </w:r>
      <w:r>
        <w:rPr>
          <w:rFonts w:ascii="Arial" w:cs="Arial" w:eastAsia="Arial" w:hAnsi="Arial"/>
          <w:sz w:val="16"/>
          <w:szCs w:val="16"/>
          <w:color w:val="auto"/>
        </w:rPr>
        <w:t>. The Biodefense intangible asset includes BAT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(Botulism Antitoxin Heptavalent (A, B, C, D, E, F, G)-Equine), AIGIV (Anthrax Immune Globulin Intravenous (Human)) and VIGIV (Vaccinia Immune Globulin Intravenous (Human)). The Contract Manufacturing intangible asset is primarily related to contract manufacturing operations in Baltimore, Maryland.</w:t>
      </w:r>
    </w:p>
    <w:p>
      <w:pPr>
        <w:spacing w:after="0" w:line="23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estimated the fair value of the Marketed, Licensed and Biodefense Product intangible assets using the income approach with a present value discount rate of 15%, which is based on the estimated weighted-average cost of capital for companies with profiles substantially similar to that of Cangene. This is comparable to the estimated internal rate of return for the acquisition and represents the rate that market participants would use to value these intangible assets. The projected cash flows from these Marketed, Licensed and Biodefense Product intangible assets were based on key assumptions including: estimates of revenues and operating profits; the life of the potential commercialized product and associated risks; and risks related to the viability of and potential alternative treatments in any future target markets.</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estimated the fair value of the Contract Manufacturing intangible asset using the income approach with a present value discount rate of 15%, which is based on the estimated weighted-average cost of capital for companies with profiles substantially similar to that of Cangene. This is comparable to the estimated internal rate of return for the acquisition and represents the rate that market participants would use to value this intangible asset. The projected cash flows from the Contract Manufacturing intangible asset was based on key assumptions including: estimates of revenues and operating profits; and viability of attaining/maintaining future third-party manufacturing relationships with the Company's customers.</w:t>
      </w:r>
    </w:p>
    <w:p>
      <w:pPr>
        <w:sectPr>
          <w:pgSz w:w="11900" w:h="16838" w:orient="portrait"/>
          <w:cols w:equalWidth="0" w:num="1">
            <w:col w:w="11420"/>
          </w:cols>
          <w:pgMar w:left="240" w:top="125" w:right="239" w:bottom="60" w:gutter="0" w:footer="0" w:header="0"/>
        </w:sectPr>
      </w:pPr>
    </w:p>
    <w:bookmarkStart w:id="9" w:name="page10"/>
    <w:bookmarkEnd w:id="9"/>
    <w:p>
      <w:pPr>
        <w:jc w:val="both"/>
        <w:ind w:firstLine="648"/>
        <w:spacing w:after="0" w:line="312" w:lineRule="auto"/>
        <w:rPr>
          <w:sz w:val="20"/>
          <w:szCs w:val="20"/>
          <w:color w:val="auto"/>
        </w:rPr>
      </w:pPr>
      <w:r>
        <w:rPr>
          <w:rFonts w:ascii="Arial" w:cs="Arial" w:eastAsia="Arial" w:hAnsi="Arial"/>
          <w:sz w:val="16"/>
          <w:szCs w:val="16"/>
          <w:color w:val="auto"/>
        </w:rPr>
        <w:t>The Company estimated the fair value of the Corporate Trade Name intangible asset using the relief of royalty method with a present value discount rate of 15%, which is based on the estimated weighted-average cost of capital for companies with profiles substantially similar to that of Cangene. This is comparable to the estimated internal rate of return for the acquisition and represents the rate that market participants would use to value this intangible asset.</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weighted average amortization period of the intangible assets is 116 months. For the three months ended March 31, 2014, the Company recorded amortization expense of $450,000 for intangible assets acquired from Cangene, which has been recorded in cost of product sales and contract manufacturing. Amortization expense of $237,000 and $213,000 was recorded within the Biosciences and Biodefense segments, respectively.</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Intangible assets associated with in-process research and development ("IPR&amp;D") acquired from Cangene relate to the IXinity product candidate. Management determined that the estimated acquisition-date fair value of intangible assets related to IPR&amp;D was $8.5 million. The estimated fair value was determined using the income approach, which discounts expected future cash flows to present value. The Company estimated the fair value using a present value discount rate of 16%, which is based on the estimated weighted-average cost of capital for companies with profiles substantially similar to that of Cangene. This is comparable to the estimated internal rate of return for the acquisition and represents the rate that market participants would use to value the IPR&amp;D. The projected cash flows from the IPR&amp;D projects were based on key assumptions including: estimates of revenues and operating profits related to each project considering its stage of development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 IPR&amp;D assets are considered to be indefinite-lived until the completion or abandonment of the associated research and development efforts.</w:t>
      </w:r>
    </w:p>
    <w:p>
      <w:pPr>
        <w:spacing w:after="0" w:line="2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recorded approximately $31.8 million in goodwill related to the Cangene acquisition, representing the purchase price paid in the acquisition that was in excess of the fair value of the tangible and intangible assets acquired. None of the goodwill generated from the Cangene acquisition is expected to be deductible for tax purposes.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has incurred transaction costs related to the Cangene acquisition of approximately $3.7 million for the three months ended March 31, 2014, which has been recorded in selling, general and administrative expenses within the Company's Biosciences segment. The Company has incurred to date a total of $7.0 million through March 31, 2014 in transaction costs associated with the Cangene acquisition, of which $3.3 million was incurred in 2013.</w:t>
      </w:r>
    </w:p>
    <w:p>
      <w:pPr>
        <w:spacing w:after="0" w:line="17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From the date of the acquisition to March 31, 2014, the Company has recognized revenues of $10.6 million and a net loss attributable to Emergent BioSolutions Inc. of $2.9 million from the operations of the acquired entity.</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pro forma information is presented as if the acquisition had occurred on January 1, 2013, and combines the historical results of operations of the Company and Cangene for the periods ended March 31, 2014 and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37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Pro forma net loss</w:t>
            </w:r>
          </w:p>
        </w:tc>
        <w:tc>
          <w:tcPr>
            <w:tcW w:w="39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(21,730)</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(17,227)</w:t>
            </w:r>
          </w:p>
        </w:tc>
      </w:tr>
    </w:tbl>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Healthcare Protective Products Division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1, 2013, the Company acquired substantially all of the assets of the HPPD, a division of Bracco Diagnostics Inc. ("Bracco"), for $25.9 million in cash along with contingent purchase consideration obligations to Bracco. The assets acquired in this acquisition include HPPD's product, RSDL, and a majority of the customer and distributor agreements associated with RSDL along with $1.5 million of manufacturing equipment. In addition, the Company assumed a $1.5 million liability associated with the Canadian Technology Development Fund. The acquisition diversifies the Biodefense segment by adding product sales from RSDL.</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contingent purchase consideration obligation due to Bracco is based on a percentage of RSDL net sales, ranging from 5-10%, for the period August 1, 2013 through July 31, 2028. At August 1, 2013, the contingent purchase consideration obligation was recorded at a fair value of $16.2 million. The Level 3 fair value of this obligation is based on management's assessment of the potential future realization of the contingent purchase consideration payments. This assessment is based on inputs that have no observable market. The obligation is measured using the income approach (a discounted cash flow model).</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purchase price is summarized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180" w:type="dxa"/>
            <w:vAlign w:val="bottom"/>
            <w:gridSpan w:val="2"/>
          </w:tcPr>
          <w:p>
            <w:pPr>
              <w:spacing w:after="0"/>
              <w:rPr>
                <w:sz w:val="20"/>
                <w:szCs w:val="20"/>
                <w:color w:val="auto"/>
              </w:rPr>
            </w:pPr>
            <w:r>
              <w:rPr>
                <w:rFonts w:ascii="Arial" w:cs="Arial" w:eastAsia="Arial" w:hAnsi="Arial"/>
                <w:sz w:val="18"/>
                <w:szCs w:val="18"/>
                <w:color w:val="auto"/>
              </w:rPr>
              <w:t>Amount of cash paid to Bracco Diagnostics Inc.</w:t>
            </w: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25,873</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contigent purchase consideration</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Total purchase price</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42,105</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summarizes the allocation of the purchase price based upon fair values of assets acquired and liabilities assumed at August 1, 2013.</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0160" w:type="dxa"/>
            <w:vAlign w:val="bottom"/>
          </w:tcPr>
          <w:p>
            <w:pPr>
              <w:ind w:left="140"/>
              <w:spacing w:after="0"/>
              <w:rPr>
                <w:sz w:val="20"/>
                <w:szCs w:val="20"/>
                <w:color w:val="auto"/>
              </w:rPr>
            </w:pPr>
            <w:r>
              <w:rPr>
                <w:rFonts w:ascii="Arial" w:cs="Arial" w:eastAsia="Arial" w:hAnsi="Arial"/>
                <w:sz w:val="18"/>
                <w:szCs w:val="18"/>
                <w:color w:val="auto"/>
              </w:rPr>
              <w:t>Acquired intangible assets</w:t>
            </w: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40"/>
              <w:spacing w:after="0"/>
              <w:rPr>
                <w:sz w:val="20"/>
                <w:szCs w:val="20"/>
                <w:color w:val="auto"/>
              </w:rPr>
            </w:pPr>
            <w:r>
              <w:rPr>
                <w:rFonts w:ascii="Arial" w:cs="Arial" w:eastAsia="Arial" w:hAnsi="Arial"/>
                <w:sz w:val="18"/>
                <w:szCs w:val="18"/>
                <w:color w:val="auto"/>
              </w:rPr>
              <w:t>Acquired equipment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tcPr>
          <w:p>
            <w:pPr>
              <w:ind w:left="120"/>
              <w:spacing w:after="0"/>
              <w:rPr>
                <w:sz w:val="20"/>
                <w:szCs w:val="20"/>
                <w:color w:val="auto"/>
              </w:rPr>
            </w:pPr>
            <w:r>
              <w:rPr>
                <w:rFonts w:ascii="Arial" w:cs="Arial" w:eastAsia="Arial" w:hAnsi="Arial"/>
                <w:sz w:val="18"/>
                <w:szCs w:val="18"/>
                <w:color w:val="auto"/>
              </w:rPr>
              <w:t>Assumed liabilities</w:t>
            </w: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(1,464)</w:t>
            </w:r>
          </w:p>
        </w:tc>
      </w:tr>
      <w:tr>
        <w:trPr>
          <w:trHeight w:val="257"/>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 substantial portion of the assets acquired from Bracco consisted of intangible assets associated with the RSDL product. As of the date of acquisition, the Company has recorded intangible assets of approximately $28.6 million related to RSDL, which is being amortized over 8 years, and $3.5 million related to a manufacturing agreement with Bracco, which is being amortized over 3 years. For the three months ended March 31, 2014, the Company</w:t>
      </w:r>
    </w:p>
    <w:p>
      <w:pPr>
        <w:sectPr>
          <w:pgSz w:w="11900" w:h="16838" w:orient="portrait"/>
          <w:cols w:equalWidth="0" w:num="1">
            <w:col w:w="11420"/>
          </w:cols>
          <w:pgMar w:left="240" w:top="125" w:right="239" w:bottom="0" w:gutter="0" w:footer="0" w:header="0"/>
        </w:sectPr>
      </w:pPr>
    </w:p>
    <w:bookmarkStart w:id="10" w:name="page11"/>
    <w:bookmarkEnd w:id="10"/>
    <w:p>
      <w:pPr>
        <w:jc w:val="both"/>
        <w:spacing w:after="0" w:line="308" w:lineRule="auto"/>
        <w:rPr>
          <w:sz w:val="20"/>
          <w:szCs w:val="20"/>
          <w:color w:val="auto"/>
        </w:rPr>
      </w:pPr>
      <w:r>
        <w:rPr>
          <w:rFonts w:ascii="Arial" w:cs="Arial" w:eastAsia="Arial" w:hAnsi="Arial"/>
          <w:sz w:val="17"/>
          <w:szCs w:val="17"/>
          <w:color w:val="auto"/>
        </w:rPr>
        <w:t>recorded $1.2 million amortization expense for intangible assets acquired from Bracco which was recorded in cost of product sales and contract manufacturing within the Company's Biodefense segment. The weighted average remaining amortization period for the intangible assets is 83 months.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recorded approximately $9.9 million in goodwill related to the HPPD acquisition representing the purchase price paid in the acquisition in excess of the fair value of the tangible and intangible assets acquired. This goodwill is included in the Company's biodefense segment. None of the goodwill generated from the HPPD acquisition is expected to be deductible for tax purposes.</w:t>
      </w:r>
    </w:p>
    <w:p>
      <w:pPr>
        <w:spacing w:after="0" w:line="20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has determined the historical results of HPPD were not significant to the Company's results of operations, and as such no proforma disclosures have been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56"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following table represents the Company's fair value hierarchy for its financial assets and liabilities measured at fair value on a recurring basis: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8"/>
                <w:szCs w:val="18"/>
                <w:b w:val="1"/>
                <w:bCs w:val="1"/>
                <w:color w:val="auto"/>
              </w:rPr>
              <w:t>At March 31, 2014</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Investment in money market funds (1)</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23,293</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23,293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23,293</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Contingent purchase consideration</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22,320</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22,320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gridSpan w:val="5"/>
            <w:shd w:val="clear" w:color="auto" w:fill="CCEEFF"/>
          </w:tcPr>
          <w:p>
            <w:pPr>
              <w:jc w:val="right"/>
              <w:ind w:right="620"/>
              <w:spacing w:after="0"/>
              <w:rPr>
                <w:sz w:val="20"/>
                <w:szCs w:val="20"/>
                <w:color w:val="auto"/>
              </w:rPr>
            </w:pPr>
            <w:r>
              <w:rPr>
                <w:rFonts w:ascii="Arial" w:cs="Arial" w:eastAsia="Arial" w:hAnsi="Arial"/>
                <w:sz w:val="18"/>
                <w:szCs w:val="18"/>
                <w:b w:val="1"/>
                <w:bCs w:val="1"/>
                <w:color w:val="auto"/>
                <w:w w:val="99"/>
              </w:rPr>
              <w:t>At Decembr 31, 2013</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Investment in money market funds (1)</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37,701</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37,701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37,701</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Contingent purchase consideration</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16,619</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16,619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Included in cash and cash equivalents in accompanying consolidated balance sheets.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2014 and 2013, the Company did not have any transfers between Level 1 and Level 2 assets or liabilities.</w:t>
      </w:r>
    </w:p>
    <w:p>
      <w:pPr>
        <w:spacing w:after="0" w:line="252"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The fair value of contingent purchase consideration obligations are based on management's assessment of changes as a result of adjustments to the discount rates and updates in the assumed and actual achievement of net sales for RSDL, HepaGam B and episil, which are inputs that have no observable market (Level 3). For the three months ended March 31, 2014, the contingent purchase consideration obligation increased by $412,000, primarily due to an adjustment to the actual and expected timing of RSDL, HepaGam B and episil sales. This increase resulted in a charge that is classified in the Company's statement of operations as cost of product sales and contract manufacturing.</w:t>
      </w:r>
    </w:p>
    <w:p>
      <w:pPr>
        <w:spacing w:after="0" w:line="3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is a reconciliation of the beginning and ending balance of the liabilities measured at fair value using significant unobservable inputs (Level 3) during the three months ended March 31,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 thousands)</w:t>
            </w:r>
          </w:p>
        </w:tc>
        <w:tc>
          <w:tcPr>
            <w:tcW w:w="3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40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Expense (income) included in earnings</w:t>
            </w:r>
          </w:p>
        </w:tc>
        <w:tc>
          <w:tcPr>
            <w:tcW w:w="3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Settlements</w:t>
            </w:r>
          </w:p>
        </w:tc>
        <w:tc>
          <w:tcPr>
            <w:tcW w:w="3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(487)</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Purchases, sales and issuances</w:t>
            </w:r>
          </w:p>
        </w:tc>
        <w:tc>
          <w:tcPr>
            <w:tcW w:w="3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Transfers in/(out) of Level 3</w:t>
            </w:r>
          </w:p>
        </w:tc>
        <w:tc>
          <w:tcPr>
            <w:tcW w:w="36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36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Separate disclosure is required for assets and liabilities measured at fair value on a recurring basis, as documented above, from those measured at fair value on a nonrecurring basis. As of March 31, 2013 the Company had no assets or liabilities that were measured at fair value on a nonrecurring basis.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4. Inventories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Inventories consist of the following:</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March 31,</w:t>
            </w:r>
          </w:p>
        </w:tc>
        <w:tc>
          <w:tcPr>
            <w:tcW w:w="2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9,819</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inventories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71,268</w:t>
            </w:r>
          </w:p>
        </w:tc>
        <w:tc>
          <w:tcPr>
            <w:tcW w:w="4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14,643</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3"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Intangible assets, in-process research and development and goodwill</w:t>
      </w:r>
    </w:p>
    <w:p>
      <w:pPr>
        <w:sectPr>
          <w:pgSz w:w="11900" w:h="16838" w:orient="portrait"/>
          <w:cols w:equalWidth="0" w:num="1">
            <w:col w:w="11420"/>
          </w:cols>
          <w:pgMar w:left="240" w:top="125" w:right="239" w:bottom="3" w:gutter="0" w:footer="0" w:header="0"/>
          <w:type w:val="continuous"/>
        </w:sectPr>
      </w:pPr>
    </w:p>
    <w:bookmarkStart w:id="11" w:name="page12"/>
    <w:bookmarkEnd w:id="11"/>
    <w:p>
      <w:pPr>
        <w:spacing w:after="0" w:line="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March 31, 2014, the Company had $50.3 million of IPR&amp;D assets, which are included in the Biosciences business segment. This includes $41.8 million related to the Company's otlertuzumab product candidate and $8.5 million related to the Company's IXinity product candidate.</w:t>
      </w: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rPr>
              <w:t>Corporate</w:t>
            </w:r>
          </w:p>
        </w:tc>
        <w:tc>
          <w:tcPr>
            <w:tcW w:w="8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Marketed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Licensed</w:t>
            </w:r>
          </w:p>
        </w:tc>
        <w:tc>
          <w:tcPr>
            <w:tcW w:w="8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6"/>
              </w:rPr>
              <w:t>Biodefense</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Contract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RSDL</w:t>
            </w:r>
          </w:p>
        </w:tc>
        <w:tc>
          <w:tcPr>
            <w:tcW w:w="12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Agreement</w:t>
            </w: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Tradename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Products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basis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rPr>
              <w:t>Balance at December 31,</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60" w:type="dxa"/>
            <w:vAlign w:val="bottom"/>
            <w:gridSpan w:val="2"/>
          </w:tcPr>
          <w:p>
            <w:pPr>
              <w:spacing w:after="0"/>
              <w:rPr>
                <w:sz w:val="20"/>
                <w:szCs w:val="20"/>
                <w:color w:val="auto"/>
              </w:rPr>
            </w:pPr>
            <w:r>
              <w:rPr>
                <w:rFonts w:ascii="Arial" w:cs="Arial" w:eastAsia="Arial" w:hAnsi="Arial"/>
                <w:sz w:val="18"/>
                <w:szCs w:val="18"/>
                <w:color w:val="auto"/>
              </w:rPr>
              <w:t>2013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28,621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3,478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32,099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8"/>
              </w:rPr>
              <w:t>Balance at March 31, 2014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28,621</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3,478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2,800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8,300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3,300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20,400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40" w:type="dxa"/>
            <w:vAlign w:val="bottom"/>
          </w:tcPr>
          <w:p>
            <w:pPr>
              <w:spacing w:after="0" w:line="198" w:lineRule="exact"/>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w:t>
            </w:r>
          </w:p>
        </w:tc>
        <w:tc>
          <w:tcPr>
            <w:tcW w:w="1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2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March 31, 2014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2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book value at March</w:t>
            </w:r>
          </w:p>
        </w:tc>
        <w:tc>
          <w:tcPr>
            <w:tcW w:w="1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31, 2014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26,273</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20,187</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3220" w:type="dxa"/>
            <w:vAlign w:val="bottom"/>
            <w:gridSpan w:val="4"/>
          </w:tcPr>
          <w:p>
            <w:pPr>
              <w:jc w:val="right"/>
              <w:spacing w:after="0"/>
              <w:rPr>
                <w:sz w:val="20"/>
                <w:szCs w:val="20"/>
                <w:color w:val="auto"/>
              </w:rPr>
            </w:pPr>
            <w:r>
              <w:rPr>
                <w:rFonts w:ascii="Arial" w:cs="Arial" w:eastAsia="Arial" w:hAnsi="Arial"/>
                <w:sz w:val="18"/>
                <w:szCs w:val="18"/>
                <w:color w:val="auto"/>
              </w:rPr>
              <w:t>Goodwill consists of the following:</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basis</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w w:val="91"/>
              </w:rPr>
              <w:t>Balance at December 31, 2013</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Additions</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8"/>
              </w:rPr>
              <w:t>Balance at March 31, 2014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29, 2014, the Company issued $250.0 million aggregate principal amount of 2.875% Convertible Senior Notes due 2021 (the "Notes"). The Notes bear interest at a rate of 2.875% per year, payable semi-annually in arrears on January 15 and July 15 of each year, commencing July 15, 2014. The Notes mature on January 15, 2021, unless earlier purchased by the Company, redeemed or converted. The conversion rate is equal to 30.8821 shares of common stock per $1,000 principal amount of notes (which is equivalent to an initial conversion price of approximately $32.38 per share of common stock). The conversion rate will be subject to adjustment upon the occurrence of certain specified events but will not be adjusted for accrued and unpaid interest. The Company incurred approximately $8.3 million in debt issuance costs associated with the Notes which has been capitalized on the consolidated balance sheets and is being amortized over seven years.</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11, 2013, the Company entered into a senior secured credit agreement (the "Credit Agreement") with three lending financial institutions (the "Lenders"), led by Bank of America, N.A., as administrative agent. The Credit Agreement originally provided for a revolving credit facility of up to $100 million through December 11, 2018 (or such earlier date required by the terms of the Credit Agreement) and a term loan facility of up to $125 million to be drawn in full, if at all, on or prior to March 31, 2014. In connection with the Credit Agreement, the Company borrowed $62.0 million under the revolving credit facility primarily to repay obligations under existing loan agreements. On January 29, 2014, in connection with the Company's issuance of the Notes, the unused $125 million term loan portion of the Credit Agreement terminated automatically in accordance with the terms of the Credit Agreement. In addition, following the closing of the Notes offering, we repaid the $62.0 million outstanding indebtedness under the revolving credit facility, which restored the full $100 million revolving credit capacity under this facility. In addition, the Company expensed $1.8 million of debt issuance cost associated with the term loan facility. As of March 31, 2014, no amounts were drawn under the revolving credit facility.</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payment obligations under the Credit Agreement are secured by a lien on substantially all of the Company's assets, including the stock of all of the Company's subsidiaries, and the assets of the subsidiary guarantors, including mortgages over certain of their real properties, including the Company's large-scale vaccine manufacturing facility in Lansing, Michigan and the Company's product development and manufacturing facility in Baltimore, Maryland.</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Credit Agreement, as amended, contains affirmative and negative covenants customary for financings of this type. Negative covenants in the Credit Agreement limit the Company's ability to, among other things: incur indebtedness (other than the issuance of the Notes) and liens; dispose of assets; make investments including loans, advances or guarantees; and enter into certain mergers or similar transactions. The Credit Agreement also contains financial covenants, tested quarterly and in connection with any triggering events under the Credit Agreement that include the maintenance of: (1) a minimum consolidated debt service coverage ratio of 2.50 to 1.00, (2) a maximum consolidated leverage ratio for the period ending on or prior to September 30, 2014 of 4.00 to 1.00, for the measurement period ending December 31, 2014 of 3.75 to 1.00, and thereafter of 3.50 to 1.00, (3) a maximum consolidated senior leverage ratio of 2.00 to 1.00 (when no term loan is outstanding) and (4) a minimum liquidity requirement of $50 million. Upon the occurrence and continuance of an event of default under the Credit Agreement, the commitments of the lenders to make loans under the Credit Agreement may be terminated (other than commitments to make the term loan, which may only be terminated upon the occurrence and continuance of certain specified defaults) and the Company's payment obligations under the Credit Agreement may be accelerated. The events of default under the Credit Agreement include, among others, subject in some cases to specified cure periods: payment defaults; inaccuracy of representations and warranties in any material respect; defaults in the observance or performance of covenants; bankruptcy and insolvency related defaults; the entry of a final judgment in excess of a threshold amount; change of control; and the invalidity of loan documents relating to the Credit Agreement.</w:t>
      </w:r>
    </w:p>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January 2014, the Company entered into forgiveable loan agreements with the State of Maryland and Montgomery County, Maryland for which the Company received $1.0 million. The proceeds of the forgiveable loans were used to reimburse the Company for eligible costs it incurred to relocate and</w:t>
      </w:r>
    </w:p>
    <w:p>
      <w:pPr>
        <w:sectPr>
          <w:pgSz w:w="11900" w:h="16867" w:orient="portrait"/>
          <w:cols w:equalWidth="0" w:num="1">
            <w:col w:w="11420"/>
          </w:cols>
          <w:pgMar w:left="240" w:top="125" w:right="239" w:bottom="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expand its headquarters operations and improve its research and development facility in Maryland, collectively the ("Montgomery County Site"). The principal and accrued interest may be forgiven if specified employment levels are achieved and maintained and at least $15.0 million in project costs are expended at the Montgomery County Site prior to December 2018. If the Company fails to meet the criteria above, it will have to repay all or a portion of the loan.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awards</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is a summary of stock option award activity under the Second Amended and Restated Emergent BioSolutions Inc., 2006 Stock Incentive Plan (the "2006 Plan") and the Emergent BioSolutions Employee Stock Option Plan (the "2004 Plan"):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780" w:type="dxa"/>
            <w:vAlign w:val="bottom"/>
            <w:gridSpan w:val="8"/>
          </w:tcPr>
          <w:p>
            <w:pPr>
              <w:ind w:left="900"/>
              <w:spacing w:after="0"/>
              <w:rPr>
                <w:sz w:val="20"/>
                <w:szCs w:val="20"/>
                <w:color w:val="auto"/>
              </w:rPr>
            </w:pPr>
            <w:r>
              <w:rPr>
                <w:rFonts w:ascii="Arial" w:cs="Arial" w:eastAsia="Arial" w:hAnsi="Arial"/>
                <w:sz w:val="18"/>
                <w:szCs w:val="18"/>
                <w:b w:val="1"/>
                <w:bCs w:val="1"/>
                <w:color w:val="auto"/>
              </w:rPr>
              <w:t>2006 Plan</w:t>
            </w:r>
          </w:p>
        </w:tc>
        <w:tc>
          <w:tcPr>
            <w:tcW w:w="258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2004 Plan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Weighted-</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Exercise Price</w:t>
            </w:r>
          </w:p>
        </w:tc>
        <w:tc>
          <w:tcPr>
            <w:tcW w:w="13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Exercise 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3,639,995</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53,156</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23,148,738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1,013,221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28.09</w:t>
            </w:r>
          </w:p>
        </w:tc>
        <w:tc>
          <w:tcPr>
            <w:tcW w:w="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(483,569)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16.82</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(32,721)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15.93</w:t>
            </w:r>
          </w:p>
        </w:tc>
        <w:tc>
          <w:tcPr>
            <w:tcW w:w="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4,136,926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53,156</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26,541,184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Exercisable at March 31, 2014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2,164,933</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17.66</w:t>
            </w:r>
          </w:p>
        </w:tc>
        <w:tc>
          <w:tcPr>
            <w:tcW w:w="40" w:type="dxa"/>
            <w:vAlign w:val="bottom"/>
          </w:tcPr>
          <w:p>
            <w:pPr>
              <w:spacing w:after="0"/>
              <w:rPr>
                <w:sz w:val="18"/>
                <w:szCs w:val="18"/>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53,156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17,357,967</w:t>
            </w: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460" w:type="dxa"/>
            <w:vAlign w:val="bottom"/>
            <w:gridSpan w:val="9"/>
          </w:tcPr>
          <w:p>
            <w:pPr>
              <w:ind w:left="640"/>
              <w:spacing w:after="0"/>
              <w:rPr>
                <w:sz w:val="20"/>
                <w:szCs w:val="20"/>
                <w:color w:val="auto"/>
              </w:rPr>
            </w:pPr>
            <w:r>
              <w:rPr>
                <w:rFonts w:ascii="Arial" w:cs="Arial" w:eastAsia="Arial" w:hAnsi="Arial"/>
                <w:sz w:val="18"/>
                <w:szCs w:val="18"/>
                <w:color w:val="auto"/>
                <w:w w:val="99"/>
              </w:rPr>
              <w:t>The following is a summary of restricted stock unit award activity under the 2006 Plan:</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Grant 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792,626</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18,246,611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506,612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(298,489)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(15,462)</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2014</w:t>
            </w: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985,287</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24,898,202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Variable interest entities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July 2008, the Company entered into a collaboration with the University of Oxford ("Oxford") and certain Oxford researchers to advance a vaccine product candidate for tuberculosis, resulting in the formation of the Oxford-Emergent Tuberculosis Consortium ("OETC"). The Company liquidated OETC during the three month period ending March 31, 2014. In addition, the Company recorded an adjustment related to noncontrolling interest of $453,000 due to the liquidation. This adjustment was recorded as selling, general and administrative expense within the Company's Biosciences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Basic earnings per share is computed by dividing net income (loss) by the weighted average number of shares of common stock outstanding during the period. Diluted earnings per share is computed using the if-converted method by dividing net income (loss) (adjusted for interest expense, net of tax, and amortization of debt issuance cost, net of tax, associated with the Company's convertible debt) by the weighted average number of shares of common stock outstanding during the period, adjusted for the potential dilutive effect of other securities if such securities were converted or exercised.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00" w:type="dxa"/>
            <w:vAlign w:val="bottom"/>
          </w:tcPr>
          <w:p>
            <w:pPr>
              <w:ind w:left="640"/>
              <w:spacing w:after="0"/>
              <w:rPr>
                <w:sz w:val="20"/>
                <w:szCs w:val="20"/>
                <w:color w:val="auto"/>
              </w:rPr>
            </w:pPr>
            <w:r>
              <w:rPr>
                <w:rFonts w:ascii="Arial" w:cs="Arial" w:eastAsia="Arial" w:hAnsi="Arial"/>
                <w:sz w:val="18"/>
                <w:szCs w:val="18"/>
                <w:color w:val="auto"/>
              </w:rPr>
              <w:t>The following table presents the calculation of basic and diluted net loss per share:</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41"/>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(20,236)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applicable to convertible debt, net of tax</w:t>
            </w:r>
          </w:p>
        </w:tc>
        <w:tc>
          <w:tcPr>
            <w:tcW w:w="1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Amortization of debt issuance costs, net of tax</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Weighted-average number of shares—basic</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36,854,370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35,968,064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Dilutive securities—equity awards</w:t>
            </w:r>
          </w:p>
        </w:tc>
        <w:tc>
          <w:tcPr>
            <w:tcW w:w="1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Weighted-average number of shares—diluted</w:t>
            </w:r>
          </w:p>
        </w:tc>
        <w:tc>
          <w:tcPr>
            <w:tcW w:w="1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36,854,370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35,968,064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Earnings per share-basic</w:t>
            </w:r>
          </w:p>
        </w:tc>
        <w:tc>
          <w:tcPr>
            <w:tcW w:w="13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(0.55)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13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No adjustment to the net loss was computed under the if-converted method as the effect would have been anti-dilutive. For the three months ended March 31, 2014 and 2013, outstanding stock options to purchase approximately 5.2 million and 5.0 million shares of common stock, respectively, along with 8.1 million shares related to the Company's convertible debt, were excluded from the calculation of diluted earnings per share because of the adjusted net loss incurred for the three months ended March 31, 2014 and 2013 would make these awards anti-dilutive.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ectPr>
          <w:pgSz w:w="11900" w:h="16838" w:orient="portrait"/>
          <w:cols w:equalWidth="0" w:num="1">
            <w:col w:w="11420"/>
          </w:cols>
          <w:pgMar w:left="240" w:top="125" w:right="239" w:bottom="90" w:gutter="0" w:footer="0" w:header="0"/>
        </w:sectPr>
      </w:pPr>
    </w:p>
    <w:bookmarkStart w:id="13" w:name="page14"/>
    <w:bookmarkEnd w:id="13"/>
    <w:p>
      <w:pPr>
        <w:jc w:val="both"/>
        <w:ind w:firstLine="648"/>
        <w:spacing w:after="0" w:line="257" w:lineRule="auto"/>
        <w:rPr>
          <w:sz w:val="20"/>
          <w:szCs w:val="20"/>
          <w:color w:val="auto"/>
        </w:rPr>
      </w:pPr>
      <w:r>
        <w:rPr>
          <w:rFonts w:ascii="Arial" w:cs="Arial" w:eastAsia="Arial" w:hAnsi="Arial"/>
          <w:sz w:val="18"/>
          <w:szCs w:val="18"/>
          <w:color w:val="auto"/>
        </w:rPr>
        <w:t>For financial reporting purposes, the Company reports financial information for two business segments: Biodefense and Biosciences. The Company's two business segments, or divisions, engage in business activities for which discrete financial information is reviewed by the chief operating decision maker. The accounting policies of the reportable segments are the same as those described in the summary of significant accounting policies. The Company's reportable segments are business units that offer different products and product candidates and are managed separately because they manufacture and develop distinct products with different manufacturing and development processes.</w:t>
      </w:r>
    </w:p>
    <w:p>
      <w:pPr>
        <w:spacing w:after="0" w:line="21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Biodefense division is directed to government-sponsored development and supply of countermeasures against potential agents of bioterror or biowarfare and consists of two business units: vaccines and therapeutics, and medical devices. Revenues in this segment are primarily from sales of the Company's FDA-licensed product, BioThrax® (Anthrax Vaccine Adsorbed), to the U.S. government. The Biosciences division is directed to commercial opportunities and primarily targets hematology/oncology, transplantation and infectious diseases, and consists of two business units, therapeutics and vaccines. The "All Other" segment relates to the general operating costs of the Company and includes costs of the centralized services departments, which are not allocated to the other segments, as well as spending on activities that are not classified as Biodefense or Biosciences.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rPr>
              <w:t>Reportable Segments</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Biodefense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Biosciences</w:t>
            </w:r>
          </w:p>
        </w:tc>
        <w:tc>
          <w:tcPr>
            <w:tcW w:w="1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All Other</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2014</w:t>
            </w:r>
          </w:p>
        </w:tc>
        <w:tc>
          <w:tcPr>
            <w:tcW w:w="1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External revenue</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47,439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6,445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53,884</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(19,510)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(20,236)</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Three Months Ended March 31, 2013</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External revenue</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42,159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43,100</w:t>
            </w:r>
          </w:p>
        </w:tc>
      </w:tr>
      <w:tr>
        <w:trPr>
          <w:trHeight w:val="230"/>
        </w:trPr>
        <w:tc>
          <w:tcPr>
            <w:tcW w:w="20" w:type="dxa"/>
            <w:vAlign w:val="bottom"/>
          </w:tcPr>
          <w:p>
            <w:pPr>
              <w:spacing w:after="0"/>
              <w:rPr>
                <w:sz w:val="20"/>
                <w:szCs w:val="20"/>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4,610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(11,372)</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(8,062)</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Some of the information contained in this discussion and analysis or set forth elsewhere in this quarterly report on Form 10-Q, including information with respect to our plans and strategy for our business and financing, includes forward-looking statements that involve risks and uncertainties. You should review the "Special Note Regarding Forward-Looking Statements" and "Risk Factors"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Overview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Product Portfolio</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Emergent BioSolutions Inc. is a specialty pharmaceutical company seeking to protect and enhance life by offering specialized products to healthcare providers and governments for use in addressing medical needs and emerging health threats. We have two operating divisions: Biodefense and Biosciences. For financial reporting purposes, we operate in two business segments that correspond to these two divisions.</w:t>
      </w:r>
    </w:p>
    <w:p>
      <w:pPr>
        <w:spacing w:after="0" w:line="208"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18"/>
          <w:szCs w:val="18"/>
          <w:color w:val="auto"/>
        </w:rPr>
        <w:t>On February 21, 2014, we acquired Cangene Corporation, or Cangene, for approximately $222 million. As part of the acquisition, we received the following revenue-generating products: BAT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(Botulism Antitoxin Heptavalent (A, B, C, D, E, F, G)-Equine) , AIGIV (Anthrax Immune Globulin Intravenous (Human)) and VIGIV (Vaccinia Immune Globulin Intravenous (Human)) in the Biodefense segment; and WinRho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SDF (Rh</w:t>
      </w:r>
      <w:r>
        <w:rPr>
          <w:rFonts w:ascii="Arial" w:cs="Arial" w:eastAsia="Arial" w:hAnsi="Arial"/>
          <w:sz w:val="30"/>
          <w:szCs w:val="30"/>
          <w:color w:val="auto"/>
          <w:vertAlign w:val="subscript"/>
        </w:rPr>
        <w:t>o</w:t>
      </w:r>
      <w:r>
        <w:rPr>
          <w:rFonts w:ascii="Arial" w:cs="Arial" w:eastAsia="Arial" w:hAnsi="Arial"/>
          <w:sz w:val="18"/>
          <w:szCs w:val="18"/>
          <w:color w:val="auto"/>
        </w:rPr>
        <w:t>(D) Immune Globulin Intravenous (Human)), HepaGam B</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(Hepatitis B Immune Globulin Intravenous (Human)), VARIZIG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(Varicella Zoster Immune Globulin (Human)) and episil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the Biosciences segment.</w:t>
      </w:r>
    </w:p>
    <w:p>
      <w:pPr>
        <w:spacing w:after="0" w:line="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Biodefense division is a specialty pharmaceutical business focused on countermeasures that address Chemical, Biological, Radiological and Nuclear, or CBRN, threats. The U. S. government is the primary purchaser of our Biodefense products, and often provides us with substantial funding for the development of our Biodefense product candidates. Our Biodefense portfolio consists of five revenue-generating products, including BioThrax® (Anthrax Vaccine Adsorbed), the only vaccine approved by the U.S. Food and Drug Administration, or the FDA, for the prevention of anthrax disease, RSDL® (decontamination lotion), BAT, AIGIV and VIGIV, and various investigational stage product candidates. Operations that support this division include manufacturing, regulatory affairs, quality assurance, quality control, international sales and marketing, and domestic government affairs in support of our marketed products, as well as product development and manufacturing infrastructure in support of our investigational stage product candidates.</w:t>
      </w:r>
    </w:p>
    <w:p>
      <w:pPr>
        <w:spacing w:after="0" w:line="1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Biosciences division is a specialty pharmaceutical business focused on therapeutics and vaccines in hematology/oncology, transplantation and infectious disease. Our Biosciences portfolio consists of four revenue generating products, including WinRho, HepaGam B, VARIZIG, and episil, as well as various investigational stage product candidates and a contract manufacturing services business, which we acquired in our recent acquisition of Cangene. Operations that support this division include manufacturing, quality, regulatory, medical affairs, and sales and marketing in support of our marketed products, as well as additional product development capabilities in support of our investigational stage product candidates.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Biodefense segment has generated net income for each of the last five fiscal years. Over this same time frame, our Biosciences segment has generated revenue through development contracts and collaborative funding, but has not generated any product sales revenues. As a result, our Biosciences segment has incurred a net loss for each of the last five fiscal years.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Sales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derived substantially all of our historical product sales revenues from BioThrax sales to the U.S. government. We are currently a party to a contract with the Centers for Disease Control and Prevention, or CDC, an operating division of the U.S. Department of Health and Human Services, or HHS, to supply up to 44.75 million doses of BioThrax for placement into the Strategic National Stockpile, or SNS, over a five-year period ending September 30, 2016. We expect that we will continue to derive substantial product sales revenues from our sales of BioThrax to the U.S. government. Our total revenues from BioThrax sales were $24.5 million and $30.4 million for three months ended March 31, 2014 and 2013, respectively. We are focused on increasing sales of BioThrax and RSDL to U.S. government customers, expanding the market for BioThrax and RSDL to other customers domestically and internationally and pursuing label expansions and improvements and increasing sales of the products acquired in our acquisition of Cangene.</w:t>
      </w:r>
    </w:p>
    <w:p>
      <w:pPr>
        <w:sectPr>
          <w:pgSz w:w="11900" w:h="16838" w:orient="portrait"/>
          <w:cols w:equalWidth="0" w:num="1">
            <w:col w:w="11420"/>
          </w:cols>
          <w:pgMar w:left="240" w:top="125" w:right="239" w:bottom="0" w:gutter="0" w:footer="0" w:header="0"/>
        </w:sectPr>
      </w:pP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Contract Manufacturing</w:t>
      </w:r>
    </w:p>
    <w:p>
      <w:pPr>
        <w:sectPr>
          <w:pgSz w:w="11900" w:h="16838" w:orient="portrait"/>
          <w:cols w:equalWidth="0" w:num="1">
            <w:col w:w="11420"/>
          </w:cols>
          <w:pgMar w:left="240" w:top="125" w:right="239" w:bottom="0" w:gutter="0" w:footer="0" w:header="0"/>
          <w:type w:val="continuous"/>
        </w:sectPr>
      </w:pPr>
    </w:p>
    <w:bookmarkStart w:id="14" w:name="page15"/>
    <w:bookmarkEnd w:id="14"/>
    <w:p>
      <w:pPr>
        <w:jc w:val="both"/>
        <w:ind w:firstLine="648"/>
        <w:spacing w:after="0" w:line="302" w:lineRule="auto"/>
        <w:rPr>
          <w:sz w:val="20"/>
          <w:szCs w:val="20"/>
          <w:color w:val="auto"/>
        </w:rPr>
      </w:pPr>
      <w:r>
        <w:rPr>
          <w:rFonts w:ascii="Arial" w:cs="Arial" w:eastAsia="Arial" w:hAnsi="Arial"/>
          <w:sz w:val="16"/>
          <w:szCs w:val="16"/>
          <w:color w:val="auto"/>
        </w:rPr>
        <w:t>We provide contract manufacturing services, including biopharmaceutical product development and filling services for injectable and other sterile products, as well as process design, technical transfer, manufacturing validations, laboratory support, aseptic filling, lyophilization and accelerated and ongoing stability studies. We produce finished units of commercial drugs for a variety of customers ranging from small biopharmaceutical companies to major multinationals. We are focused on increasing services to third party biopharmecutical companies, both domestically and internationally.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Contracts and Grants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seek to advance development of our product candidates through external funding arrangements. We may slow down development programs or place them on hold during periods that are not covered by external funding. In addition, we performed certain ongoing product-related services for which we receive funding. We have received funding from the U.S. government for the following programs:</w:t>
      </w:r>
    </w:p>
    <w:p>
      <w:pPr>
        <w:spacing w:after="0" w:line="18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8"/>
          <w:szCs w:val="18"/>
          <w:color w:val="auto"/>
        </w:rPr>
        <w:t>BioThrax as a post-exposure prophylaxis, or PEP;</w:t>
      </w:r>
    </w:p>
    <w:p>
      <w:pPr>
        <w:spacing w:after="0" w:line="23"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8"/>
          <w:szCs w:val="18"/>
          <w:color w:val="auto"/>
        </w:rPr>
        <w:t>NuThrax;</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8"/>
          <w:szCs w:val="18"/>
          <w:color w:val="auto"/>
        </w:rPr>
        <w:t>Large-scale manufacturing for BioThrax;</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8"/>
          <w:szCs w:val="18"/>
          <w:color w:val="auto"/>
        </w:rPr>
        <w:t>PreviThrax;</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8"/>
          <w:szCs w:val="18"/>
          <w:color w:val="auto"/>
        </w:rPr>
        <w:t>BAT;</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8"/>
          <w:szCs w:val="18"/>
          <w:color w:val="auto"/>
        </w:rPr>
        <w:t>AIGIV; and</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8"/>
          <w:szCs w:val="18"/>
          <w:color w:val="auto"/>
        </w:rPr>
        <w:t>VIGIV.</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continue to actively pursue additional government sponsored development contracts and grants and commercial collaborative relationships. We also encourage both governmental and non-governmental agencies and philanthropic organizations to provide funding or to conduct clinical studies of our product candidates.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Financial Operations Overview</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entered into a contract with the CDC effective as of September 30, 2011 to supply up to 44.75 million doses of BioThrax to the CDC over a five-year period. The period of performance under the award is from September 30, 2011 through September 30, 2016. The maximum amount that could be paid to us under the contract is up to $1.25 billion, subject to availability of funding by the U.S. government. To date, the U.S. government has committed approximately $704 million for the procurement of BioThrax doses under this contract. Through March 31, 2014, we have delivered and, upon CDC acceptance, recognized revenue on approximately 19 million doses, representing approximately $504 million in revenue under this contract.</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received contract and grant funding from the National Institute of Allergy and Infectious Diseases, or NIAID, and the Biomedical Advanced Research and Development Authority, or BARDA, for the following development programs: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Development Programs</w:t>
            </w:r>
          </w:p>
        </w:tc>
        <w:tc>
          <w:tcPr>
            <w:tcW w:w="290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Funding Source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 Date</w:t>
            </w:r>
          </w:p>
        </w:tc>
        <w:tc>
          <w:tcPr>
            <w:tcW w:w="1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Performance Period</w:t>
            </w:r>
          </w:p>
        </w:tc>
      </w:tr>
      <w:tr>
        <w:trPr>
          <w:trHeight w:val="202"/>
        </w:trPr>
        <w:tc>
          <w:tcPr>
            <w:tcW w:w="5140" w:type="dxa"/>
            <w:vAlign w:val="bottom"/>
          </w:tcPr>
          <w:p>
            <w:pPr>
              <w:spacing w:after="0" w:line="201" w:lineRule="exact"/>
              <w:rPr>
                <w:sz w:val="20"/>
                <w:szCs w:val="20"/>
                <w:color w:val="auto"/>
              </w:rPr>
            </w:pPr>
            <w:r>
              <w:rPr>
                <w:rFonts w:ascii="Arial" w:cs="Arial" w:eastAsia="Arial" w:hAnsi="Arial"/>
                <w:sz w:val="18"/>
                <w:szCs w:val="18"/>
                <w:color w:val="auto"/>
              </w:rPr>
              <w:t>Post-Exposure Prophylaxis indication for BioThrax</w:t>
            </w:r>
          </w:p>
        </w:tc>
        <w:tc>
          <w:tcPr>
            <w:tcW w:w="2900" w:type="dxa"/>
            <w:vAlign w:val="bottom"/>
          </w:tcPr>
          <w:p>
            <w:pPr>
              <w:ind w:left="1400"/>
              <w:spacing w:after="0" w:line="201" w:lineRule="exact"/>
              <w:rPr>
                <w:sz w:val="20"/>
                <w:szCs w:val="20"/>
                <w:color w:val="auto"/>
              </w:rPr>
            </w:pPr>
            <w:r>
              <w:rPr>
                <w:rFonts w:ascii="Arial" w:cs="Arial" w:eastAsia="Arial" w:hAnsi="Arial"/>
                <w:sz w:val="18"/>
                <w:szCs w:val="18"/>
                <w:color w:val="auto"/>
              </w:rPr>
              <w:t>BARDA</w:t>
            </w:r>
          </w:p>
        </w:tc>
        <w:tc>
          <w:tcPr>
            <w:tcW w:w="140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0"/>
              </w:rPr>
              <w:t>9/2007</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1"/>
              </w:rPr>
              <w:t>9/2007 — 3/2016</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Large-scale manufacturing for BioThrax</w:t>
            </w:r>
          </w:p>
        </w:tc>
        <w:tc>
          <w:tcPr>
            <w:tcW w:w="2900" w:type="dxa"/>
            <w:vAlign w:val="bottom"/>
          </w:tcPr>
          <w:p>
            <w:pPr>
              <w:ind w:left="1400"/>
              <w:spacing w:after="0"/>
              <w:rPr>
                <w:sz w:val="20"/>
                <w:szCs w:val="20"/>
                <w:color w:val="auto"/>
              </w:rPr>
            </w:pPr>
            <w:r>
              <w:rPr>
                <w:rFonts w:ascii="Arial" w:cs="Arial" w:eastAsia="Arial" w:hAnsi="Arial"/>
                <w:sz w:val="18"/>
                <w:szCs w:val="18"/>
                <w:color w:val="auto"/>
              </w:rPr>
              <w:t>BARDA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0"/>
              </w:rPr>
              <w:t>7/2010</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7/2010 — 7/2015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NuThrax</w:t>
            </w:r>
          </w:p>
        </w:tc>
        <w:tc>
          <w:tcPr>
            <w:tcW w:w="2900" w:type="dxa"/>
            <w:vAlign w:val="bottom"/>
          </w:tcPr>
          <w:p>
            <w:pPr>
              <w:ind w:left="1400"/>
              <w:spacing w:after="0"/>
              <w:rPr>
                <w:sz w:val="20"/>
                <w:szCs w:val="20"/>
                <w:color w:val="auto"/>
              </w:rPr>
            </w:pPr>
            <w:r>
              <w:rPr>
                <w:rFonts w:ascii="Arial" w:cs="Arial" w:eastAsia="Arial" w:hAnsi="Arial"/>
                <w:sz w:val="18"/>
                <w:szCs w:val="18"/>
                <w:color w:val="auto"/>
              </w:rPr>
              <w:t>NIAID</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0"/>
              </w:rPr>
              <w:t>7/2010</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8/2010 — 8/2014</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PreviThrax</w:t>
            </w:r>
          </w:p>
        </w:tc>
        <w:tc>
          <w:tcPr>
            <w:tcW w:w="2900" w:type="dxa"/>
            <w:vAlign w:val="bottom"/>
          </w:tcPr>
          <w:p>
            <w:pPr>
              <w:ind w:left="1400"/>
              <w:spacing w:after="0"/>
              <w:rPr>
                <w:sz w:val="20"/>
                <w:szCs w:val="20"/>
                <w:color w:val="auto"/>
              </w:rPr>
            </w:pPr>
            <w:r>
              <w:rPr>
                <w:rFonts w:ascii="Arial" w:cs="Arial" w:eastAsia="Arial" w:hAnsi="Arial"/>
                <w:sz w:val="18"/>
                <w:szCs w:val="18"/>
                <w:color w:val="auto"/>
              </w:rPr>
              <w:t>BARDA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0"/>
              </w:rPr>
              <w:t>9/2010</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9/2010 — 9/2015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CIADM</w:t>
            </w:r>
          </w:p>
        </w:tc>
        <w:tc>
          <w:tcPr>
            <w:tcW w:w="2900" w:type="dxa"/>
            <w:vAlign w:val="bottom"/>
          </w:tcPr>
          <w:p>
            <w:pPr>
              <w:ind w:left="1400"/>
              <w:spacing w:after="0"/>
              <w:rPr>
                <w:sz w:val="20"/>
                <w:szCs w:val="20"/>
                <w:color w:val="auto"/>
              </w:rPr>
            </w:pPr>
            <w:r>
              <w:rPr>
                <w:rFonts w:ascii="Arial" w:cs="Arial" w:eastAsia="Arial" w:hAnsi="Arial"/>
                <w:sz w:val="18"/>
                <w:szCs w:val="18"/>
                <w:color w:val="auto"/>
              </w:rPr>
              <w:t>BARDA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0"/>
              </w:rPr>
              <w:t>6/2012</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6/2012 — 6/2037</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BAT</w:t>
            </w:r>
          </w:p>
        </w:tc>
        <w:tc>
          <w:tcPr>
            <w:tcW w:w="2900" w:type="dxa"/>
            <w:vAlign w:val="bottom"/>
          </w:tcPr>
          <w:p>
            <w:pPr>
              <w:ind w:left="1400"/>
              <w:spacing w:after="0"/>
              <w:rPr>
                <w:sz w:val="20"/>
                <w:szCs w:val="20"/>
                <w:color w:val="auto"/>
              </w:rPr>
            </w:pPr>
            <w:r>
              <w:rPr>
                <w:rFonts w:ascii="Arial" w:cs="Arial" w:eastAsia="Arial" w:hAnsi="Arial"/>
                <w:sz w:val="18"/>
                <w:szCs w:val="18"/>
                <w:color w:val="auto"/>
              </w:rPr>
              <w:t>BARDA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0"/>
              </w:rPr>
              <w:t>1/2003</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1/2003 — 1/2015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BAT</w:t>
            </w:r>
          </w:p>
        </w:tc>
        <w:tc>
          <w:tcPr>
            <w:tcW w:w="2900" w:type="dxa"/>
            <w:vAlign w:val="bottom"/>
          </w:tcPr>
          <w:p>
            <w:pPr>
              <w:ind w:left="1400"/>
              <w:spacing w:after="0"/>
              <w:rPr>
                <w:sz w:val="20"/>
                <w:szCs w:val="20"/>
                <w:color w:val="auto"/>
              </w:rPr>
            </w:pPr>
            <w:r>
              <w:rPr>
                <w:rFonts w:ascii="Arial" w:cs="Arial" w:eastAsia="Arial" w:hAnsi="Arial"/>
                <w:sz w:val="18"/>
                <w:szCs w:val="18"/>
                <w:color w:val="auto"/>
              </w:rPr>
              <w:t>BARDA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0"/>
              </w:rPr>
              <w:t>5/2006</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5/2006 — 5/2018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AIGIV</w:t>
            </w:r>
          </w:p>
        </w:tc>
        <w:tc>
          <w:tcPr>
            <w:tcW w:w="2900" w:type="dxa"/>
            <w:vAlign w:val="bottom"/>
          </w:tcPr>
          <w:p>
            <w:pPr>
              <w:ind w:left="1400"/>
              <w:spacing w:after="0"/>
              <w:rPr>
                <w:sz w:val="20"/>
                <w:szCs w:val="20"/>
                <w:color w:val="auto"/>
              </w:rPr>
            </w:pPr>
            <w:r>
              <w:rPr>
                <w:rFonts w:ascii="Arial" w:cs="Arial" w:eastAsia="Arial" w:hAnsi="Arial"/>
                <w:sz w:val="18"/>
                <w:szCs w:val="18"/>
                <w:color w:val="auto"/>
              </w:rPr>
              <w:t>BARDA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0"/>
              </w:rPr>
              <w:t>9/2005</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9/2005 — 4/2021</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AIGIV</w:t>
            </w:r>
          </w:p>
        </w:tc>
        <w:tc>
          <w:tcPr>
            <w:tcW w:w="2900" w:type="dxa"/>
            <w:vAlign w:val="bottom"/>
          </w:tcPr>
          <w:p>
            <w:pPr>
              <w:ind w:left="1400"/>
              <w:spacing w:after="0"/>
              <w:rPr>
                <w:sz w:val="20"/>
                <w:szCs w:val="20"/>
                <w:color w:val="auto"/>
              </w:rPr>
            </w:pPr>
            <w:r>
              <w:rPr>
                <w:rFonts w:ascii="Arial" w:cs="Arial" w:eastAsia="Arial" w:hAnsi="Arial"/>
                <w:sz w:val="18"/>
                <w:szCs w:val="18"/>
                <w:color w:val="auto"/>
              </w:rPr>
              <w:t>BARDA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0"/>
              </w:rPr>
              <w:t>9/2002</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9/2002 — 12/2015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AIGIV</w:t>
            </w:r>
          </w:p>
        </w:tc>
        <w:tc>
          <w:tcPr>
            <w:tcW w:w="2900" w:type="dxa"/>
            <w:vAlign w:val="bottom"/>
          </w:tcPr>
          <w:p>
            <w:pPr>
              <w:ind w:left="1400"/>
              <w:spacing w:after="0"/>
              <w:rPr>
                <w:sz w:val="20"/>
                <w:szCs w:val="20"/>
                <w:color w:val="auto"/>
              </w:rPr>
            </w:pPr>
            <w:r>
              <w:rPr>
                <w:rFonts w:ascii="Arial" w:cs="Arial" w:eastAsia="Arial" w:hAnsi="Arial"/>
                <w:sz w:val="18"/>
                <w:szCs w:val="18"/>
                <w:color w:val="auto"/>
              </w:rPr>
              <w:t>BARDA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0"/>
              </w:rPr>
              <w:t>9/2013</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9/2013 — 9/2018</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VIGIV</w:t>
            </w:r>
          </w:p>
        </w:tc>
        <w:tc>
          <w:tcPr>
            <w:tcW w:w="2900" w:type="dxa"/>
            <w:vAlign w:val="bottom"/>
          </w:tcPr>
          <w:p>
            <w:pPr>
              <w:ind w:left="1400"/>
              <w:spacing w:after="0"/>
              <w:rPr>
                <w:sz w:val="20"/>
                <w:szCs w:val="20"/>
                <w:color w:val="auto"/>
              </w:rPr>
            </w:pPr>
            <w:r>
              <w:rPr>
                <w:rFonts w:ascii="Arial" w:cs="Arial" w:eastAsia="Arial" w:hAnsi="Arial"/>
                <w:sz w:val="18"/>
                <w:szCs w:val="18"/>
                <w:color w:val="auto"/>
              </w:rPr>
              <w:t>BARDA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0"/>
              </w:rPr>
              <w:t>8/2012</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8/2012 — 2/2015</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 operating results and profitability have varied, and we expect they will continue to vary on a quarterly basis, primarily due to the timing of sales of our products and timing of reimbursement under our contracts and grants.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primary expense that we incur to deliver our vaccines and therapeutics to our customers is manufacturing cost,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manufacturing cost per unit in the period those units were manufactured. In addition to the fixed and variable manufacturing costs described above, the cost of product sales depends on utilization of available manufacturing capacity.</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primary expense that we incur to deliver our medical device, RSDL, to our customers is the cost per unit of production from our third-party contract manufacturer. Other associated expenses include sales-based royalties, amortization of intangible assets, shipping, logistics and the cost of support functions.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expense research and development costs as incurred. Our research and development expenses consist primarily of:</w:t>
      </w:r>
    </w:p>
    <w:p>
      <w:pPr>
        <w:spacing w:after="0" w:line="225" w:lineRule="exact"/>
        <w:rPr>
          <w:sz w:val="20"/>
          <w:szCs w:val="20"/>
          <w:color w:val="auto"/>
        </w:rPr>
      </w:pPr>
    </w:p>
    <w:p>
      <w:pPr>
        <w:ind w:left="2040" w:hanging="735"/>
        <w:spacing w:after="0"/>
        <w:tabs>
          <w:tab w:leader="none" w:pos="2040" w:val="left"/>
        </w:tabs>
        <w:numPr>
          <w:ilvl w:val="0"/>
          <w:numId w:val="5"/>
        </w:numPr>
        <w:rPr>
          <w:rFonts w:ascii="Arial" w:cs="Arial" w:eastAsia="Arial" w:hAnsi="Arial"/>
          <w:sz w:val="16"/>
          <w:szCs w:val="16"/>
          <w:color w:val="auto"/>
        </w:rPr>
      </w:pPr>
      <w:r>
        <w:rPr>
          <w:rFonts w:ascii="Arial" w:cs="Arial" w:eastAsia="Arial" w:hAnsi="Arial"/>
          <w:sz w:val="18"/>
          <w:szCs w:val="18"/>
          <w:color w:val="auto"/>
        </w:rPr>
        <w:t>personnel-related expenses;</w:t>
      </w:r>
    </w:p>
    <w:p>
      <w:pPr>
        <w:spacing w:after="0" w:line="23" w:lineRule="exact"/>
        <w:rPr>
          <w:rFonts w:ascii="Arial" w:cs="Arial" w:eastAsia="Arial" w:hAnsi="Arial"/>
          <w:sz w:val="16"/>
          <w:szCs w:val="16"/>
          <w:color w:val="auto"/>
        </w:rPr>
      </w:pPr>
    </w:p>
    <w:p>
      <w:pPr>
        <w:ind w:left="1380" w:hanging="75"/>
        <w:spacing w:after="0" w:line="250" w:lineRule="auto"/>
        <w:tabs>
          <w:tab w:leader="none" w:pos="2028" w:val="left"/>
        </w:tabs>
        <w:numPr>
          <w:ilvl w:val="0"/>
          <w:numId w:val="5"/>
        </w:numPr>
        <w:rPr>
          <w:rFonts w:ascii="Arial" w:cs="Arial" w:eastAsia="Arial" w:hAnsi="Arial"/>
          <w:sz w:val="16"/>
          <w:szCs w:val="16"/>
          <w:color w:val="auto"/>
        </w:rPr>
      </w:pPr>
      <w:r>
        <w:rPr>
          <w:rFonts w:ascii="Arial" w:cs="Arial" w:eastAsia="Arial" w:hAnsi="Arial"/>
          <w:sz w:val="18"/>
          <w:szCs w:val="18"/>
          <w:color w:val="auto"/>
        </w:rPr>
        <w:t>fees to professional service providers for, among other things, analytical testing, independent monitoring or other administration of our clinical trials and obtaining and evaluating data from our clinical trials and non-clinical studies;</w:t>
      </w:r>
    </w:p>
    <w:p>
      <w:pPr>
        <w:ind w:left="2040" w:hanging="735"/>
        <w:spacing w:after="0"/>
        <w:tabs>
          <w:tab w:leader="none" w:pos="2040" w:val="left"/>
        </w:tabs>
        <w:numPr>
          <w:ilvl w:val="0"/>
          <w:numId w:val="5"/>
        </w:numPr>
        <w:rPr>
          <w:rFonts w:ascii="Arial" w:cs="Arial" w:eastAsia="Arial" w:hAnsi="Arial"/>
          <w:sz w:val="16"/>
          <w:szCs w:val="16"/>
          <w:color w:val="auto"/>
        </w:rPr>
      </w:pPr>
      <w:r>
        <w:rPr>
          <w:rFonts w:ascii="Arial" w:cs="Arial" w:eastAsia="Arial" w:hAnsi="Arial"/>
          <w:sz w:val="18"/>
          <w:szCs w:val="18"/>
          <w:color w:val="auto"/>
        </w:rPr>
        <w:t>costs of contract manufacturing services for clinical trial material;</w:t>
      </w:r>
    </w:p>
    <w:p>
      <w:pPr>
        <w:sectPr>
          <w:pgSz w:w="11900" w:h="16838" w:orient="portrait"/>
          <w:cols w:equalWidth="0" w:num="1">
            <w:col w:w="11420"/>
          </w:cols>
          <w:pgMar w:left="240" w:top="368" w:right="239" w:bottom="0" w:gutter="0" w:footer="0" w:header="0"/>
        </w:sectPr>
      </w:pPr>
    </w:p>
    <w:bookmarkStart w:id="15" w:name="page16"/>
    <w:bookmarkEnd w:id="15"/>
    <w:p>
      <w:pPr>
        <w:ind w:left="2040" w:hanging="735"/>
        <w:spacing w:after="0"/>
        <w:tabs>
          <w:tab w:leader="none" w:pos="2040" w:val="left"/>
        </w:tabs>
        <w:numPr>
          <w:ilvl w:val="0"/>
          <w:numId w:val="6"/>
        </w:numPr>
        <w:rPr>
          <w:rFonts w:ascii="Arial" w:cs="Arial" w:eastAsia="Arial" w:hAnsi="Arial"/>
          <w:sz w:val="16"/>
          <w:szCs w:val="16"/>
          <w:color w:val="auto"/>
        </w:rPr>
      </w:pPr>
      <w:r>
        <w:rPr>
          <w:rFonts w:ascii="Arial" w:cs="Arial" w:eastAsia="Arial" w:hAnsi="Arial"/>
          <w:sz w:val="18"/>
          <w:szCs w:val="18"/>
          <w:color w:val="auto"/>
        </w:rPr>
        <w:t>costs of materials used in clinical trials and research and development;</w:t>
      </w:r>
    </w:p>
    <w:p>
      <w:pPr>
        <w:spacing w:after="0" w:line="23" w:lineRule="exact"/>
        <w:rPr>
          <w:rFonts w:ascii="Arial" w:cs="Arial" w:eastAsia="Arial" w:hAnsi="Arial"/>
          <w:sz w:val="16"/>
          <w:szCs w:val="16"/>
          <w:color w:val="auto"/>
        </w:rPr>
      </w:pPr>
    </w:p>
    <w:p>
      <w:pPr>
        <w:ind w:left="2040" w:hanging="735"/>
        <w:spacing w:after="0"/>
        <w:tabs>
          <w:tab w:leader="none" w:pos="2040" w:val="left"/>
        </w:tabs>
        <w:numPr>
          <w:ilvl w:val="0"/>
          <w:numId w:val="6"/>
        </w:numPr>
        <w:rPr>
          <w:rFonts w:ascii="Arial" w:cs="Arial" w:eastAsia="Arial" w:hAnsi="Arial"/>
          <w:sz w:val="16"/>
          <w:szCs w:val="16"/>
          <w:color w:val="auto"/>
        </w:rPr>
      </w:pPr>
      <w:r>
        <w:rPr>
          <w:rFonts w:ascii="Arial" w:cs="Arial" w:eastAsia="Arial" w:hAnsi="Arial"/>
          <w:sz w:val="18"/>
          <w:szCs w:val="18"/>
          <w:color w:val="auto"/>
        </w:rPr>
        <w:t>depreciation of capital assets used to develop our products; and</w:t>
      </w:r>
    </w:p>
    <w:p>
      <w:pPr>
        <w:spacing w:after="0" w:line="9" w:lineRule="exact"/>
        <w:rPr>
          <w:rFonts w:ascii="Arial" w:cs="Arial" w:eastAsia="Arial" w:hAnsi="Arial"/>
          <w:sz w:val="16"/>
          <w:szCs w:val="16"/>
          <w:color w:val="auto"/>
        </w:rPr>
      </w:pPr>
    </w:p>
    <w:p>
      <w:pPr>
        <w:ind w:left="2040" w:hanging="735"/>
        <w:spacing w:after="0"/>
        <w:tabs>
          <w:tab w:leader="none" w:pos="2040" w:val="left"/>
        </w:tabs>
        <w:numPr>
          <w:ilvl w:val="0"/>
          <w:numId w:val="6"/>
        </w:numPr>
        <w:rPr>
          <w:rFonts w:ascii="Arial" w:cs="Arial" w:eastAsia="Arial" w:hAnsi="Arial"/>
          <w:sz w:val="15"/>
          <w:szCs w:val="15"/>
          <w:color w:val="auto"/>
        </w:rPr>
      </w:pPr>
      <w:r>
        <w:rPr>
          <w:rFonts w:ascii="Arial" w:cs="Arial" w:eastAsia="Arial" w:hAnsi="Arial"/>
          <w:sz w:val="17"/>
          <w:szCs w:val="17"/>
          <w:color w:val="auto"/>
        </w:rPr>
        <w:t>operating costs, such as the operating costs of facilities and the legal costs of pursuing patent protection of our intellectual</w:t>
      </w:r>
    </w:p>
    <w:p>
      <w:pPr>
        <w:spacing w:after="0" w:line="20" w:lineRule="exact"/>
        <w:rPr>
          <w:rFonts w:ascii="Arial" w:cs="Arial" w:eastAsia="Arial" w:hAnsi="Arial"/>
          <w:sz w:val="15"/>
          <w:szCs w:val="15"/>
          <w:color w:val="auto"/>
        </w:rPr>
      </w:pPr>
    </w:p>
    <w:p>
      <w:pPr>
        <w:ind w:left="1380"/>
        <w:spacing w:after="0"/>
        <w:rPr>
          <w:rFonts w:ascii="Arial" w:cs="Arial" w:eastAsia="Arial" w:hAnsi="Arial"/>
          <w:sz w:val="15"/>
          <w:szCs w:val="15"/>
          <w:color w:val="auto"/>
        </w:rPr>
      </w:pPr>
      <w:r>
        <w:rPr>
          <w:rFonts w:ascii="Arial" w:cs="Arial" w:eastAsia="Arial" w:hAnsi="Arial"/>
          <w:sz w:val="18"/>
          <w:szCs w:val="18"/>
          <w:color w:val="auto"/>
        </w:rPr>
        <w:t>property.</w:t>
      </w:r>
    </w:p>
    <w:p>
      <w:pPr>
        <w:spacing w:after="0" w:line="2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intend to focus our product development efforts on promising late-stage candidates that we believe satisfy well-defined criteria and seek to utilize collaborations or non-dilutive funding. We plan to seek funding for development activities from external sources and third parties, such as governments and non-governmental organizations. We expect that our research and development spending will be dependent upon such factors as the results from our clinical trials, the availability of reimbursement of research and development spending, the number of product candidates under development, the size, structure and duration of any follow-on clinical programs that we may initiate, the costs associated with manufacturing our product candidates on a large-scale basis for later stage clinical trials, and our ability to use or rely on data generated by government agencies, such as studies involving BioThrax conducted by the CDC.</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Selling, general and administrative expenses consist primarily of personnel-related costs and professional fees in support of our executive, sales and marketing, business development, government affairs, finance, accounting, information technology, legal and human resource functions. Other costs include facility costs not otherwise included in cost of product sales and contract manufacturing or research and development expense.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Intangible assets associated with in-process research and development, or IPR&amp;D, acquired from Cangene related to the IXinity product candidate. As part of the preliminary purchase price allocation with respect to the Cangene acquisition, management determined that the estimated acquisition-date fair value related to IPR&amp;D was $8.5 million. The estimated fair value was determined using the income approach, which discounts expected future cash flows to present value. We estimated the fair value using a present value discount rate of 16%, which is based on the estimated weighted-average cost of capital for companies with profiles substantially similar to that of Cangene. This is comparable to the estimated internal rate of return for the acquisition and represents the rate that market participants would use to value the IPR&amp;D. The projected cash flows from the IPR&amp;D projects were based on key assumptions including: estimates of revenues and operating profits related to each project considering its stage of development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 IPR&amp;D assets will be considered to be indefinite-lived until the completion or abandonment of the associated research and development efforts.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Inventory Step-up</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part of the preliminary purchase price allocation with respect to the Cangene acquisition, management determined that acquired inventory includes a $6.2 million adjustment to record inventory at fair value, referred to as a step-up adjustment. The $6.2 million step-up was estimated to be amortized through cost of product sales and contract manufacturing over the next five years based on estimated inventory turnover, which will increase costs of product sales and contract manufacturing during such period.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Provisions for Rebates, Chargebacks, Administrative Fees and Other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includes a reconciliation of the accounts associated with estimated rebates, chargebacks and other fees: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Distributor</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fees,</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Commissions,</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Sales returns</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Rebates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and Discounts</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3"/>
              </w:rPr>
              <w:t>Chargebacks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Balance January 1, 2014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 assumed from Cangene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Provisions attributed to sales in: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Current period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Prior periods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Payments or credits attributed to sales in: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Current period</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Prior periods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Balance, March 31, 2014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722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3,131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revenues and expenses. There have been no significant changes to our summary of significant accounting policies, contained in the our Annual Report on Form 10-K for the year ended December 31, 2013, as filed with the Securities and Exchange Commission, or SEC, during the three months ended March 31, 2014, except for additions to our accounting policy for revenue recognition related to the Cangene acquisition.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revenues from product sales if four basic criteria have been met:</w:t>
      </w:r>
    </w:p>
    <w:p>
      <w:pPr>
        <w:spacing w:after="0" w:line="225" w:lineRule="exact"/>
        <w:rPr>
          <w:sz w:val="20"/>
          <w:szCs w:val="20"/>
          <w:color w:val="auto"/>
        </w:rPr>
      </w:pPr>
    </w:p>
    <w:p>
      <w:pPr>
        <w:ind w:left="2040" w:hanging="735"/>
        <w:spacing w:after="0"/>
        <w:tabs>
          <w:tab w:leader="none" w:pos="2040" w:val="left"/>
        </w:tabs>
        <w:numPr>
          <w:ilvl w:val="0"/>
          <w:numId w:val="7"/>
        </w:numPr>
        <w:rPr>
          <w:rFonts w:ascii="Arial" w:cs="Arial" w:eastAsia="Arial" w:hAnsi="Arial"/>
          <w:sz w:val="16"/>
          <w:szCs w:val="16"/>
          <w:color w:val="auto"/>
        </w:rPr>
      </w:pPr>
      <w:r>
        <w:rPr>
          <w:rFonts w:ascii="Arial" w:cs="Arial" w:eastAsia="Arial" w:hAnsi="Arial"/>
          <w:sz w:val="18"/>
          <w:szCs w:val="18"/>
          <w:color w:val="auto"/>
        </w:rPr>
        <w:t>there is persuasive evidence of an arrangement;</w:t>
      </w:r>
    </w:p>
    <w:p>
      <w:pPr>
        <w:spacing w:after="0" w:line="23" w:lineRule="exact"/>
        <w:rPr>
          <w:rFonts w:ascii="Arial" w:cs="Arial" w:eastAsia="Arial" w:hAnsi="Arial"/>
          <w:sz w:val="16"/>
          <w:szCs w:val="16"/>
          <w:color w:val="auto"/>
        </w:rPr>
      </w:pPr>
    </w:p>
    <w:p>
      <w:pPr>
        <w:ind w:left="2040" w:hanging="735"/>
        <w:spacing w:after="0"/>
        <w:tabs>
          <w:tab w:leader="none" w:pos="2040" w:val="left"/>
        </w:tabs>
        <w:numPr>
          <w:ilvl w:val="0"/>
          <w:numId w:val="7"/>
        </w:numPr>
        <w:rPr>
          <w:rFonts w:ascii="Arial" w:cs="Arial" w:eastAsia="Arial" w:hAnsi="Arial"/>
          <w:sz w:val="16"/>
          <w:szCs w:val="16"/>
          <w:color w:val="auto"/>
        </w:rPr>
      </w:pPr>
      <w:r>
        <w:rPr>
          <w:rFonts w:ascii="Arial" w:cs="Arial" w:eastAsia="Arial" w:hAnsi="Arial"/>
          <w:sz w:val="18"/>
          <w:szCs w:val="18"/>
          <w:color w:val="auto"/>
        </w:rPr>
        <w:t>delivery has occurred or title has passed to our customer;</w:t>
      </w:r>
    </w:p>
    <w:p>
      <w:pPr>
        <w:sectPr>
          <w:pgSz w:w="11900" w:h="16838" w:orient="portrait"/>
          <w:cols w:equalWidth="0" w:num="1">
            <w:col w:w="11420"/>
          </w:cols>
          <w:pgMar w:left="240" w:top="125" w:right="239" w:bottom="0" w:gutter="0" w:footer="0" w:header="0"/>
        </w:sectPr>
      </w:pPr>
    </w:p>
    <w:bookmarkStart w:id="16" w:name="page17"/>
    <w:bookmarkEnd w:id="16"/>
    <w:p>
      <w:pPr>
        <w:spacing w:after="0" w:line="87" w:lineRule="exact"/>
        <w:rPr>
          <w:sz w:val="20"/>
          <w:szCs w:val="20"/>
          <w:color w:val="auto"/>
        </w:rPr>
      </w:pPr>
    </w:p>
    <w:p>
      <w:pPr>
        <w:ind w:left="2040" w:hanging="735"/>
        <w:spacing w:after="0"/>
        <w:tabs>
          <w:tab w:leader="none" w:pos="2040" w:val="left"/>
        </w:tabs>
        <w:numPr>
          <w:ilvl w:val="0"/>
          <w:numId w:val="8"/>
        </w:numPr>
        <w:rPr>
          <w:rFonts w:ascii="Arial" w:cs="Arial" w:eastAsia="Arial" w:hAnsi="Arial"/>
          <w:sz w:val="16"/>
          <w:szCs w:val="16"/>
          <w:color w:val="auto"/>
        </w:rPr>
      </w:pPr>
      <w:r>
        <w:rPr>
          <w:rFonts w:ascii="Arial" w:cs="Arial" w:eastAsia="Arial" w:hAnsi="Arial"/>
          <w:sz w:val="18"/>
          <w:szCs w:val="18"/>
          <w:color w:val="auto"/>
        </w:rPr>
        <w:t>the fee is fixed or determinable; and</w:t>
      </w:r>
    </w:p>
    <w:p>
      <w:pPr>
        <w:spacing w:after="0" w:line="23" w:lineRule="exact"/>
        <w:rPr>
          <w:rFonts w:ascii="Arial" w:cs="Arial" w:eastAsia="Arial" w:hAnsi="Arial"/>
          <w:sz w:val="16"/>
          <w:szCs w:val="16"/>
          <w:color w:val="auto"/>
        </w:rPr>
      </w:pPr>
    </w:p>
    <w:p>
      <w:pPr>
        <w:ind w:left="2040" w:hanging="735"/>
        <w:spacing w:after="0"/>
        <w:tabs>
          <w:tab w:leader="none" w:pos="2040" w:val="left"/>
        </w:tabs>
        <w:numPr>
          <w:ilvl w:val="0"/>
          <w:numId w:val="8"/>
        </w:numPr>
        <w:rPr>
          <w:rFonts w:ascii="Arial" w:cs="Arial" w:eastAsia="Arial" w:hAnsi="Arial"/>
          <w:sz w:val="16"/>
          <w:szCs w:val="16"/>
          <w:color w:val="auto"/>
        </w:rPr>
      </w:pPr>
      <w:r>
        <w:rPr>
          <w:rFonts w:ascii="Arial" w:cs="Arial" w:eastAsia="Arial" w:hAnsi="Arial"/>
          <w:sz w:val="18"/>
          <w:szCs w:val="18"/>
          <w:color w:val="auto"/>
        </w:rPr>
        <w:t>collectibility is reasonably assured.</w:t>
      </w:r>
    </w:p>
    <w:p>
      <w:pPr>
        <w:spacing w:after="0" w:line="2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revenues from product sales are recorded net of applicable allowances for sales returns, rebates, special promotional programs, and discounts. We estimate allowances for deductions from revenue using a combination of information received from third parties including market data, inventory reports from major wholesalers, historical information and analysis. These estimates are subject to the inherent limitations of estimates that rely on third-party data, as certain third-party information may itself rely on estimates and reflect other limitations. Provisions for estimated rebates and other allowances, such as discounts and promotional and other credits, are estimated based on historical payment experience, historical relationship to revenues, estimated customer inventory levels and contract terms, and actual discounts offered. Management believes that such provisions are determinable because of the limited number of assumptions involved and the consistency of historical experience.</w:t>
      </w:r>
    </w:p>
    <w:p>
      <w:pPr>
        <w:spacing w:after="0" w:line="2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market and sell our Biosciences products through commercial wholesalers (direct customers) who purchase the products at a price referred to as the wholesale acquisition cost, or WAC. Additionally, we enter into agreements with indirect customers for a contracted price that is less than the WAC. The indirect customers, such as group-purchasing organizations, physician practice-management groups and hospitals, purchase the Company's products from the wholesalers. Under these agreements with the wholesalers, we guarantee that it will credit them for the difference between the WAC and the indirect customers' contracted price. This credit is referred to as a chargeback. Wholesalers provide detailed information regarding indirect customer purchases as part of the justification for their credit request. Once received by us, these requests are standardized and tracked within a software system that adjudicates and reconciles all indirect claims coming from wholesalers. The database with these claims is used for historical trending and estimating future indirect sales, which are used to estimate accruals. Adjustments to these provisions are made periodically to reflect new facts and circumstances that may indicate that historical experience may not be indicative of current and/or future results. We make subjective judgments primarily based on its evaluation of current market conditions and trade inventory levels related to the products. This evaluation may result in an increase or decrease in the experience rate that is applied to current and future sales, or as an adjustment to past sales, or both. We estimate allowances for revenue- reducing obligations such as rebates, special promotional programs, and discounts, using a combination of historical trends, contractual obligations and information received from third parties. The accuracy of these estimates is dependent upon the inherent limitations of extrapolating estimates from historical trends and upon the quality of the third-party information.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Quarter Ended March 31, 2014 Compared to Quarter Ended March 31, 2013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Product sales revenues increased by $5.4 million, or 18%, to $35.8 million for the three months ended March 31, 2014 from $30.4 million for the three months ended March 31, 2013. Product revenue is as follows:</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8"/>
          <w:szCs w:val="18"/>
          <w:color w:val="auto"/>
        </w:rPr>
        <w:t>BioThrax - $24.5 million for 2014 as compared to $30.4 million for 2013;</w:t>
      </w:r>
    </w:p>
    <w:p>
      <w:pPr>
        <w:spacing w:after="0" w:line="23"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8"/>
          <w:szCs w:val="18"/>
          <w:color w:val="auto"/>
        </w:rPr>
        <w:t>RSDL (acquired in August 2013) - $7.5 million for 2014;</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8"/>
          <w:szCs w:val="18"/>
          <w:color w:val="auto"/>
        </w:rPr>
        <w:t>WinRho (acquired in February 2014) - $1.7 million;</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8"/>
          <w:szCs w:val="18"/>
          <w:color w:val="auto"/>
        </w:rPr>
        <w:t>HepaGam (acquired in February 2014) - $1.3 million;</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8"/>
          <w:szCs w:val="18"/>
          <w:color w:val="auto"/>
        </w:rPr>
        <w:t>BAT (acquired in February 2014) - $434,000; and</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8"/>
          <w:szCs w:val="18"/>
          <w:color w:val="auto"/>
        </w:rPr>
        <w:t>other products (acquired in February 2014) - $270,000.</w:t>
      </w:r>
    </w:p>
    <w:p>
      <w:pPr>
        <w:spacing w:after="0" w:line="21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decrease in BioThrax sales was primarily due to a 20% decrease in the number of doses of BioThrax delivered, attributable to the timing of deliveries to the SNS.</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Contract manufacturing revenue was $2.7 million for the three months ended March 31, 2014. Contract manufacturing (which we acquired in February 2014) revenues primarily consists of contract services to third parties and the U.S. government.</w:t>
      </w:r>
    </w:p>
    <w:p>
      <w:pPr>
        <w:spacing w:after="0" w:line="197" w:lineRule="exact"/>
        <w:rPr>
          <w:sz w:val="20"/>
          <w:szCs w:val="20"/>
          <w:color w:val="auto"/>
        </w:rPr>
      </w:pPr>
    </w:p>
    <w:p>
      <w:pPr>
        <w:ind w:firstLine="483"/>
        <w:spacing w:after="0" w:line="277" w:lineRule="auto"/>
        <w:rPr>
          <w:sz w:val="20"/>
          <w:szCs w:val="20"/>
          <w:color w:val="auto"/>
        </w:rPr>
      </w:pPr>
      <w:r>
        <w:rPr>
          <w:rFonts w:ascii="Arial" w:cs="Arial" w:eastAsia="Arial" w:hAnsi="Arial"/>
          <w:sz w:val="18"/>
          <w:szCs w:val="18"/>
          <w:color w:val="auto"/>
        </w:rPr>
        <w:t>Contracts and grants revenues increased by $2.7 million, or 21%, to $15.4 million for the three months ended March 31, 2014 from $12.7 million for the three months ended March 31, 2013. The increase in contracts and grants revenues was primarily due to the following:</w:t>
      </w:r>
    </w:p>
    <w:p>
      <w:pPr>
        <w:spacing w:after="0" w:line="170" w:lineRule="exact"/>
        <w:rPr>
          <w:sz w:val="20"/>
          <w:szCs w:val="20"/>
          <w:color w:val="auto"/>
        </w:rPr>
      </w:pPr>
    </w:p>
    <w:p>
      <w:pPr>
        <w:ind w:left="1380" w:hanging="400"/>
        <w:spacing w:after="0"/>
        <w:tabs>
          <w:tab w:leader="none" w:pos="1380" w:val="left"/>
        </w:tabs>
        <w:numPr>
          <w:ilvl w:val="0"/>
          <w:numId w:val="10"/>
        </w:numPr>
        <w:rPr>
          <w:rFonts w:ascii="Arial" w:cs="Arial" w:eastAsia="Arial" w:hAnsi="Arial"/>
          <w:sz w:val="15"/>
          <w:szCs w:val="15"/>
          <w:color w:val="auto"/>
        </w:rPr>
      </w:pPr>
      <w:r>
        <w:rPr>
          <w:rFonts w:ascii="Arial" w:cs="Arial" w:eastAsia="Arial" w:hAnsi="Arial"/>
          <w:sz w:val="17"/>
          <w:szCs w:val="17"/>
          <w:color w:val="auto"/>
        </w:rPr>
        <w:t>a payment of $1.9 million received in 2014 for our PEP indication for BioThrax related to the progress of development activities;</w:t>
      </w:r>
    </w:p>
    <w:p>
      <w:pPr>
        <w:spacing w:after="0" w:line="34" w:lineRule="exact"/>
        <w:rPr>
          <w:rFonts w:ascii="Arial" w:cs="Arial" w:eastAsia="Arial" w:hAnsi="Arial"/>
          <w:sz w:val="15"/>
          <w:szCs w:val="15"/>
          <w:color w:val="auto"/>
        </w:rPr>
      </w:pPr>
    </w:p>
    <w:p>
      <w:pPr>
        <w:ind w:left="1380" w:hanging="400"/>
        <w:spacing w:after="0"/>
        <w:tabs>
          <w:tab w:leader="none" w:pos="1380" w:val="left"/>
        </w:tabs>
        <w:numPr>
          <w:ilvl w:val="0"/>
          <w:numId w:val="10"/>
        </w:numPr>
        <w:rPr>
          <w:rFonts w:ascii="Arial" w:cs="Arial" w:eastAsia="Arial" w:hAnsi="Arial"/>
          <w:sz w:val="16"/>
          <w:szCs w:val="16"/>
          <w:color w:val="auto"/>
        </w:rPr>
      </w:pPr>
      <w:r>
        <w:rPr>
          <w:rFonts w:ascii="Arial" w:cs="Arial" w:eastAsia="Arial" w:hAnsi="Arial"/>
          <w:sz w:val="18"/>
          <w:szCs w:val="18"/>
          <w:color w:val="auto"/>
        </w:rPr>
        <w:t>development funding of $3.1 million for BAT (which we acquired in February 2014);</w:t>
      </w:r>
    </w:p>
    <w:p>
      <w:pPr>
        <w:spacing w:after="0" w:line="9" w:lineRule="exact"/>
        <w:rPr>
          <w:rFonts w:ascii="Arial" w:cs="Arial" w:eastAsia="Arial" w:hAnsi="Arial"/>
          <w:sz w:val="16"/>
          <w:szCs w:val="16"/>
          <w:color w:val="auto"/>
        </w:rPr>
      </w:pPr>
    </w:p>
    <w:p>
      <w:pPr>
        <w:ind w:left="1380" w:hanging="400"/>
        <w:spacing w:after="0"/>
        <w:tabs>
          <w:tab w:leader="none" w:pos="1380" w:val="left"/>
        </w:tabs>
        <w:numPr>
          <w:ilvl w:val="0"/>
          <w:numId w:val="10"/>
        </w:numPr>
        <w:rPr>
          <w:rFonts w:ascii="Arial" w:cs="Arial" w:eastAsia="Arial" w:hAnsi="Arial"/>
          <w:sz w:val="16"/>
          <w:szCs w:val="16"/>
          <w:color w:val="auto"/>
        </w:rPr>
      </w:pPr>
      <w:r>
        <w:rPr>
          <w:rFonts w:ascii="Arial" w:cs="Arial" w:eastAsia="Arial" w:hAnsi="Arial"/>
          <w:sz w:val="18"/>
          <w:szCs w:val="18"/>
          <w:color w:val="auto"/>
        </w:rPr>
        <w:t>increased revenue related to the establishment of our CIADM, an increase of $1.1 million from 2013; and</w:t>
      </w:r>
    </w:p>
    <w:p>
      <w:pPr>
        <w:spacing w:after="0" w:line="9" w:lineRule="exact"/>
        <w:rPr>
          <w:rFonts w:ascii="Arial" w:cs="Arial" w:eastAsia="Arial" w:hAnsi="Arial"/>
          <w:sz w:val="16"/>
          <w:szCs w:val="16"/>
          <w:color w:val="auto"/>
        </w:rPr>
      </w:pPr>
    </w:p>
    <w:p>
      <w:pPr>
        <w:ind w:left="1380" w:hanging="400"/>
        <w:spacing w:after="0"/>
        <w:tabs>
          <w:tab w:leader="none" w:pos="13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decreased revenue of $3.4 million for our large scale manufacturing of BioThrax and PreviThrax, due to the timing of development efforts.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Cost of product sales and contract manufacturing increased by $13.3 million to $19.0 million for the three months ended March 31, 2014 from $5.7 million for the three months ended March 31, 2013. The increase was primarily attributable to the following:</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8"/>
          <w:szCs w:val="18"/>
          <w:color w:val="auto"/>
        </w:rPr>
        <w:t>increase of $1.9 million related to BioThrax;</w:t>
      </w:r>
    </w:p>
    <w:p>
      <w:pPr>
        <w:spacing w:after="0" w:line="23"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8"/>
          <w:szCs w:val="18"/>
          <w:color w:val="auto"/>
        </w:rPr>
        <w:t>RSDL (acquired in August 2013) - $4.5 million for 2014; and</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8"/>
          <w:szCs w:val="18"/>
          <w:color w:val="auto"/>
        </w:rPr>
        <w:t>product and contract manufacturing costs associated with Cangene sales (acquired in February 2014) - $6.9 million for 2014.</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cost of sales associated with BioThrax was attributable to an increase in the costs per dose associated with lower production yields in the period in which the doses sold during the three months ended March 31, 2014 were produced, along with a lower cost per dose in the three months ended March 31, 2013 associated with an adjustment to certain BioThrax testing specifications that allowed us to sell doses for which the related costs were previously expensed.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Research and development expenses decreased by $468,000, or 2%, to $30.3 million for the three months ended March 31, 2014 from $30.7 million for the three months ended March 31, 2013. This decrease primarily reflects lower contract service costs, and includes decreased expenses of $38,000 for product candidates and manufacturing development categorized in the Biodefense segment, decreased expenses of $275,000 for product candidates and</w:t>
      </w:r>
    </w:p>
    <w:p>
      <w:pPr>
        <w:sectPr>
          <w:pgSz w:w="11900" w:h="16925" w:orient="portrait"/>
          <w:cols w:equalWidth="0" w:num="1">
            <w:col w:w="11420"/>
          </w:cols>
          <w:pgMar w:left="240" w:top="125" w:right="239" w:bottom="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technology platform development activities categorized in the Biosciences segment and decreased expenses of $155,000 in other research and development, which are in support of central research and development activities. Net of development contract and grant reimbursements along with the net loss attributable to noncontrolling interests, we incurred research and development expenses of $14.9 million and $17.2 million, respectively, during three months ended March 31, 2014 and 2013.</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research and development expenses for the three months ended March 31, 2014 and 2013 are shown in the following table: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Biodefense: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Large-scale manufacturing for BioThrax</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3,484</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4,726</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BioThrax related programs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2,793</w:t>
            </w: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PreviThrax</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4,238</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NuThrax</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2,248</w:t>
            </w: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Botulinum Antitoxin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Anthrax Immune Globulin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Other Biodefense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1,688</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biodefense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15,655</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Biosciences: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Tuberculosis vaccine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3,906</w:t>
            </w: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otlertuzumab (formerly TRU-016)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4,627</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ES414 (formerly T-Scorp)</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w:t>
            </w: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IXinity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biosciences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biosciences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12,828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13,103</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30,256</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30,724</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decrease in spending for our large-scale manufacturing for BioThrax was primarily due to the timing of manufacturing development activities. The decrease in spending for BioThrax related programs was primarily related to the timing of clinical studies to support applications for label expansion for BioThrax. The decrease in spending for PreviThrax was primarily due to the timing of model optimization and non-clinical studies. The increase in spending for NuThrax was primarily due to the timing of clinical trial activities. The spending for our Botulinum Antitoxin program (which we acquired from Cangene) was primarily due to stability testing. The spending for our Anthrax Immune Globulin program (which we acquired from Cangene) was due to stability testing. The increase in spending for our other Biodefense activities was primarily due to increased spending related to manufacturing development.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spending for our tuberculosis vaccine product candidate during 2013 was for manufacturing development activities. The decrease in spending for our otlertuzumab (formerly TRU-016) product candidate was primarily related to the timing of clinical trial activities. The increase in spending for our ES414 (formerly T-Scorp) product candidate was primarily due to manufacturing development. The spending for our IXinity product candidate in 2014 was primarily for clinical trial activities. The increase in spending for our other Biosciences activities was primarily due to increased costs associated with the development of platform technologies and for programs acquired in our acquisition of Cangene.</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spending for other research and development activities was primarily due to centralized research and development activities not attributable to product candidates.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increased by $10.1 million, or 50%, to $30.1 million for the three months ended March 31, 2014 from $20.0 million for the three months ended March 31, 2013. This increase included increased spending for transaction costs of $4.2 million associated with the acquisition and integration of Cangene, which we acquired in February 2014, along with additional post-acquisiton selling, general and administrative costs of $4.0 million associated with the operations of Cangene and in support of RSDL.</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Selling, general and administrative expenses attributable to the Biodefense segment increased by $2.9 million, or 21%, to $16.9 million during the three months ended March 31, 2014 from $14.0 million during the three months ended March 31, 2013. Selling, general and administrative expenses related to our Biosciences segment increased by $7.1 million, or 118%, to $13.2 million for the three months ended March 31, 2014 from $6.1 million for the three months ended March 31, 2014. The increase in the Biosciences selling, general and administrative expense was due to professional services to support due diligence along with other acquisition-related activities and post-acquisition operations associated with our acquisition of Cangene.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net other income (expense) decreased by $3.0 million to a net other expense of $3.0 million for the three months ended March 31, 2014, from a net other income of $29,000 for the three months ended March 31, 2013. The decrease was primarily due to interest expense from our 2.875% Convertible Senior Notes due 2021, or the Notes, of $1.3 million that was not capitalized in 2014 and $1.8 million of costs associated with the termination of our $125 million term loan facility.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Benefit from income taxes increased by $3.7 million, or 82%, to $8.2 million for the three months ended March 31, 2014 from $4.5 million for the three months ended March 31, 2013. The increase in the benefit from income taxes is primarily due to the $15.9 million increase in our loss before benefit from income taxes and the loss attributable to noncontrolling interests.</w:t>
      </w:r>
    </w:p>
    <w:p>
      <w:pPr>
        <w:sectPr>
          <w:pgSz w:w="11900" w:h="16838" w:orient="portrait"/>
          <w:cols w:equalWidth="0" w:num="1">
            <w:col w:w="11420"/>
          </w:cols>
          <w:pgMar w:left="240" w:top="125" w:right="239" w:bottom="94" w:gutter="0" w:footer="0" w:header="0"/>
        </w:sect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Net Loss Attributable to Noncontrolling Interest</w:t>
      </w:r>
    </w:p>
    <w:p>
      <w:pPr>
        <w:sectPr>
          <w:pgSz w:w="11900" w:h="16838" w:orient="portrait"/>
          <w:cols w:equalWidth="0" w:num="1">
            <w:col w:w="11420"/>
          </w:cols>
          <w:pgMar w:left="240" w:top="125" w:right="239" w:bottom="94" w:gutter="0" w:footer="0" w:header="0"/>
          <w:type w:val="continuous"/>
        </w:sectPr>
      </w:pPr>
    </w:p>
    <w:bookmarkStart w:id="18" w:name="page19"/>
    <w:bookmarkEnd w:id="18"/>
    <w:p>
      <w:pPr>
        <w:spacing w:after="0" w:line="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attributable to noncontrolling interest decreased to $0 in 2014 from $743,000 for 2013. The decrease resulted from the liquidation of our noncontrolling interest in the Oxford Emergent Tuberculosis Consortium during the three months ended March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funded our cash requirements from inception through March 31, 2014 principally with a combination of revenues from BioThrax product sales, debt financings, development funding from government entities and non-government and philanthropic organizations and collaborative partners, and the net proceeds from our initial public offering and the sale of our common stock upon exercise of stock options. We have operated profitably for each of the five years ended December 31, 2013.</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2014, we had cash and cash equivalents of $160.2 million. Additionally, at March 31, 2014, our accounts receivable balance was $62.9 million.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cash flows for the three months ended March 31, 2014 and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60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41"/>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activities(1)</w:t>
            </w:r>
          </w:p>
        </w:tc>
        <w:tc>
          <w:tcPr>
            <w:tcW w:w="26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(29,240)</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(4,744)</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(182,757)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(7,679)</w:t>
            </w: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Financing activities</w:t>
            </w: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192,874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r>
      <w:tr>
        <w:trPr>
          <w:trHeight w:val="257"/>
        </w:trPr>
        <w:tc>
          <w:tcPr>
            <w:tcW w:w="20" w:type="dxa"/>
            <w:vAlign w:val="bottom"/>
          </w:tcPr>
          <w:p>
            <w:pPr>
              <w:spacing w:after="0"/>
              <w:rPr>
                <w:sz w:val="22"/>
                <w:szCs w:val="22"/>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the effect of exchange rates on cash and cash equivalents.</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Net cash used in operating activities of $29.2 million for the three months ended March 31, 2014 was primarily due to our net loss attributable to Emergent BioSolutions Inc. of $20.2 million, a decrease in income taxes of $11.8 million related to timing differences, a decrease in accrued compensation of $8.7 million primarily related to the payment of 2013 bonuses and a decrease in accounts payable of $10.7 million, primarily due to acquisition related activities, partially offset by a decrease in accounts receivable of $17.6 million related to the timing of collection of amounts billed primarily to the CDC.</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cash used in operating activities of $4.7 million for the three months ended March 31, 2013 was principally due to our net loss attributable to Emergent BioSolutions Inc. of $8.1 million, a decrease in income taxes of $12.4 million related to timing differences, a decrease in accrued compensation of $11.0 million primarily related to the payment of 2012 bonuses and a decrease in inventory of $7.0 million primarily related to the timing of deliveries to the SNS, partially offset by a decrease in accounts receivable of $33.1 million due to the timing of collection of amounts billed primarily to CDC and non-cash charges of $3.0 million for stock-based compensation and $4.2 million for depreciation and amortization.</w:t>
      </w:r>
    </w:p>
    <w:p>
      <w:pPr>
        <w:spacing w:after="0" w:line="20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cash used in investing activities of $182.8 million for the three months ended March 31, 2014 was primarily due to the acquisition of Cangene for $178.2 million, which is net of $43.6 million of acquired cash, and capital expenditures of $4.6 million for infrastructure and equipment investments.</w:t>
      </w:r>
    </w:p>
    <w:p>
      <w:pPr>
        <w:spacing w:after="0" w:line="15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Net cash used in investing activities of $7.7 million for the three months ended March 31, 2013 was primarily due to capital expenditures, and includes construction and renovation of facilities at our Lansing, Michigan campus, and costs of other infrastructure and equipment investments.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of $192.9 million for the three months ended March 31, 2014 was primarily due to proceeds from long-term indebtedness of $251 million, of which $241.7 million (net of $8.3 million of transaction costs) was from our Notes, $8.1 million in proceeds from the issuance of common stock pursuant to employee equity plans and $4.6 million in excess tax benefits from the exercise of stock options, partially offset by a principal payment on indebtedness of $62.0 million under our revolving credit facility.</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financing activities of $995,000 for the three months ended March 31, 2013 was primarily due to $1.6 million in excess tax benefits from the exercise of stock options and $504,000 in proceeds from stock option exercises, partially offset by principal payments on indebtedness of $1.1 million.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at March 31,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Payments due by period</w:t>
            </w: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After 2018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Convertible debt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250,000</w:t>
            </w:r>
          </w:p>
        </w:tc>
        <w:tc>
          <w:tcPr>
            <w:tcW w:w="6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5"/>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Long-term indebtedness including current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portion</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2,880</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contractual obligations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254,816</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There are a number of uncertainties that we face in the development of new product candidates that prevent us from making a reasonable estimate of the cash obligations under our license agreements. Because of these uncertainties, the preceding table excludes contingent contractual payments that we may become obligated to make under such agreements. These agreements typically provide for the payment of milestone fees upon achievement of specified research, development and commercialization milestones, such as the commencement of clinical trials, the receipt of funding awards, the receipt of regulatory approvals, and the achievement of sales milestones. The amount of contingent contractual milestone payments that we may become obligated to make is</w:t>
      </w:r>
    </w:p>
    <w:p>
      <w:pPr>
        <w:sectPr>
          <w:pgSz w:w="11900" w:h="16887" w:orient="portrait"/>
          <w:cols w:equalWidth="0" w:num="1">
            <w:col w:w="11420"/>
          </w:cols>
          <w:pgMar w:left="240" w:top="125" w:right="239" w:bottom="0" w:gutter="0" w:footer="0" w:header="0"/>
        </w:sectPr>
      </w:pPr>
    </w:p>
    <w:bookmarkStart w:id="19" w:name="page20"/>
    <w:bookmarkEnd w:id="19"/>
    <w:p>
      <w:pPr>
        <w:jc w:val="both"/>
        <w:spacing w:after="0" w:line="269" w:lineRule="auto"/>
        <w:rPr>
          <w:sz w:val="20"/>
          <w:szCs w:val="20"/>
          <w:color w:val="auto"/>
        </w:rPr>
      </w:pPr>
      <w:r>
        <w:rPr>
          <w:rFonts w:ascii="Arial" w:cs="Arial" w:eastAsia="Arial" w:hAnsi="Arial"/>
          <w:sz w:val="17"/>
          <w:szCs w:val="17"/>
          <w:color w:val="auto"/>
        </w:rPr>
        <w:t>variable based on the actual achievement and timing of the applicable milestones and the characteristics of any products or product candidates that are developed, including factors such as number of products or product candidates developed, type and number of components of each product or product candidate, ownership of the various components and the specific markets affected, and the aggregate payments could be as much as approximately $118 million. The success of our efforts to commercialize our product candidates depends on many factors, including those set forth in "</w:t>
      </w:r>
      <w:r>
        <w:rPr>
          <w:rFonts w:ascii="Arial" w:cs="Arial" w:eastAsia="Arial" w:hAnsi="Arial"/>
          <w:sz w:val="17"/>
          <w:szCs w:val="17"/>
          <w:i w:val="1"/>
          <w:iCs w:val="1"/>
          <w:color w:val="auto"/>
        </w:rPr>
        <w:t>Risk Factors—Our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business depends on our success in developing and commercializing our product candidates. If we are unable to commercialize these product candidates, or experience significant delays or unanticipated costs in doing so, our business would be materially affected." </w:t>
      </w:r>
      <w:r>
        <w:rPr>
          <w:rFonts w:ascii="Arial" w:cs="Arial" w:eastAsia="Arial" w:hAnsi="Arial"/>
          <w:sz w:val="17"/>
          <w:szCs w:val="17"/>
          <w:color w:val="auto"/>
        </w:rPr>
        <w:t>and is highly uncertain. Even if these efforts are</w:t>
      </w:r>
      <w:r>
        <w:rPr>
          <w:rFonts w:ascii="Arial" w:cs="Arial" w:eastAsia="Arial" w:hAnsi="Arial"/>
          <w:sz w:val="17"/>
          <w:szCs w:val="17"/>
          <w:i w:val="1"/>
          <w:iCs w:val="1"/>
          <w:color w:val="auto"/>
        </w:rPr>
        <w:t xml:space="preserve"> </w:t>
      </w:r>
      <w:r>
        <w:rPr>
          <w:rFonts w:ascii="Arial" w:cs="Arial" w:eastAsia="Arial" w:hAnsi="Arial"/>
          <w:sz w:val="17"/>
          <w:szCs w:val="17"/>
          <w:color w:val="auto"/>
        </w:rPr>
        <w:t>successful, the timing of success is highly unpredictable and variable. The same is true for any contingent contractual royalty payments that we may be obligated to make upon successful commercialization of these product candidates. We do not expect that any such payments would have an adverse effect on our financial position, operations and capital resources because, if payable, we expect that the benefits associated with the achievement of the relevant milestones or the achievement of revenue would offset the burden of making these payments. We are not obligated to pay any minimum royalties under our existing contracts. Deferred income taxes and liabilities for unrecognized income tax benefits are excluded from the above table since they are not contractually fixed as to timing and amount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Financing</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January 29, 2014, we issued $250.0 million aggregate principal amount of Notes. The Notes bear interest at a rate of 2.875% per year, payable semi-annually in arrears on January 15 and July 15 of each year, commencing July 15, 2014. The Notes mature on January 15, 2021, unless earlier purchased by us, redeemed or converted. The conversion rate will initially equal 30.8821 shares of common stock per $1,000 principal amount of notes, which is equivalent to an initial conversion price of approximately $32.38 per share of common stock. The conversion rate will be subject to adjustment upon the occurrence of certain specified events but will not be adjusted for accrued and unpaid interest.</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11, 2013, we entered into a senior secured credit agreement, or the Credit Agreement, with three lending financial institutions, or the Lenders, led by Bank of America, N.A., as administrative agent. The Credit Agreement originally provided for a revolving credit facility of up to $100.0 million through December 11, 2018, or such earlier date required by the terms of the Credit Agreement, and a term loan facility of up to $125.0 million that was to be drawn in full, if at all, on or prior to March 31, 2014. On January 29, 2014, in connection with our issuance of the Notes, the unused $125 million term loan portion of our Credit Agreement terminated automatically in accordance with its terms. As of March 31, 2014, there is no outstanding balance under the revolving credit facility.</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payment obligations under the Credit Agreement are secured by a lien on substantially all of our assets, including the stock of all of our subsidiaries, and the assets of the subsidiary guarantors, including mortgages over certain of their real properties, including our large-scale vaccine manufacturing facility in Lansing, Michigan and our biodefense facility in Baltimore, Maryland.</w:t>
      </w:r>
    </w:p>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Credit Agreement, as amended, contains affirmative and negative covenants customary for financing of this type. Negative covenants in the Credit Agreement, among other things: limit our ability to incur indebtedness and liens; dispose of assets; make investments including loans, advances or guarantees; and enter into certain mergers or similar transactions. The Credit Agreement also contains financial covenants, tested quarterly and in connection with any triggering events under the Credit Agreement that include the maintenance of: (1) a minimum consolidated debt service coverage ratio of 2.50 to 1.00, (2) a maximum consolidated leverage ratio for the measurements period ending on or prior to September 30, 2014 of 4.00 to 1.00, for the measurement period ending December 31, 2014 of 3.75 to 1.00, and thereafter of 3.50 to 1.00, (3) a maximum consolidated senior leverage ratio of 2.00 to 1.00 (when no term loan is outstanding) and (4) a minimum liquidity requirement of $50.0 million. Upon the occurrence and continuance of an event of default under the Credit Agreement, the commitments of the lenders to make loans under the Credit Agreement may be terminated (other than commitments to make the term loan, which may only be terminated upon the occurrence and continuance of certain specified defaults) and our payment obligations under the Credit Agreement may be accelerated. The events of default under the Credit Agreement include, among others, subject in some cases to specified cure periods: payment defaults; inaccuracy of representations and warranties in any material respect; defaults in the observance or performance of covenants; bankruptcy and insolvency related defaults; the entry of a final judgment in excess of a threshold amount; change of control; and the invalidity of loan documents relating to the Credit Agreement.</w:t>
      </w:r>
    </w:p>
    <w:p>
      <w:pPr>
        <w:spacing w:after="0" w:line="2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January 2014, we entered into forgiveable loan agreements with the State of Maryland and Montgomery County, Maryland, for which we received $1.0 million. The proceeds of the forgiveable loans were used to reimburse us for eligible costs incurred to relocate and expand our headquarters operations and improve our research and development facility in Maryland, collectively the ("Montgomery County Site"). The principal and accrued interest may be forgiven if specified employment levels are achieved and maintained and at least $15.0 million in project costs are expended at the Montgomery County Site prior to December 2018. If the we fail to meet the criteria above, we will have to repay all or a portion of the loan.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to continue to fund our anticipated operating expenses, capital expenditures and debt service requirements from existing cash and cash equivalents, revenues from product sales, development contract and grant funding, and our revolving credit facility and any other lines of credit we may establish from time to time. There are numerous risks and uncertainties associated with product sales and with the development and commercialization of our product candidates. We may seek additional external financing to provide additional financial flexibility. Our future capital requirements will depend on many factors, including:</w:t>
      </w:r>
    </w:p>
    <w:p>
      <w:pPr>
        <w:spacing w:after="0" w:line="21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8"/>
          <w:szCs w:val="18"/>
          <w:color w:val="auto"/>
        </w:rPr>
        <w:t>the level, timing and cost of product sales;</w:t>
      </w:r>
    </w:p>
    <w:p>
      <w:pPr>
        <w:spacing w:after="0" w:line="23"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8"/>
          <w:szCs w:val="18"/>
          <w:color w:val="auto"/>
        </w:rPr>
        <w:t>the extent to which we acquire or invest in and integrate companies, business, products or technologies;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8"/>
          <w:szCs w:val="18"/>
          <w:color w:val="auto"/>
        </w:rPr>
        <w:t>the acquisition of new facilities and capital improvements to new or existing facilities,;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8"/>
          <w:szCs w:val="18"/>
          <w:color w:val="auto"/>
        </w:rPr>
        <w:t>the payment obligations under our indebtedness;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8"/>
          <w:szCs w:val="18"/>
          <w:color w:val="auto"/>
        </w:rPr>
        <w:t>the scope, progress, results and costs of our development activities;</w:t>
      </w:r>
    </w:p>
    <w:p>
      <w:pPr>
        <w:spacing w:after="0" w:line="9"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8"/>
          <w:szCs w:val="18"/>
          <w:color w:val="auto"/>
        </w:rPr>
        <w:t>our ability to obtain funding from collaborative partners, government entities and non-governmental organizations for our development programs;</w:t>
      </w: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8"/>
          <w:szCs w:val="18"/>
          <w:color w:val="auto"/>
        </w:rPr>
        <w:t>the costs of commercialization activities, including product marketing, sales and distribution; and</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8"/>
          <w:szCs w:val="18"/>
          <w:color w:val="auto"/>
        </w:rPr>
        <w:t>the costs involved in preparing, filing, prosecuting, maintaining and enforcing patent claims and other patent-related costs.</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our capital resources are insufficient to meet our future capital requirements, we will need to finance our cash needs through public or private equity or debt offerings, bank loans or collaboration and licensing arrangements. We have an effective shelf registration statement on file with the SEC that allows us to issue up to an aggregate of $180 million of equity, debt and certain other types of securities through one or more future offerings. If we raise funds by issuing equity securities, our stockholders may experience dilution. Public or bank debt financing, if available, may involve agreements that include covenants limiting or restricting our ability to take specific actions, such as incurring additional debt, making capital expenditures, pursuing acquisition</w:t>
      </w:r>
    </w:p>
    <w:p>
      <w:pPr>
        <w:sectPr>
          <w:pgSz w:w="11900" w:h="16838" w:orient="portrait"/>
          <w:cols w:equalWidth="0" w:num="1">
            <w:col w:w="11420"/>
          </w:cols>
          <w:pgMar w:left="240" w:top="125" w:right="239" w:bottom="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opportunities or declaring dividends. If we raise funds through collaboration and licensing arrangements with third parties, it may be necessary to relinquish valuable rights to our technologies or product candidates or grant licenses on terms that may not be favorable to us.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not restricted under the terms of the indenture governing the Notes from incurring additional debt, securing existing or future debt, recapitalizing our debt or taking a number of other actions that are not limited by the terms of the indenture governing our notes that could have the effect of diminishing our ability to make payments on our indebtedness.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exposure to market risk is currently confined to our cash and cash equivalents and our long-term indebtedness. We currently do not hedge interest rate exposure or foreign currency exchange exposure, and the movement of foreign currency exchange rates could have an adverse or positive impact on our results of operations. We have not used derivative financial instruments for speculation or trading purposes. Because of the short-term maturities of our cash and cash equivalents, we believe that an increase in market rates would likely not have a significant impact on the realized value of our investments, but any increase in market rates would likely increase the interest expense associated with our debt.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March 31,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2014, our chief executive officer and chief financial officer concluded that, as of such date, our disclosure controls and procedures were effective at the reasonable assurance level.</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 13a-15(f)) identified in connection with the evaluation required by Rule 13a-15(d) of the Exchange Act has occurred during the period covered by this report that has materially affected, or is reasonably likely to materially affect, our internal control over financial reporting.</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Management's assessment and conclusion of the effectiveness of disclosure controls and procedures and internal controls over financial reporting did not include the internal controls related to the operations acquired in the acquisition of the Healthcare Protective Products Division, or HPPD, from Bracco Diagnostics Inc., in August 2013 or the acquisition of Cangene Corporation, or Cangene, in February 2014. Included in our consolidated financial statements related to the operations of HPPD and Cangene are total assets and net assets of $294.3 million and $69.7 million, respectively, as of March 31, 2014 and $18.1 million and $1.2 million, respectively, of revenues and net loss for the three months ended March 31, 2014 for HPPD and, in the case of Cangene for the period since acquisition through March 31, 2014.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You should carefully consider, among other matters, the following risk factors in addition to the other information in this Quarterly Report on Form 10-Q when evaluating our business because these risk factors may have a significant impact on our business, financial condition, operating results or cash flow. If any of the risks described below or in subsequent reports we file with the SEC actually occur, they may materially harm our business, financial condition, operating results or cash flow. Additional risks and uncertainties that we have not yet identified or that we presently consider to be immaterial may also materially harm our business, financial condition, operating results or cash flow.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CONTRACTING RISKS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derive the majority of our revenue from sales of BioThrax to our principal customer, the U.S. government. If the U.S. government's demand for BioThrax is reduced, our business, financial condition, operating results and cash flow could be materially harmed.</w:t>
      </w:r>
    </w:p>
    <w:p>
      <w:pPr>
        <w:spacing w:after="0" w:line="17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have derived and expect for the foreseeable future to derive the majority of our revenue from sales to the U.S. government of BioThrax, our FDA-approved anthrax vaccine. We are currently party to a contract with the Centers for Disease Control and Prevention, or CDC, for the supply of up to 44.75 million doses of BioThrax for placement into the Strategic National Stockpile, or SNS, over a five-year period ending in September 2016.</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procurement of doses of BioThrax by the CDC is subject to the availability of funding. Our existing contract with the CDC does not guarantee that funding for the procurement of doses will be made available. If the SNS priorities change, funding to procure doses of BioThrax may be limited or not available at all, and our business, financial condition and operating results would be materially harmed. The success of our business and our operating results for the foreseeable future are significantly dependent on funding for the procurement of BioThrax and the terms of our BioThrax sales to the U.S. government, including the price per dose, the number of doses and the timing of deliveries.</w:t>
      </w:r>
    </w:p>
    <w:p>
      <w:pPr>
        <w:sectPr>
          <w:pgSz w:w="11900" w:h="16838" w:orient="portrait"/>
          <w:cols w:equalWidth="0" w:num="1">
            <w:col w:w="11420"/>
          </w:cols>
          <w:pgMar w:left="240" w:top="125" w:right="239" w:bottom="103"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b w:val="1"/>
          <w:bCs w:val="1"/>
          <w:i w:val="1"/>
          <w:iCs w:val="1"/>
          <w:color w:val="auto"/>
        </w:rPr>
        <w:t>Our U.S. government contracts require ongoing funding decisions by the U.S. government. Reduced or discontinued funding of these contracts, including funding implications of the federal budget sequestration provisions, could cause our business, financial condition, operating results and cash flow to suffer materially.</w:t>
      </w:r>
    </w:p>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principal customer for BioThrax, BAT, AIGIV, VIGIV and RSDL is the U.S. government. We anticipate that the U.S. government will also be a principal customer for other biodefense products that we successfully acquire or develop. Additionally, a significant portion of our revenue comes from U.S. government development contracts and grants. Over its lifetime, a U.S. government program may be implemented through the award of many different individual contracts and subcontracts. The funding for government programs is subject to Congressional appropriations, generally made on a fiscal year basis, even for programs designed to continue for several years. These appropriations can be subject to political considerations and stringent budgetary constraints. For example, sales of BioThrax supplied under our multi-year procurement contract with the CDC are subject to available funding, mostly from annual appropriations. Additionally, our government-funded development contracts typically give the U.S. government the right, exercisable in its sole discretion, to extend these contracts for successive option periods following a base period of performance. The value of the services to be performed during these option periods may constitute the majority of the total value of the underlying contract. For example, the development contract we were awarded in September 2010 for development of PreviThrax consists of an approximately three-year base period of performance valued at approximately $51 million with option periods valued at a total of approximately $59 million. If levels of government expenditures and authorizations for biodefense decrease or shift to programs in areas where we do not offer products or are not developing product candidates, or if the U.S. government otherwise declines to exercise its options under our contracts, our business, revenues and operating results would suffer.</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August 2011, Congress enacted the Budget Control Act of 2011, or BCA, committing the U.S. government to significantly reduce the federal deficit over ten years. The BCA contains provisions commonly referred to as "sequestration" which call for substantial, unspecified automatic federal spending cuts that may continue for a period of ten years. Legislation has been enacted suspending the federal debt ceiling until March 16, 2015. We cannot predict the ultimate outcome of the budget process or federal debt ceiling negotiations or whether such efforts will result in significant funding delays, cancellation of orders or possible default on obligations by the U.S. government, any of which may adversely impact our business and results of operations.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government contracting process is typically a competitive bidding process and involves risks and requirements that are not present in commercial contracting.</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a significant portion of our near-term business will be under government contracts and grants, which may be awarded through competitive bidding. Competitive bidding for government contracts presents a number of risks and requirements, some of which are not typically present in the commercial contracting process, including:</w:t>
      </w:r>
    </w:p>
    <w:p>
      <w:pPr>
        <w:spacing w:after="0" w:line="181" w:lineRule="exact"/>
        <w:rPr>
          <w:sz w:val="20"/>
          <w:szCs w:val="20"/>
          <w:color w:val="auto"/>
        </w:rPr>
      </w:pPr>
    </w:p>
    <w:p>
      <w:pPr>
        <w:ind w:left="980" w:hanging="324"/>
        <w:spacing w:after="0" w:line="258"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8"/>
          <w:szCs w:val="18"/>
          <w:color w:val="auto"/>
        </w:rPr>
        <w:t>the commitment of substantial time and attention of management and key employees to the preparation of bids and proposals for contracts that may not be awarded to us;</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5"/>
          <w:szCs w:val="15"/>
          <w:color w:val="auto"/>
        </w:rPr>
      </w:pPr>
      <w:r>
        <w:rPr>
          <w:rFonts w:ascii="Arial" w:cs="Arial" w:eastAsia="Arial" w:hAnsi="Arial"/>
          <w:sz w:val="17"/>
          <w:szCs w:val="17"/>
          <w:color w:val="auto"/>
        </w:rPr>
        <w:t>the need to accurately estimate the resources and cost structure that will be required to perform any contract that we might be awarded;</w:t>
      </w:r>
    </w:p>
    <w:p>
      <w:pPr>
        <w:spacing w:after="0" w:line="20" w:lineRule="exact"/>
        <w:rPr>
          <w:rFonts w:ascii="Arial" w:cs="Arial" w:eastAsia="Arial" w:hAnsi="Arial"/>
          <w:sz w:val="15"/>
          <w:szCs w:val="15"/>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8"/>
          <w:szCs w:val="18"/>
          <w:color w:val="auto"/>
        </w:rPr>
        <w:t>the possibility that we may be ineligible to respond to a request for proposal issued by the government;</w:t>
      </w:r>
    </w:p>
    <w:p>
      <w:pPr>
        <w:spacing w:after="0" w:line="9"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8"/>
          <w:szCs w:val="18"/>
          <w:color w:val="auto"/>
        </w:rPr>
        <w:t>the submission by third parties of protests to our responses to requests for proposal that could result in delays or withdrawals of those requests for proposal; and</w:t>
      </w:r>
    </w:p>
    <w:p>
      <w:pPr>
        <w:jc w:val="both"/>
        <w:ind w:left="980" w:right="20" w:hanging="324"/>
        <w:spacing w:after="0" w:line="255"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8"/>
          <w:szCs w:val="18"/>
          <w:color w:val="auto"/>
        </w:rPr>
        <w:t>in the event our competitors protest or challenge contract or grant awards made to us pursuant to competitive bidding, the potential that we may incur expenses or delays, and that any such protest or challenge would result in the resubmission of bids based on modified specifications, or in the termination, reduction or modification of the awarded contract.</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U.S. government may choose not to award us future contracts for the development and supply of our Biodefense products and product candidates that we are developing, and may instead award such contracts to our competitors. If we are unable to win particular contracts, we may not be able to operate in the market for products that are provided under those contracts for a number of years. Additionally, if we are unable to consistently win new contract awards over an extended period, or if we fail to anticipate all of the costs or resources that will be required to secure and, if applicable, perform such contract awards, our growth strategy and our business, financial condition and operating results could be materially and adversely affected.</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Laws and regulations affecting government contracts make it more costly and difficult for us to successfully conduct our business. Failure to comply with these laws could result in significant civil and criminal penalties and materially damage our relationship with the U.S. government.</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must comply with numerous laws and regulations relating to the procurement, formation, administration and performance of government contracts. Among the most significant government contracting regulations that affect the business of our Biodefense division are:</w:t>
      </w:r>
    </w:p>
    <w:p>
      <w:pPr>
        <w:spacing w:after="0" w:line="170" w:lineRule="exact"/>
        <w:rPr>
          <w:sz w:val="20"/>
          <w:szCs w:val="20"/>
          <w:color w:val="auto"/>
        </w:rPr>
      </w:pPr>
    </w:p>
    <w:p>
      <w:pPr>
        <w:ind w:left="1380" w:hanging="75"/>
        <w:spacing w:after="0" w:line="258" w:lineRule="auto"/>
        <w:tabs>
          <w:tab w:leader="none" w:pos="2028" w:val="left"/>
        </w:tabs>
        <w:numPr>
          <w:ilvl w:val="0"/>
          <w:numId w:val="14"/>
        </w:numPr>
        <w:rPr>
          <w:rFonts w:ascii="Arial" w:cs="Arial" w:eastAsia="Arial" w:hAnsi="Arial"/>
          <w:sz w:val="16"/>
          <w:szCs w:val="16"/>
          <w:color w:val="auto"/>
        </w:rPr>
      </w:pPr>
      <w:r>
        <w:rPr>
          <w:rFonts w:ascii="Arial" w:cs="Arial" w:eastAsia="Arial" w:hAnsi="Arial"/>
          <w:sz w:val="18"/>
          <w:szCs w:val="18"/>
          <w:color w:val="auto"/>
        </w:rPr>
        <w:t>the Federal Acquisition Regulation, or FAR, and agency-specific regulations supplemental to the FAR, which comprehensively regulate the procurement, formation, administration and performance of government contracts;</w:t>
      </w:r>
    </w:p>
    <w:p>
      <w:pPr>
        <w:spacing w:after="0" w:line="1" w:lineRule="exact"/>
        <w:rPr>
          <w:rFonts w:ascii="Arial" w:cs="Arial" w:eastAsia="Arial" w:hAnsi="Arial"/>
          <w:sz w:val="16"/>
          <w:szCs w:val="16"/>
          <w:color w:val="auto"/>
        </w:rPr>
      </w:pPr>
    </w:p>
    <w:p>
      <w:pPr>
        <w:jc w:val="both"/>
        <w:ind w:left="1380" w:hanging="75"/>
        <w:spacing w:after="0" w:line="250" w:lineRule="auto"/>
        <w:tabs>
          <w:tab w:leader="none" w:pos="2028" w:val="left"/>
        </w:tabs>
        <w:numPr>
          <w:ilvl w:val="0"/>
          <w:numId w:val="14"/>
        </w:numPr>
        <w:rPr>
          <w:rFonts w:ascii="Arial" w:cs="Arial" w:eastAsia="Arial" w:hAnsi="Arial"/>
          <w:sz w:val="16"/>
          <w:szCs w:val="16"/>
          <w:color w:val="auto"/>
        </w:rPr>
      </w:pPr>
      <w:r>
        <w:rPr>
          <w:rFonts w:ascii="Arial" w:cs="Arial" w:eastAsia="Arial" w:hAnsi="Arial"/>
          <w:sz w:val="18"/>
          <w:szCs w:val="18"/>
          <w:color w:val="auto"/>
        </w:rPr>
        <w:t>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the False Claims Act and the Foreign Corrupt Practices Act;</w:t>
      </w:r>
    </w:p>
    <w:p>
      <w:pPr>
        <w:spacing w:after="0" w:line="1" w:lineRule="exact"/>
        <w:rPr>
          <w:rFonts w:ascii="Arial" w:cs="Arial" w:eastAsia="Arial" w:hAnsi="Arial"/>
          <w:sz w:val="16"/>
          <w:szCs w:val="16"/>
          <w:color w:val="auto"/>
        </w:rPr>
      </w:pPr>
    </w:p>
    <w:p>
      <w:pPr>
        <w:ind w:left="2040" w:hanging="735"/>
        <w:spacing w:after="0"/>
        <w:tabs>
          <w:tab w:leader="none" w:pos="2040" w:val="left"/>
        </w:tabs>
        <w:numPr>
          <w:ilvl w:val="0"/>
          <w:numId w:val="14"/>
        </w:numPr>
        <w:rPr>
          <w:rFonts w:ascii="Arial" w:cs="Arial" w:eastAsia="Arial" w:hAnsi="Arial"/>
          <w:sz w:val="16"/>
          <w:szCs w:val="16"/>
          <w:color w:val="auto"/>
        </w:rPr>
      </w:pPr>
      <w:r>
        <w:rPr>
          <w:rFonts w:ascii="Arial" w:cs="Arial" w:eastAsia="Arial" w:hAnsi="Arial"/>
          <w:sz w:val="18"/>
          <w:szCs w:val="18"/>
          <w:color w:val="auto"/>
        </w:rPr>
        <w:t>export and import control laws and regulations; and</w:t>
      </w:r>
    </w:p>
    <w:p>
      <w:pPr>
        <w:spacing w:after="0" w:line="9" w:lineRule="exact"/>
        <w:rPr>
          <w:rFonts w:ascii="Arial" w:cs="Arial" w:eastAsia="Arial" w:hAnsi="Arial"/>
          <w:sz w:val="16"/>
          <w:szCs w:val="16"/>
          <w:color w:val="auto"/>
        </w:rPr>
      </w:pPr>
    </w:p>
    <w:p>
      <w:pPr>
        <w:ind w:left="1380" w:hanging="75"/>
        <w:spacing w:after="0" w:line="261" w:lineRule="auto"/>
        <w:tabs>
          <w:tab w:leader="none" w:pos="2028" w:val="left"/>
        </w:tabs>
        <w:numPr>
          <w:ilvl w:val="0"/>
          <w:numId w:val="14"/>
        </w:numPr>
        <w:rPr>
          <w:rFonts w:ascii="Arial" w:cs="Arial" w:eastAsia="Arial" w:hAnsi="Arial"/>
          <w:sz w:val="16"/>
          <w:szCs w:val="16"/>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U.S. government agencies routinely audit and investigate government contractors for compliance with applicable laws and standards. If we are audited and such audit were to uncover improper or illegal activities, we could be subject to civil and criminal penalties, administrative sanctions, including suspension or debarment from government contracting and significant reputational harm.</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amount we are paid under our fixed price government contracts is based on estimates we have made of the time, resources and expenses required for us to perform those contracts. If our actual costs exceed our estimates, we may not be able to earn an adequate return or may incur a loss under these contracts, which could harm our operating results and materially reduce our net income.</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Some of our current contracts with the U.S. Health &amp; Human Services, or HHS, and the Department of Defense, or DoD, for the procurement of our Biodefense products are fixed price contracts. We expect that our potential future contracts with the U.S. government for our Biodefense products also may be fixed price contracts. Under a fixed price contract, we are required to deliver our products at a fixed price regardless of the actual costs we incur. Estimating costs that are related to performance in accordance with contract specifications is difficult, particularly where the period of performance is over several years.</w:t>
      </w:r>
    </w:p>
    <w:p>
      <w:pPr>
        <w:sectPr>
          <w:pgSz w:w="11900" w:h="16838" w:orient="portrait"/>
          <w:cols w:equalWidth="0" w:num="1">
            <w:col w:w="11420"/>
          </w:cols>
          <w:pgMar w:left="240" w:top="125" w:right="239" w:bottom="0" w:gutter="0" w:footer="0" w:header="0"/>
        </w:sectPr>
      </w:pPr>
    </w:p>
    <w:bookmarkStart w:id="22" w:name="page23"/>
    <w:bookmarkEnd w:id="22"/>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failure to anticipate technical problems, estimate costs accurately or control costs during performance of a fixed price contract could reduce the profitability of such a contract or cause a loss, which could harm our operating results and materially reduce our net income.</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Unfavorable provisions in government contracts, some of which may be customary, may subject our business to material limitations, restrictions and uncertainties and may have a material adverse impact on our financial condition and operating results.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Government contracts customarily contain provisions that give the U.S. government substantial rights and remedies, many of which are not typically found in commercial contracts, including provisions that allow the U.S. government to:</w:t>
      </w:r>
    </w:p>
    <w:p>
      <w:pPr>
        <w:spacing w:after="0" w:line="17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terminate existing contracts, in whole or in part, for any reason or no reason;</w:t>
      </w:r>
    </w:p>
    <w:p>
      <w:pPr>
        <w:spacing w:after="0" w:line="23"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unilaterally reduce or modify contracts or subcontracts, including by imposing equitable price adjustments;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decline, in whole or in part, to exercise an option to purchase product under a contract or renew a contract;</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claim rights to facilities or to products, including intellectual property, developed under the contract;</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require repayment of contract funds spent on construction of facilities in the event of contract default;</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take actions that result in a longer development timeline than expected;</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direct the course of a development program in a manner not chosen by the government contractor;</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suspend or debar the contractor from doing business with the government or a specific government agency;</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pursue civil or criminal remedies under acts such as the False Claims Act and False Statements Act; and</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control or prohibit the export of products.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Generally, government contracts, including our contract for procurement of BioThrax, contain provisions permitting unilateral termination or modification, in whole or in part, at the U.S. government's convenience. Under general principles of government contracting law, if the U.S. government terminates a contract for convenience, the government contractor may recover only its incurred or committed costs, settlement expenses and profit on work completed prior to the termination. If the U.S. government terminates a contract for default, the government contractor is entitled to recover costs incurred and associated profits on accepted items only and may be liable for excess costs incurred by the government in procuring undelivered items from another source. Our CDC contract for the procurement of BioThrax is, and our future U.S. government procurement and development contracts are likely to be, terminable at the U.S. government's convenience with these potential consequences.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U.S. government contracts grant the U.S. government the right to use technologies developed by us under the government contract or the right to share data related to our technologies, for or on behalf of the U.S. government. Under our U.S. government contracts, we might not be able to prohibit third parties, including our competitors, from accessing such technology or data, including intellectual property, in providing products and services to the U.S. government.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RISKS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development and commercialization of new biopharmaceutical products is highly competitive and subject to rapid technological advances. We may face future competition with respect to our products, any products that we acquire, our current product candidates and any products we may seek to develop or commercialize in the future from other biopharmaceutical companies and governments, universities and other non-profit research organizations, who are increasingly aware of the commercial value of their research. Our competitors may develop products that are safer, more effective, more convenient or less costly than any products that we may develop or market. Our competitors may devote greater resources to market or sell their products, adapt more quickly to new technologies and scientific advances, initiate or withstand substantial price competition more successfully than we can, or more effectively negotiate third-party licensing and collaborative arrangements.</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are a number of companies with biodefense products or product candidates competing with us for both U.S. government procurement and development resources. For example, in terms of additional procurement of licensed countermeasures, HHS awarded a development and SNS procurement contract to GlaxoSmithKline plc for ABThrax (raxibacumab), an anthrax monoclonal antibody therapeutic.</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our most significant competitors in the hematology/oncology, transplantation and infectious disease markets include: CSL Behring, a subsidiary of CSL Limited, Amgen Inc., GlaxoSmithKline plc, Grifols USA LLC and Baxter International Inc. Our most significant competitors in the vaccine markets include: Merck &amp; Co., Inc., GlaxoSmithKline plc, Sanofi Pasteur SA, Novartis AG and Pfizer Inc.</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Any reduction in demand for our products as a result of a competing product could lead to reduced revenues, reduced margins, reduced levels of profitability and loss of market share for our products. These competitive pressures could adversely affect our business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distribute some of our products and those third parties may not perform.</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portion of our revenues from product sales is derived from sales through exclusive distributors in Canada and international markets. For example, in Canada, only two distributors have rights to our WinRho SDF, HepaGam B and VARIZIG products. As a result, we rely on the sales and marketing strength of these distributors and the distribution channels through which they operate for a portion of our revenues. We may not be able to retain these distribution relationships indefinitely and these distributors may not adequately support the sales, marketing and distribution efforts of our products in these significant markets. If third parties do not successfully carry out their contractual duties in maximizing the commercial potential of our products, or if there is a delay or interruption in the distribution of our products, it could negatively impact our revenue from sales of such products.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our Biosciences products will depend upon the degree of market acceptance by the government, physicians, patients, healthcare payors and others in the medical community.</w:t>
      </w:r>
    </w:p>
    <w:p>
      <w:pPr>
        <w:spacing w:after="0" w:line="19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Biosciences products may not gain or maintain market acceptance by potential government customers, physicians, patients, third-party payors and others in the medical community. In particular, the success of our Biosciences products, including our hyperimmune specialty products, will depend upon, among other things, their acceptance by physicians, patients, third-party payors and other members of the medical community as a therapeutic and cost-effective alternative to competing products and treatments. If any of our products do not achieve and maintain an adequate level of acceptance, we may not generate material revenues from sales of these products. The degree of market acceptance of our products will depend on a number of factors, including:</w:t>
      </w:r>
    </w:p>
    <w:p>
      <w:pPr>
        <w:spacing w:after="0" w:line="2"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8"/>
          <w:szCs w:val="18"/>
          <w:color w:val="auto"/>
        </w:rPr>
        <w:t>our ability to provide acceptable evidence of safety and efficacy;</w:t>
      </w:r>
    </w:p>
    <w:p>
      <w:pPr>
        <w:sectPr>
          <w:pgSz w:w="11900" w:h="16888" w:orient="portrait"/>
          <w:cols w:equalWidth="0" w:num="1">
            <w:col w:w="11420"/>
          </w:cols>
          <w:pgMar w:left="240" w:top="125" w:right="239" w:bottom="0" w:gutter="0" w:footer="0" w:header="0"/>
        </w:sectPr>
      </w:pPr>
    </w:p>
    <w:bookmarkStart w:id="23" w:name="page24"/>
    <w:bookmarkEnd w:id="23"/>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8"/>
          <w:szCs w:val="18"/>
          <w:color w:val="auto"/>
        </w:rPr>
        <w:t>the prevalence and severity of any side effects;</w:t>
      </w:r>
    </w:p>
    <w:p>
      <w:pPr>
        <w:spacing w:after="0" w:line="23"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8"/>
          <w:szCs w:val="18"/>
          <w:color w:val="auto"/>
        </w:rPr>
        <w:t>availability, relative cost and relative efficacy of alternative and competing treatments;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8"/>
          <w:szCs w:val="18"/>
          <w:color w:val="auto"/>
        </w:rPr>
        <w:t>the ability to offer our products for sale at competitive prices;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8"/>
          <w:szCs w:val="18"/>
          <w:color w:val="auto"/>
        </w:rPr>
        <w:t>the relative convenience and ease of administration;</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8"/>
          <w:szCs w:val="18"/>
          <w:color w:val="auto"/>
        </w:rPr>
        <w:t>the willingness of the target patient population to try new products and of physicians to prescribe these products;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8"/>
          <w:szCs w:val="18"/>
          <w:color w:val="auto"/>
        </w:rPr>
        <w:t>the strength of marketing and distribution support;</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8"/>
          <w:szCs w:val="18"/>
          <w:color w:val="auto"/>
        </w:rPr>
        <w:t>publicity concerning our products or competing products and treatments; and</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8"/>
          <w:szCs w:val="18"/>
          <w:color w:val="auto"/>
        </w:rPr>
        <w:t>the sufficiency of coverage or reimbursement by third parties.</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our products and product candidates do not become widely accepted by potential government customers, physicians, patients, third-party payors and other members of the medical community, our business, financial condition and operating results could be materially and adversely affected.</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Reimbursement policies or changes in health care systems and payer policies could result in a decline in our potential sales and a reduction in our expected revenue from our products.</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revenues and profitability of biopharmaceutical companies like ours may be affected by the continuing efforts of government and third-party payers to contain or reduce the costs of health care through various means. For example, in certain foreign markets, pricing or profitability of therapeutic and other pharmaceutical products is subject to governmental control. In the United States, there have been, and we expect that there will continue to be, a number of federal and state proposals to implement similar governmental control. Recent U.S. legislation, rules and regulations instituted significant changes to the U.S. healthcare system that could have a material adverse effect on our business, financial condition and profitability. We cannot predict what effects, if any, this legislation might have on our company and our products as this legislation is implemented over the next few years, nor can we predict whether additional legislative or regulatory proposals may be adopted.</w:t>
      </w:r>
    </w:p>
    <w:p>
      <w:pPr>
        <w:spacing w:after="0" w:line="20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in the U.S. and elsewhere, sales of therapeutic and other pharmaceutical products depend, in part, on the availability of reimbursement from third-party payers, such as government and private insurance plans. Third-party payers are increasingly challenging the prices charged for medical products and services. Third-party payers may limit access to biopharmaceutical products through the use of prior authorizations and step therapy. Any reimbursement granted may not be maintained, or limits on reimbursement available from third parties may reduce the demand for or negatively affect the price and profitability of those products. Payers may pursue aggressive cost cutting initiatives such as comparing the effectiveness, benefits and costs of similar treatments, which could result in lower reimbursement. Policies that decrease reimbursement would likely have a material adverse effect on our business, financial condition and results of operations. Our ability to successfully commercialize our products and product candidates and the demand for our products depend, in part, on the extent to which reimbursement and access is available from such third-party payers.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products may face risks of competition from biosimilar manufacturers.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Competition for BioThrax, WinRho SDF, BAT, AIGIV, HepaGam B, VARIZIG and VIGIV, or our "Biologic Products," may be affected by follow-on biologics, which are also referred to as "biosimilars," in the U.S. and other jurisdictions. Regulatory and legislative activity in the U.S. and other countries may make it easier for generic drug manufacturers to manufacture and sell biological drugs similar or identical to our Biologic Products, which might affect the profitability or commercial viability of our Biologic Products. Under the Biologics Price Competition and Innovation Act of 2010, the FDA cannot approve a biosimilar application until the 12-year exclusivity period for the innovator biologic has expired. Regulators in the European Union and in other foreign jurisdictions have already approved biosimilars, although the European Medicines Agency has expressly excluded blood or plasma-derived products and their recombinant alternatives from the biosimilar pathway for a period of time. Vaccine and allergen products are considered on a case-by-case basis. The specific regulatory framework for this new approval pathway, whether the FDA will permit biosimilars for blood products and vaccines, and the extent to which an approved biosimilar would be substituted for the innovator biologic are not yet clear and will depend on many factors that are currently unknown. If a biosimilar version of one of our Biologic Products were approved, it could have a material adverse effect on the sales and gross profits of the affected Biologic Product and adversely affect our business and operating results.</w:t>
      </w: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Political or social factors may delay or impair our ability to market our products and may require us to spend significant management time and financial resources to address these issues.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Products developed to treat diseases caused by or to combat CBRN (Chemical, Biological, Radiological and Nuclear) threats are subject to changing political and social environments. The political responses and social awareness of the risks of biowarfare and bioterrorism attacks on military personnel or civilians may vary over time. Changes in the leadership of prominent terrorist networks could result in a public perception that the risk of bioterrorism is reduced. This perception, as well as political or social pressures, could delay or cause resistance to bringing our products to market or limit pricing or purchases of our products, any of which could negatively affect our revenues.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substantial delays or cancellations of purchases could result from protests or challenges 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Biodefense products and thereby limit the demand for our Biodefense products, which would adversely affect our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COMPLIANCE RISKS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long term success depends, in part, upon our ability to develop, receive regulatory approval for and commercialize product candidates and, if we are not successful, our business and operating results may suffer.</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experience in preparing, filing and prosecuting the applications necessary to gain regulatory approvals and expect to rely on third-party contract research organizations and consultants to assist us in this process.</w:t>
      </w:r>
    </w:p>
    <w:p>
      <w:pPr>
        <w:spacing w:after="0" w:line="21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and efficacy in</w:t>
      </w:r>
    </w:p>
    <w:p>
      <w:pPr>
        <w:sectPr>
          <w:pgSz w:w="11900" w:h="16838" w:orient="portrait"/>
          <w:cols w:equalWidth="0" w:num="1">
            <w:col w:w="11420"/>
          </w:cols>
          <w:pgMar w:left="240" w:top="125" w:right="239" w:bottom="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treating the targeted indication based on data derived from adequate and well-controlled clinical trials, including Phase III safety and efficacy trials conducted in patients with the disease or condition being targeted.</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However, NuThrax and PreviThrax are subject to a different regulatory approval pathway. Specifically, because humans are rarely exposed to anthrax toxins under natural conditions, and cannot be intentionally exposed, statistically significant efficacy for these product candidates cannot be demonstrated in humans. Instead, efficacy must be demonstrated, in part, by utilizing animal models before they can be approved for marketing. This is known as the FDA's "Animal Rule." We cannot guarantee that the FDA will permit us to proceed with licensure of NuThrax, PreviThrax or any Biodefense product candidates under the Animal Rule. Even if we are able to proceed pursuant to the Animal Rule, the FDA may decide that our data are insufficient to support approval and require additional preclinical, clinical or other studies, refuse to approve our products, or place restrictions on our ability to commercialize those products. Furthermore, products approved under the Animal Rule are subject to certain additional post-marketing requirements. For example, to the extent feasible and ethical, manufacturers of products approved pursuant to the Animal Rule must conduct post-marketing studies, such as field studies, to verify and describe the drug's clinical benefit and to assess its safety when used as indicated. We cannot guarantee that we will be able to meet this regulatory requirement even if one or more of our product candidates is approved under the Animal Rule.</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for a submitted product application, may cause delays in the approval or rejection of an application.</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after regulatory approval is received, if we fail to comply with regulatory requirements, or if we experience unanticipated problems with our approved products, they could be subject to restrictions, penalties or withdrawal from the market.</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vaccine, therapeutic product or medical device for which we obtain marketing approval, along with the manufacturing processes, post-approval clinical data, labeling, advertising and promotional activities for such product will be subject to continual requirements of and review by the FDA and other regulatory bodies. Our approved products are subject to these requirements and ongoing review. These requirements include submissions of safety and other post-marketing information and reports, registration requirements, current good manufacturing practices, cGMP, or requirements relating to quality control, quality assurance, restrictions on advertising and promotion, import and export restrictions and recordkeeping requirements.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could be subject to challenge under one or more of such laws.</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FDA enforces its cGMP and other requirements through periodic unannounced inspections of manufacturing facilities. The FDA is authorized to inspect domestic manufacturing facilities without prior notice at reasonable times and in a reasonable manner. The FDA conducts periodic inspections of our facilities. For example, our Lansing facility was inspected most recently in November 2013. Following each of these inspections, the FDA has issued inspectional observations, some of which were significant, but all of which are being addressed through corrective actions. If, in connection with any future inspection, the FDA finds that we are not in substantial compliance with cGMP requirements, or if the FDA is not satisfied with the corrective actions we take, the FDA may undertake enforcement action against us, which may include:</w:t>
      </w:r>
    </w:p>
    <w:p>
      <w:pPr>
        <w:spacing w:after="0" w:line="193"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8"/>
          <w:szCs w:val="18"/>
          <w:color w:val="auto"/>
        </w:rPr>
        <w:t>warning letters and other communications;</w:t>
      </w:r>
    </w:p>
    <w:p>
      <w:pPr>
        <w:spacing w:after="0" w:line="23"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8"/>
          <w:szCs w:val="18"/>
          <w:color w:val="auto"/>
        </w:rPr>
        <w:t>product seizure or withdrawal of the product from the market;</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8"/>
          <w:szCs w:val="18"/>
          <w:color w:val="auto"/>
        </w:rPr>
        <w:t>restrictions on the marketing or manufacturing of a product;</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5"/>
          <w:szCs w:val="15"/>
          <w:color w:val="auto"/>
        </w:rPr>
      </w:pPr>
      <w:r>
        <w:rPr>
          <w:rFonts w:ascii="Arial" w:cs="Arial" w:eastAsia="Arial" w:hAnsi="Arial"/>
          <w:sz w:val="17"/>
          <w:szCs w:val="17"/>
          <w:color w:val="auto"/>
        </w:rPr>
        <w:t>suspension or withdrawal of regulatory approvals or refusal to approve pending applications or supplements to approved applications;</w:t>
      </w:r>
    </w:p>
    <w:p>
      <w:pPr>
        <w:spacing w:after="0" w:line="20" w:lineRule="exact"/>
        <w:rPr>
          <w:rFonts w:ascii="Arial" w:cs="Arial" w:eastAsia="Arial" w:hAnsi="Arial"/>
          <w:sz w:val="15"/>
          <w:szCs w:val="15"/>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8"/>
          <w:szCs w:val="18"/>
          <w:color w:val="auto"/>
        </w:rPr>
        <w:t>fines or disgorgement of profits or revenue; and</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8"/>
          <w:szCs w:val="18"/>
          <w:color w:val="auto"/>
        </w:rPr>
        <w:t>injunctions or the imposition of civil or criminal penalties.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Similar action may be taken against us upon our failure to comply with regulatory requirements, or later discovery of previously unknown problems with our products or manufacturing processes.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obtain or maintain regulatory approval in international jurisdictions could prevent us from marketing our products abroad and could limit the growth of our business.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sell and intend to sell our products outside the United States. To market our products in the European Union and many other foreign jurisdictions, we may need to obtain separate regulatory approvals and comply with numerous and varying regulatory requirements. Approval by the FDA does not ensure approval by foreign regulatory authorities. The approval procedures in foreign jurisdictions can vary widely and can involve additional clinical trials and data review. We and our collaborators may not be able to obtain foreign regulatory approvals on a timely basis, if at all, and therefore we may be unable to commercialize our products internationally.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increase our risk of exposure to potential claims of bribery and corruption.</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we expand our commercialization activities outside of the United States, we will be subject to an increased risk of inadvertently conducting activities in a manner that violates the U.S. Foreign Corrupt Practices Act, or FCPA, the U.K. Bribery Act, Canada's Corruption of Foreign Public Officials Act, or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In the course of establishing and expanding our commercial operations and seeking regulatory approvals outside of the United States, we will need to establish and expand business relationships with various third parties and will interact more frequently with foreign officials, including regulatory authorities and physicians employed by state-run healthcare institutions who may be deemed to be foreign officials under the FCPA or similar foreign laws. If our business practices outside the United States are found to be in violation of the FCPA or similar foreign laws,</w:t>
      </w:r>
    </w:p>
    <w:p>
      <w:pPr>
        <w:sectPr>
          <w:pgSz w:w="11900" w:h="16838" w:orient="portrait"/>
          <w:cols w:equalWidth="0" w:num="1">
            <w:col w:w="11420"/>
          </w:cols>
          <w:pgMar w:left="240" w:top="125" w:right="239" w:bottom="0" w:gutter="0" w:footer="0" w:header="0"/>
        </w:sectPr>
      </w:pPr>
    </w:p>
    <w:bookmarkStart w:id="25" w:name="page26"/>
    <w:bookmarkEnd w:id="25"/>
    <w:p>
      <w:pPr>
        <w:jc w:val="both"/>
        <w:ind w:right="20"/>
        <w:spacing w:after="0" w:line="308" w:lineRule="auto"/>
        <w:rPr>
          <w:sz w:val="20"/>
          <w:szCs w:val="20"/>
          <w:color w:val="auto"/>
        </w:rPr>
      </w:pPr>
      <w:r>
        <w:rPr>
          <w:rFonts w:ascii="Arial" w:cs="Arial" w:eastAsia="Arial" w:hAnsi="Arial"/>
          <w:sz w:val="17"/>
          <w:szCs w:val="17"/>
          <w:color w:val="auto"/>
        </w:rPr>
        <w:t>we and our senior management may be subject to significant civil and criminal penalties, potential debarment from public procurement and reputational damage, which could have a material adverse effect on our business, financial condition, results of operations and growth prospects.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RISKS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biologic products and product candidates are complex to manufacture and ship, which could cause us to experience delays in product manufacturing or development and resulting delays in revenues.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BioThrax, WinRho SDF, BAT, AIGIV, HepaGam B, VARIZIG, VIGIV and all of our current product candidates, are biologics. Manufacturing biologic products, especially in large quantities, is complex. The products must be made consistently and in compliance with a clearly defined manufacturing process. Problems may arise during manufacturing for a variety of reasons, including problems with raw materials, equipment malfunction and failure to follow specific protocols and procedures. In addition, slight deviations anywhere in the manufacturing process, including obtaining materials, maintaining master seed or cell banks and preventing genetic drift, seed or cell growth, fermentation, filtration, filling, labeling, packaging, storage and shipping, and quality control testing, may result in lot failures or manufacturing shut-down, delays in the release of lots, product recalls, spoilage or regulatory action. Such deviations may require us to revise manufacturing processes or change manufacturers. Additionally, as our equipment ages, it will need to be replaced. Replacement of equipment has the potential to introduce variations in the manufacturing process that may result in lot failures or manufacturing shut-down, delay in the release of lots, product recalls, spoilage or regulatory action. Success rates can also vary dramatically at different stages of the manufacturing process, which can reduce yields and increase costs. From time to time, we may experience deviations in the manufacturing process that may take significant time and resources to resolve and, if unresolved, may affect manufacturing output and could cause us to fail to satisfy customer orders or contractual commitments, lead to a termination of one or more of our contracts, lead to delays in our clinical trials, result in litigation or regulatory action against us or cause the FDA to cease releasing product until the deviations are explained and corrected, any of which could be costly to us, damage our reputation and negatively impact our business.</w:t>
      </w:r>
    </w:p>
    <w:p>
      <w:pPr>
        <w:spacing w:after="0" w:line="2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FDA approval is required for the release of each lot of BioThrax. We will not be able to sell any lots that fail to satisfy the release testing specifications. For example, we must provide the FDA with the results of certain tests, including potency tests, before lots are released for sale. Potency testing of each lot of BioThrax is performed against a qualified control lot that we maintain. We have one mechanism for conducting this potency testing that is reliant on a unique animal strain for which we currently have no alternative. We continually monitor the status of our control lot and periodically produce and qualify a new control lot to replace the existing control lot. If we are not able to produce and qualify a new control lot or otherwise satisfy the FDA's requirements for release of BioThrax, our ability to sell BioThrax would be impaired until such time as we become able to meet the FDA's requirements, which would significantly impact our revenues, require us to utilize our cash balances to help fund our ongoing operations and otherwise harm our business.</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contractually required to ship our biologic products at a prescribed temperature range and variations from that temperature range could result in loss of product and could significantly impact our revenues. Delays, lot failures, shipping deviations, spoilage or other loss during shipping could cause us to fail to satisfy customer orders or contractual commitments, lead to a termination of one or more of our contracts, lead to delays in potential clinical trials or result in litigation or regulatory action against us, any of which could be costly to us and otherwise harm our business.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in the process of expanding our manufacturing facilities. Delays in completing our facilities, or delays or failures in obtaining regulatory approvals for our new manufacturing facilities, could limit our ability to expand our revenues.</w:t>
      </w:r>
    </w:p>
    <w:p>
      <w:pPr>
        <w:spacing w:after="0" w:line="1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constructed Building 55, a large-scale manufacturing facility on our Lansing, Michigan campus for which we received a development contract from BARDA in July 2010 for scale-up, qualification and validation to manufacture BioThrax. Additionally, in 2009, we acquired a facility in Baltimore, Maryland, which we expect to utilize for certain product development or manufacturing projects, including projects performed under a separate development contract from BARDA to establish a Center for Innovation in Advanced Development and Manufacturing. The process for qualifying and validating these facilities may result in unanticipated delays and may cost more than expected due to a number of factors, including regulatory requirements. The costs and time required to comply with cGMP regulations or similar foreign regulatory requirements for sales of our products may be significant. In addition, if we experience delays, we may be in breach of the obligations under our government-funded development contracts. We have experienced such delays in the past and may experience further delays in the future. If our facility licensure activities are delayed, we may not be able to utilize Building 55 to increase our production of BioThrax or manufacture product candidates in our Baltimore facility, which could significantly impact our future revenues.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Currently, only Building 12, our manufacturing facility in Lansing, Michigan has regulatory approval to manufacture BioThrax. A significant interruption of the ability of this facility to manufacture BioThrax would reduce our revenues and materially harm our business, financial condition, operating results and cash flow.</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rely on our manufacturing facility at a single location in Lansing, Michigan, Building 12, for the production of BioThrax. Any interruption in manufacturing operations at this location could result in our inability to satisfy the product demand of the U.S. government or other BioThrax customers. A number of factors could cause interruptions, including:</w:t>
      </w:r>
    </w:p>
    <w:p>
      <w:pPr>
        <w:spacing w:after="0" w:line="181"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8"/>
          <w:szCs w:val="18"/>
          <w:color w:val="auto"/>
        </w:rPr>
        <w:t>equipment malfunctions or failures;</w:t>
      </w:r>
    </w:p>
    <w:p>
      <w:pPr>
        <w:spacing w:after="0" w:line="23"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8"/>
          <w:szCs w:val="18"/>
          <w:color w:val="auto"/>
        </w:rPr>
        <w:t>technology malfunctions;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8"/>
          <w:szCs w:val="18"/>
          <w:color w:val="auto"/>
        </w:rPr>
        <w:t>cyber-attacks;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8"/>
          <w:szCs w:val="18"/>
          <w:color w:val="auto"/>
        </w:rPr>
        <w:t>work stoppages or slow-downs;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8"/>
          <w:szCs w:val="18"/>
          <w:color w:val="auto"/>
        </w:rPr>
        <w:t>protests, including by animal rights activists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8"/>
          <w:szCs w:val="18"/>
          <w:color w:val="auto"/>
        </w:rPr>
        <w:t>damage to or destruction of the facility; or</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8"/>
          <w:szCs w:val="18"/>
          <w:color w:val="auto"/>
        </w:rPr>
        <w:t>product tampering.</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Providers of bioterrorism countermeasures could be subject to an increased risk of terrorist activities. The U.S. government has designated both our Lansing, Michigan and our Biodefense Baltimore facility as facilities requiring additional security. Although, we continually evaluate and update security measures, there can be no assurance that any additional security measures would protect our facilities from terrorist efforts determined to disrupt our manufacturing activities.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factors listed above could also cause disruptions at our other facilities, including our manufacturing facility in Winnipeg, Manitoba, Canada. Any such disruption, damage, or destruction of these facilities could impede our ability to manufacture our Biologic Products and our product candidates, result in losses and delays, including delay in the performance of our contractual obligations or delay in our clinical trials, any of which could be costly to us and materially harm our business, financial condition and operating results.</w:t>
      </w:r>
    </w:p>
    <w:p>
      <w:pPr>
        <w:sectPr>
          <w:pgSz w:w="11900" w:h="16838" w:orient="portrait"/>
          <w:cols w:equalWidth="0" w:num="1">
            <w:col w:w="11420"/>
          </w:cols>
          <w:pgMar w:left="240" w:top="125" w:right="239" w:bottom="0" w:gutter="0" w:footer="0" w:header="0"/>
        </w:sectPr>
      </w:pPr>
    </w:p>
    <w:bookmarkStart w:id="26" w:name="page27"/>
    <w:bookmarkEnd w:id="26"/>
    <w:p>
      <w:pPr>
        <w:jc w:val="both"/>
        <w:spacing w:after="0" w:line="312" w:lineRule="auto"/>
        <w:rPr>
          <w:sz w:val="20"/>
          <w:szCs w:val="20"/>
          <w:color w:val="auto"/>
        </w:rPr>
      </w:pPr>
      <w:r>
        <w:rPr>
          <w:rFonts w:ascii="Arial" w:cs="Arial" w:eastAsia="Arial" w:hAnsi="Arial"/>
          <w:sz w:val="16"/>
          <w:szCs w:val="16"/>
          <w:b w:val="1"/>
          <w:bCs w:val="1"/>
          <w:i w:val="1"/>
          <w:iCs w:val="1"/>
          <w:color w:val="auto"/>
        </w:rPr>
        <w:t>If we are unable to obtain supplies for the manufacture of BioThrax or our other products and product candidates in sufficient quantities and at an acceptable cost, our ability to manufacture BioThrax or to develop and commercialize our other products and product candidates could be impaired, which could harm our revenues, lead to a termination of one or more of our contracts, lead to delays in clinical trials or otherwise harm our business.</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on certain single-source suppliers for materials and services necessary for the manufacture of BioThrax and our other products and product candidates. For example, we rely on a single-source supplier to provide us with Alhydrogel in sufficient quantities to meet our needs to manufacture BioThrax and NuThrax. We also rely on single-source suppliers for the sponge applicator device and the active ingredient used to make RSDL and the specialty plasma in our hyperimmune specialty plasma products. A disruption in the availability of such materials or services from these suppliers could require us to qualify and validate alternative suppliers. If we are unable to locate or establish alternative suppliers, our ability to manufacture our products and product candidates could be adversely affected and could harm our revenues, cause us to fail to satisfy contractual commitments, lead to a termination of one or more of our contracts or lead to delays in our clinical trials, any of which could be costly to us and otherwise harm our business, financial condition and operating results.</w:t>
      </w:r>
    </w:p>
    <w:p>
      <w:pPr>
        <w:spacing w:after="0" w:line="21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are currently dependent on third-party manufacturers for the manufacture of RSDL and episil. Certain of our third-party manufacturers currently constitute the sole source supplier for these products, and we have and will continue to have limited control over the manufacturing process and costs of these products.</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Third-party manufacturers currently supply a significant amount of RSDL and episil pursuant to contractual arrangements. Certain manufacturers currently constitute the sole source for RSDL and episil. For example, E-Z-EM Canada Inc. (dba Therapex) is our sole source manufacturer for RSDL. Because of contractual restraints and the lead-time necessary to obtain FDA approval of a new manufacturer, replacement of any of these manufacturers may be expensive and time consuming and may cause interruptions in our supply of these products to our customers.</w:t>
      </w:r>
    </w:p>
    <w:p>
      <w:pPr>
        <w:spacing w:after="0" w:line="19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 limited ability to control the manufacturing process or costs related to the third-party manufacture of our products. Increases in the prices we pay our manufacturers, interruptions in the supply of our products or lapses in quality could adversely impact our margins, profitability and cash flows. We are reliant on our third-party manufacturers to maintain the facilities at which they manufacture our products in compliance with all FDA and other applicable regulatory requirements. If these manufacturers fail to maintain compliance with FDA or other applicable regulatory requirements, they could be ordered to cease manufacturing, which could have a materially adverse impact on our revenues and operating results.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our products.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operations involve the use of hazardous materials, including chemicals, bacteria, viruses and radioactive materials, and may produce dangerous waste products. Accordingly, we, along with the third parties that conduct clinical trials on and manufacture our products and product candidates on our behalf are subject to federal, state, local and foreign laws and regulations that govern the use, manufacture, distribution, storage, handling, exposure, disposal and recordkeeping with respect to these materials. Under the Federal Select Agent Program, pursuant to the Public Health Security and Bioterrorism Preparedness and Response Act, we are required to register with and be inspected by the CDC and the Animal and Plant Health Inspection Service if we have in our possession, or if we use or transfer select biological agents or toxins that could pose a threat to public health and safety, to animal or plant health or to animal or plant products. This legislation requires stringent safeguards and security measures for these select agents and toxins, including controlled access and the screening of entities and personnel and establishes a comprehensive national database of registered entities.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From time to time, we have been involved in remediation activities and may be so involved in the future. Any related cost or liability might not be fully covered by insurance, could exceed our resources and could have a material adverse effect on our business. In addition to complying with environmental and occupational health and safety laws, we must comply with special regulations relating to biosafety administered by the CDC, HHS, U.S. Department of Agriculture and the DoD, as well as regulatory authorities in Canada.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RISKS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business depends on our success in developing and commercializing our product candidates. If we are unable to commercialize these product candidates, or experience significant delays or unanticipated costs in doing so, our business would be materially and adversely affected.</w:t>
      </w:r>
    </w:p>
    <w:p>
      <w:pPr>
        <w:spacing w:after="0" w:line="1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invested significant efforts and financial resources in the development of our vaccines and therapeutic product candidates and the acquisition of additional product candidates. In addition to our product sales, our ability to generate revenue is dependent on the success of our development programs, on the U.S. government's interest in providing development funding for or procuring certain of our Biodefense Division product candidates, on the interest of non-governmental organizations and other commercial entities in providing grant funding for development of certain of our Biosciences Division product candidates and on the commercial viability of our acquired or developed product candidates. The commercial success of our product candidates will depend on many factors, including accomplishing the following in an economical manner:</w:t>
      </w:r>
    </w:p>
    <w:p>
      <w:pPr>
        <w:spacing w:after="0" w:line="178" w:lineRule="exact"/>
        <w:rPr>
          <w:sz w:val="20"/>
          <w:szCs w:val="20"/>
          <w:color w:val="auto"/>
        </w:rPr>
      </w:pPr>
    </w:p>
    <w:p>
      <w:pPr>
        <w:ind w:left="2040" w:hanging="735"/>
        <w:spacing w:after="0"/>
        <w:tabs>
          <w:tab w:leader="none" w:pos="2040" w:val="left"/>
        </w:tabs>
        <w:numPr>
          <w:ilvl w:val="0"/>
          <w:numId w:val="20"/>
        </w:numPr>
        <w:rPr>
          <w:rFonts w:ascii="Arial" w:cs="Arial" w:eastAsia="Arial" w:hAnsi="Arial"/>
          <w:sz w:val="16"/>
          <w:szCs w:val="16"/>
          <w:color w:val="auto"/>
        </w:rPr>
      </w:pPr>
      <w:r>
        <w:rPr>
          <w:rFonts w:ascii="Arial" w:cs="Arial" w:eastAsia="Arial" w:hAnsi="Arial"/>
          <w:sz w:val="18"/>
          <w:szCs w:val="18"/>
          <w:color w:val="auto"/>
        </w:rPr>
        <w:t>successful development, formulation and cGMP scale-up of biological manufacturing that meets FDA requirements;</w:t>
      </w:r>
    </w:p>
    <w:p>
      <w:pPr>
        <w:spacing w:after="0" w:line="23" w:lineRule="exact"/>
        <w:rPr>
          <w:rFonts w:ascii="Arial" w:cs="Arial" w:eastAsia="Arial" w:hAnsi="Arial"/>
          <w:sz w:val="16"/>
          <w:szCs w:val="16"/>
          <w:color w:val="auto"/>
        </w:rPr>
      </w:pPr>
    </w:p>
    <w:p>
      <w:pPr>
        <w:ind w:left="2040" w:hanging="735"/>
        <w:spacing w:after="0"/>
        <w:tabs>
          <w:tab w:leader="none" w:pos="2040" w:val="left"/>
        </w:tabs>
        <w:numPr>
          <w:ilvl w:val="0"/>
          <w:numId w:val="20"/>
        </w:numPr>
        <w:rPr>
          <w:rFonts w:ascii="Arial" w:cs="Arial" w:eastAsia="Arial" w:hAnsi="Arial"/>
          <w:sz w:val="15"/>
          <w:szCs w:val="15"/>
          <w:color w:val="auto"/>
        </w:rPr>
      </w:pPr>
      <w:r>
        <w:rPr>
          <w:rFonts w:ascii="Arial" w:cs="Arial" w:eastAsia="Arial" w:hAnsi="Arial"/>
          <w:sz w:val="17"/>
          <w:szCs w:val="17"/>
          <w:color w:val="auto"/>
        </w:rPr>
        <w:t>successful completion of clinical or non-clinical development, including toxicology studies and studies in approved animal</w:t>
      </w:r>
    </w:p>
    <w:p>
      <w:pPr>
        <w:spacing w:after="0" w:line="20" w:lineRule="exact"/>
        <w:rPr>
          <w:rFonts w:ascii="Arial" w:cs="Arial" w:eastAsia="Arial" w:hAnsi="Arial"/>
          <w:sz w:val="15"/>
          <w:szCs w:val="15"/>
          <w:color w:val="auto"/>
        </w:rPr>
      </w:pPr>
    </w:p>
    <w:p>
      <w:pPr>
        <w:ind w:left="1380"/>
        <w:spacing w:after="0"/>
        <w:rPr>
          <w:rFonts w:ascii="Arial" w:cs="Arial" w:eastAsia="Arial" w:hAnsi="Arial"/>
          <w:sz w:val="15"/>
          <w:szCs w:val="15"/>
          <w:color w:val="auto"/>
        </w:rPr>
      </w:pPr>
      <w:r>
        <w:rPr>
          <w:rFonts w:ascii="Arial" w:cs="Arial" w:eastAsia="Arial" w:hAnsi="Arial"/>
          <w:sz w:val="18"/>
          <w:szCs w:val="18"/>
          <w:color w:val="auto"/>
        </w:rPr>
        <w:t>models;</w:t>
      </w:r>
    </w:p>
    <w:p>
      <w:pPr>
        <w:spacing w:after="0" w:line="9" w:lineRule="exact"/>
        <w:rPr>
          <w:rFonts w:ascii="Arial" w:cs="Arial" w:eastAsia="Arial" w:hAnsi="Arial"/>
          <w:sz w:val="15"/>
          <w:szCs w:val="15"/>
          <w:color w:val="auto"/>
        </w:rPr>
      </w:pPr>
    </w:p>
    <w:p>
      <w:pPr>
        <w:ind w:left="2040" w:hanging="735"/>
        <w:spacing w:after="0"/>
        <w:tabs>
          <w:tab w:leader="none" w:pos="2040" w:val="left"/>
        </w:tabs>
        <w:numPr>
          <w:ilvl w:val="0"/>
          <w:numId w:val="20"/>
        </w:numPr>
        <w:rPr>
          <w:rFonts w:ascii="Arial" w:cs="Arial" w:eastAsia="Arial" w:hAnsi="Arial"/>
          <w:sz w:val="16"/>
          <w:szCs w:val="16"/>
          <w:color w:val="auto"/>
        </w:rPr>
      </w:pPr>
      <w:r>
        <w:rPr>
          <w:rFonts w:ascii="Arial" w:cs="Arial" w:eastAsia="Arial" w:hAnsi="Arial"/>
          <w:sz w:val="18"/>
          <w:szCs w:val="18"/>
          <w:color w:val="auto"/>
        </w:rPr>
        <w:t>receipt of marketing approvals from the FDA and equivalent foreign regulatory authorities;</w:t>
      </w:r>
    </w:p>
    <w:p>
      <w:pPr>
        <w:spacing w:after="0" w:line="9" w:lineRule="exact"/>
        <w:rPr>
          <w:rFonts w:ascii="Arial" w:cs="Arial" w:eastAsia="Arial" w:hAnsi="Arial"/>
          <w:sz w:val="16"/>
          <w:szCs w:val="16"/>
          <w:color w:val="auto"/>
        </w:rPr>
      </w:pPr>
    </w:p>
    <w:p>
      <w:pPr>
        <w:ind w:left="1380" w:right="1020" w:hanging="75"/>
        <w:spacing w:after="0" w:line="250" w:lineRule="auto"/>
        <w:tabs>
          <w:tab w:leader="none" w:pos="2028" w:val="left"/>
        </w:tabs>
        <w:numPr>
          <w:ilvl w:val="0"/>
          <w:numId w:val="20"/>
        </w:numPr>
        <w:rPr>
          <w:rFonts w:ascii="Arial" w:cs="Arial" w:eastAsia="Arial" w:hAnsi="Arial"/>
          <w:sz w:val="16"/>
          <w:szCs w:val="16"/>
          <w:color w:val="auto"/>
        </w:rPr>
      </w:pPr>
      <w:r>
        <w:rPr>
          <w:rFonts w:ascii="Arial" w:cs="Arial" w:eastAsia="Arial" w:hAnsi="Arial"/>
          <w:sz w:val="18"/>
          <w:szCs w:val="18"/>
          <w:color w:val="auto"/>
        </w:rPr>
        <w:t>establishment of commercial manufacturing processes and product supply of our own or arrangements with contract manufacturers;</w:t>
      </w:r>
    </w:p>
    <w:p>
      <w:pPr>
        <w:ind w:left="2040" w:hanging="735"/>
        <w:spacing w:after="0"/>
        <w:tabs>
          <w:tab w:leader="none" w:pos="2040" w:val="left"/>
        </w:tabs>
        <w:numPr>
          <w:ilvl w:val="0"/>
          <w:numId w:val="20"/>
        </w:numPr>
        <w:rPr>
          <w:rFonts w:ascii="Arial" w:cs="Arial" w:eastAsia="Arial" w:hAnsi="Arial"/>
          <w:sz w:val="16"/>
          <w:szCs w:val="16"/>
          <w:color w:val="auto"/>
        </w:rPr>
      </w:pPr>
      <w:r>
        <w:rPr>
          <w:rFonts w:ascii="Arial" w:cs="Arial" w:eastAsia="Arial" w:hAnsi="Arial"/>
          <w:sz w:val="18"/>
          <w:szCs w:val="18"/>
          <w:color w:val="auto"/>
        </w:rPr>
        <w:t>establishment and training of a commercial sales force for the product, whether alone or in collaboration with others;</w:t>
      </w:r>
    </w:p>
    <w:p>
      <w:pPr>
        <w:spacing w:after="0" w:line="9" w:lineRule="exact"/>
        <w:rPr>
          <w:rFonts w:ascii="Arial" w:cs="Arial" w:eastAsia="Arial" w:hAnsi="Arial"/>
          <w:sz w:val="16"/>
          <w:szCs w:val="16"/>
          <w:color w:val="auto"/>
        </w:rPr>
      </w:pPr>
    </w:p>
    <w:p>
      <w:pPr>
        <w:ind w:left="2040" w:hanging="735"/>
        <w:spacing w:after="0"/>
        <w:tabs>
          <w:tab w:leader="none" w:pos="2040" w:val="left"/>
        </w:tabs>
        <w:numPr>
          <w:ilvl w:val="0"/>
          <w:numId w:val="20"/>
        </w:numPr>
        <w:rPr>
          <w:rFonts w:ascii="Arial" w:cs="Arial" w:eastAsia="Arial" w:hAnsi="Arial"/>
          <w:sz w:val="15"/>
          <w:szCs w:val="15"/>
          <w:color w:val="auto"/>
        </w:rPr>
      </w:pPr>
      <w:r>
        <w:rPr>
          <w:rFonts w:ascii="Arial" w:cs="Arial" w:eastAsia="Arial" w:hAnsi="Arial"/>
          <w:sz w:val="17"/>
          <w:szCs w:val="17"/>
          <w:color w:val="auto"/>
        </w:rPr>
        <w:t>successful registration and maintenance of patent and/or other proprietary protection for our commercial products; and</w:t>
      </w:r>
    </w:p>
    <w:p>
      <w:pPr>
        <w:spacing w:after="0" w:line="20" w:lineRule="exact"/>
        <w:rPr>
          <w:rFonts w:ascii="Arial" w:cs="Arial" w:eastAsia="Arial" w:hAnsi="Arial"/>
          <w:sz w:val="15"/>
          <w:szCs w:val="15"/>
          <w:color w:val="auto"/>
        </w:rPr>
      </w:pPr>
    </w:p>
    <w:p>
      <w:pPr>
        <w:ind w:left="1380" w:right="260" w:hanging="75"/>
        <w:spacing w:after="0" w:line="261" w:lineRule="auto"/>
        <w:tabs>
          <w:tab w:leader="none" w:pos="2028" w:val="left"/>
        </w:tabs>
        <w:numPr>
          <w:ilvl w:val="0"/>
          <w:numId w:val="20"/>
        </w:numPr>
        <w:rPr>
          <w:rFonts w:ascii="Arial" w:cs="Arial" w:eastAsia="Arial" w:hAnsi="Arial"/>
          <w:sz w:val="16"/>
          <w:szCs w:val="16"/>
          <w:color w:val="auto"/>
        </w:rPr>
      </w:pPr>
      <w:r>
        <w:rPr>
          <w:rFonts w:ascii="Arial" w:cs="Arial" w:eastAsia="Arial" w:hAnsi="Arial"/>
          <w:sz w:val="18"/>
          <w:szCs w:val="18"/>
          <w:color w:val="auto"/>
        </w:rPr>
        <w:t>acceptance of the product by potential government customers, physicians, patients, healthcare payors and others in the medical community.</w:t>
      </w:r>
    </w:p>
    <w:p>
      <w:pPr>
        <w:sectPr>
          <w:pgSz w:w="11900" w:h="16838" w:orient="portrait"/>
          <w:cols w:equalWidth="0" w:num="1">
            <w:col w:w="11420"/>
          </w:cols>
          <w:pgMar w:left="240" w:top="125" w:right="239" w:bottom="72" w:gutter="0" w:footer="0" w:header="0"/>
        </w:sectPr>
      </w:pPr>
    </w:p>
    <w:bookmarkStart w:id="27" w:name="page28"/>
    <w:bookmarkEnd w:id="27"/>
    <w:p>
      <w:pPr>
        <w:jc w:val="both"/>
        <w:ind w:firstLine="648"/>
        <w:spacing w:after="0" w:line="277" w:lineRule="auto"/>
        <w:rPr>
          <w:sz w:val="20"/>
          <w:szCs w:val="20"/>
          <w:color w:val="auto"/>
        </w:rPr>
      </w:pPr>
      <w:r>
        <w:rPr>
          <w:rFonts w:ascii="Arial" w:cs="Arial" w:eastAsia="Arial" w:hAnsi="Arial"/>
          <w:sz w:val="18"/>
          <w:szCs w:val="18"/>
          <w:color w:val="auto"/>
        </w:rPr>
        <w:t>If we are delayed or prevented from developing or commercializing a product candidate in an economically acceptable manner, or if doing so requires us to incur significant unanticipated costs, our growth could be materially and adversely affected.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Clinical trials of product candidates are expensive and time-consuming, and their outcome is uncertain. We must invest substantial amounts of time and financial resources in these trials, which may not yield viable products.</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Before obtaining regulatory approval for the sale of our product candidates, we and our collaborative partners must conduct extensive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 An unexpected result in one or more of our clinical trials can occur at any stage of testing.</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certain of our Biodefense product candidates, we expect to rely on the Animal Rule to obtain approval. The Animal Rule permits, in certain limited circumstances, the use of animal efficacy studies together with human clinical safety and immunogenicity trials, to support an application for marketing approval. For a product approved under the Animal Rule, certain additional post-marketing requirements apply. For example, to the extent feasible and ethical, applicants must conduct post-marketing studies, such as field studies, to verify and describe the drug's clinical benefit and to assess its safety when used as indicated. We have limited experience in the application of these rules to the product candidates that we are developing. It is possible that results from these animal efficacy studies may not be predictive of the actual efficacy of our product candidates in humans. Under the Project BioShield Act of 2004, the Secretary of HHS can contract to purchase countermeasures for the SNS prior to FDA approval of the countermeasure in specified circumstances. Project BioShield also allows the FDA commissioner to authorize the emergency use of medical products that have not yet been approved by the FDA under an Emergency Use Authorization, or EUA. If our Biodefense product candidates are not selected under this Project BioShield authority, they generally will have to be approved by the FDA through traditional regulatory mechanisms.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experience unforeseen events or issues during, or as a result of, preclinical testing, clinical trials or animal efficacy studies. These issues and events could delay or prevent our ability to receive regulatory approval for a product candidate and include, among others:</w:t>
      </w:r>
    </w:p>
    <w:p>
      <w:pPr>
        <w:spacing w:after="0" w:line="17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8"/>
          <w:szCs w:val="18"/>
          <w:color w:val="auto"/>
        </w:rPr>
        <w:t>our inability to manufacture sufficient quantities of materials for use in trials;</w:t>
      </w:r>
    </w:p>
    <w:p>
      <w:pPr>
        <w:spacing w:after="0" w:line="23"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8"/>
          <w:szCs w:val="18"/>
          <w:color w:val="auto"/>
        </w:rPr>
        <w:t>the unavailability or variability in the number and types of subjects for each study;</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8"/>
          <w:szCs w:val="18"/>
          <w:color w:val="auto"/>
        </w:rPr>
        <w:t>safety issues or inconclusive or incomplete testing, trial or study results;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8"/>
          <w:szCs w:val="18"/>
          <w:color w:val="auto"/>
        </w:rPr>
        <w:t>lack of efficacy of product candidates during the trials;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8"/>
          <w:szCs w:val="18"/>
          <w:color w:val="auto"/>
        </w:rPr>
        <w:t>government or regulatory restrictions or delays; and</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8"/>
          <w:szCs w:val="18"/>
          <w:color w:val="auto"/>
        </w:rPr>
        <w:t>greater than anticipated costs of trials.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example, in February 2013, we announced results of a Phase IIb clinical trial evaluating the safety and efficacy of MVA85A in preventing tuberculosis in infants, which indicated that a single dose of MVA85A was not sufficient to confer statistically significant protection against tuberculosis in infants. As a consequence of these results, we ceased further development work on MVA85A.</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third parties to conduct our clinical and non-clinical trials. If these third parties do not perform as contractually required or as we expect, we may not be able to obtain regulatory approval for or commercialize our product candidates and, as a result, our business may suffer.</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do not exercise day-to-day control over their activities. Our reliance on these service providers does not relieve us of our regulatory responsibilities, including ensuring that our trials are conducted in accordance with good clinical practice regulations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2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certain cases, government entities and non-government organizations conduct studies of our product candidates, and we may seek to rely on these studies in applying for marketing approval for certain of our product candidates. These government entities and non-government organizations have no obligation or commitment to us to conduct or complete any of these studies or clinical trials and may choose to discontinue these development efforts at any time. Furthermore, government entities depend on annual Congressional appropriations to fund their development efforts.</w:t>
      </w:r>
    </w:p>
    <w:p>
      <w:pPr>
        <w:spacing w:after="0" w:line="19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or commercially promising or profitable product candidates.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continue to evaluate our business strategy and, as a result, may modify our strategy in the future. In this regard, we may, from time to time, focus our product development efforts on different product candidates or may delay or halt the development of various product candidates. For example, in February 2013, as a consequence of clinical trial results, we ceased further development work on MVA85A, our tuberculosis vaccine candidate. As a result of changes in our strategy, we may change or refocus our existing product development, commercialization and manufacturing activities.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product development programs may also be incorrect and could cause us to miss valuable opportunities.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RISKS</w:t>
      </w:r>
    </w:p>
    <w:p>
      <w:pPr>
        <w:sectPr>
          <w:pgSz w:w="11900" w:h="16838" w:orient="portrait"/>
          <w:cols w:equalWidth="0" w:num="1">
            <w:col w:w="11420"/>
          </w:cols>
          <w:pgMar w:left="240" w:top="125" w:right="239" w:bottom="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our proprietary rights, our business could be harmed.</w:t>
      </w:r>
    </w:p>
    <w:p>
      <w:pPr>
        <w:sectPr>
          <w:pgSz w:w="11900" w:h="16838" w:orient="portrait"/>
          <w:cols w:equalWidth="0" w:num="1">
            <w:col w:w="11420"/>
          </w:cols>
          <w:pgMar w:left="240" w:top="125" w:right="239" w:bottom="0" w:gutter="0" w:footer="0" w:header="0"/>
          <w:type w:val="continuous"/>
        </w:sectPr>
      </w:pPr>
    </w:p>
    <w:bookmarkStart w:id="28" w:name="page29"/>
    <w:bookmarkEnd w:id="28"/>
    <w:p>
      <w:pPr>
        <w:jc w:val="both"/>
        <w:ind w:firstLine="648"/>
        <w:spacing w:after="0" w:line="259" w:lineRule="auto"/>
        <w:rPr>
          <w:sz w:val="20"/>
          <w:szCs w:val="20"/>
          <w:color w:val="auto"/>
        </w:rPr>
      </w:pPr>
      <w:r>
        <w:rPr>
          <w:rFonts w:ascii="Arial" w:cs="Arial" w:eastAsia="Arial" w:hAnsi="Arial"/>
          <w:sz w:val="18"/>
          <w:szCs w:val="18"/>
          <w:color w:val="auto"/>
        </w:rPr>
        <w:t>Our success, particularly with respect to the Biosciences portion of our business, will depend, in large part, on our ability to obtain and maintain protection in the U.S. and other countries for the intellectual property covering or incorporated into our technology, products and product candidates. Obtaining and maintaining this protection is very costly. The patentability of technology in the field of vaccines, therapeutics and medical devices generally is highly uncertain and involves complex legal and scientific questions.</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not be able to obtain additional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We have in the past, and may in the future, abandon the prosecution and/or maintenance of a family of patent applications in the ordinary course of business. If these patent rights are later determined to be valuable or necessary to our business, our competitive position may be adversely affected. Changes in patent laws or administrative patent office rules or changes in interpretations of patent laws in the U.S. and other countries may diminish the value of our intellectual property or narrow the scope of our patent protection, or result in costly defensive measures.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cost of litigation to uphold the validity of patents to prevent infringement or to otherwise protect or enforce our proprietary rights could be substantial, and from time to time our patents are subject to opposition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21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collaborators and licensors may not adequately protect our intellectual property rights. These third parties may have the first right to maintain or defend our intellectual property rights and, although we may have the right to assume the maintenance and defense of our intellectual property rights if these third parties do not do so, our ability to maintain and defend our intellectual property rights may be compromised by the acts or omissions of these third parties. For example, we license an oligonucleotide adjuvant, CPG 7909, for use in NuThrax from Pfizer. One of the licensed U.S. patents related to CPG 7909 has been revoked by the U.S. Patent and Trademark Office, as a result of a patent interference between Pfizer and a third party.</w:t>
      </w:r>
    </w:p>
    <w:p>
      <w:pPr>
        <w:spacing w:after="0" w:line="18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Third parties may choose to file patent infringement claims against us; defending ourselves from such allegations would be costly, time-consuming, distracting to management and could be materially adverse to our business.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Additionally, third parties may be successful in obtaining patent protection for technologies that cover development and commercialization activities in which we are already engaged. Third parties may own or control these patents and intellectual property rights in the U.S. and abroad. These third parties may have substantially greater financial resources than us and could bring claims against us that would cause us to incur substantial expenses to defend against these claims and, if successful against us, could cause us to pay substantial damages. Further, if a patent infringement or other similar suit were brought against us, we could be forced to stop or delay development, manufacturing or sales of the product or product candidate that is the subject of the suit. Intellectual property litigation in the biopharmaceutical industry is common, and we expect this trend to continue.</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with third parties, we could lose license rights that are important to our business.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and/or sue us for breach, in which event we might not be able to market any product that is covered by the licensed patents and may be subject to damages.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patented technology, we rely upon unpatented proprietary technology, processes and know-how, particularly as to our proprietary manufacturing processes. Because we do not have patent protection for any of our current products, our only intellectual property protection for these products, other than trademarks, is confidentiality regarding our manufacturing capability and specialty know-how, such as techniques, processes and unique starting materials. However,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STRATEGIC ACQUISITIONS AND COLLABORATIONS</w:t>
      </w:r>
    </w:p>
    <w:p>
      <w:pPr>
        <w:sectPr>
          <w:pgSz w:w="11900" w:h="16838" w:orient="portrait"/>
          <w:cols w:equalWidth="0" w:num="1">
            <w:col w:w="11420"/>
          </w:cols>
          <w:pgMar w:left="240" w:top="125" w:right="239" w:bottom="36"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Our strategy of generating growth through acquisitions may not be successful.</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business strategy includes growing our business through acquisition and in-licensing transactions. We may not be successful in identifying, effectively evaluating, acquiring or in-licensing, and developing and commercializing additional products on favorable terms, or at all. Competition for attractive product opportunities is intense and may require us to devote substantial resources, both managerial and financial, to an acquisition opportunity. A number of more established companies are also pursuing strategies to acquire or in-license products in the vaccine and therapeutic field. These companies may have a competitive advantage over us due to their size, cash resources and greater clinical development and commercialization capabilities.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Acquisition efforts can consume significant management attention and require substantial expenditures, which could detract from our other programs. In addition, we may devote significant resources to potential acquisitions that are never completed. Even if we are successful in acquiring a product or company, it may not result in a successfully developed or commercialized product or, even if an acquired product is commercialized, competing products or technologies could render a product noncompetitive, uneconomical or obsolete. Moreover, the cost of acquiring other companies or in-licensing products could be substantial, and in order to acquire companies or new products, we may need to incur substantial debt or issue dilutive securities. For example, in part to fund our acquisition of Cangene Corporation, we issued $250 million of senior convertible notes in January 2014. If we are unsuccessful in our efforts to acquire other companies or in-license and develop additional products, or if we acquire or in-license unproductive assets, it could have a material adverse effect on the growth of our business.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successfully integrate acquired assets into our operations, including our recent acquisitions of Cangene Corporation and the Healthcare Protective Products Division from Bracco Diagnostics Inc., could adversely affect our business.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not be able to integrate any acquired business successfully, including our recent acquisitions of Cangene Corporation and the Healthcare Protective Products Division from Bracco Diagnostics Inc., or operate any acquired business profitably. In addition, cost synergies, if achieved at all, may be less than we expect, or may take greater time to achieve than we anticipate.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Issues that could delay or prevent successful integration or cost synergies of an acquired business include, among others: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retaining existing customers and attracting new customers;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retaining key employees;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diversion of management attention and resources;</w:t>
      </w:r>
    </w:p>
    <w:p>
      <w:pPr>
        <w:spacing w:after="0" w:line="9" w:lineRule="exact"/>
        <w:rPr>
          <w:sz w:val="20"/>
          <w:szCs w:val="20"/>
          <w:color w:val="auto"/>
        </w:rPr>
      </w:pPr>
    </w:p>
    <w:p>
      <w:pPr>
        <w:ind w:left="660" w:right="3480"/>
        <w:spacing w:after="0" w:line="250" w:lineRule="auto"/>
        <w:rPr>
          <w:sz w:val="20"/>
          <w:szCs w:val="20"/>
          <w:color w:val="auto"/>
        </w:rPr>
      </w:pPr>
      <w:r>
        <w:rPr>
          <w:rFonts w:ascii="Arial" w:cs="Arial" w:eastAsia="Arial" w:hAnsi="Arial"/>
          <w:sz w:val="18"/>
          <w:szCs w:val="18"/>
          <w:color w:val="auto"/>
        </w:rPr>
        <w:t>conforming internal controls, policies and procedures, business cultures and compensation programs; consolidating corporate and administrative infrastructures; consolidating sales and marketing operations;</w:t>
      </w:r>
    </w:p>
    <w:p>
      <w:pPr>
        <w:spacing w:after="0" w:line="1" w:lineRule="exact"/>
        <w:rPr>
          <w:sz w:val="20"/>
          <w:szCs w:val="20"/>
          <w:color w:val="auto"/>
        </w:rPr>
      </w:pPr>
    </w:p>
    <w:p>
      <w:pPr>
        <w:ind w:left="660" w:right="4860"/>
        <w:spacing w:after="0" w:line="250" w:lineRule="auto"/>
        <w:rPr>
          <w:sz w:val="20"/>
          <w:szCs w:val="20"/>
          <w:color w:val="auto"/>
        </w:rPr>
      </w:pPr>
      <w:r>
        <w:rPr>
          <w:rFonts w:ascii="Arial" w:cs="Arial" w:eastAsia="Arial" w:hAnsi="Arial"/>
          <w:sz w:val="18"/>
          <w:szCs w:val="18"/>
          <w:color w:val="auto"/>
        </w:rPr>
        <w:t>identifying and eliminating redundant and underperforming operations and assets; assumption of known and unknown liabilities; coordinating geographically dispersed organizations;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managing tax costs or inefficiencies associated with integrating operations.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unable to successfully integrate the Cangene acquisition, the Healthcare Protective Products Division from Bracco Diagnostics Inc. or future acquisitions with our existing businesses, we may not obtain the advantages that the acquisitions were intended to create, which may materially adversely affect our business and our ability to develop and introduce new products.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to leverage our capabilities to develop and commercialize our product candidates.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each of our product candidates, including otlertuzumab (Humanized Anti-CD37 therapeutic) (formerly known as TRU-016), we plan to evaluate the merits of entering into collaboration arrangements with leading biopharmaceutical companies or non-governmental organizations. We expect to selectively pursue collaboration arrangements with collaborators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acceptable terms, or if the arrangements we establish are unproductive for us, we may fail to meet our business objectives for the particular product candidate.</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collaboration that we enter into may not be successful and the success of our collaboration arrangements will depend heavily on the efforts and activities of our collaborators. It is likely that our collaborators will have significant discretion in determining the efforts and resources that they will apply to these collaborations.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risks that we are subject to in any of our collaborations include the following, among others:</w:t>
      </w:r>
    </w:p>
    <w:p>
      <w:pPr>
        <w:spacing w:after="0" w:line="252" w:lineRule="exact"/>
        <w:rPr>
          <w:sz w:val="20"/>
          <w:szCs w:val="20"/>
          <w:color w:val="auto"/>
        </w:rPr>
      </w:pPr>
    </w:p>
    <w:p>
      <w:pPr>
        <w:ind w:left="660" w:right="20"/>
        <w:spacing w:after="0" w:line="258" w:lineRule="auto"/>
        <w:rPr>
          <w:sz w:val="20"/>
          <w:szCs w:val="20"/>
          <w:color w:val="auto"/>
        </w:rPr>
      </w:pPr>
      <w:r>
        <w:rPr>
          <w:rFonts w:ascii="Arial" w:cs="Arial" w:eastAsia="Arial" w:hAnsi="Arial"/>
          <w:sz w:val="18"/>
          <w:szCs w:val="18"/>
          <w:color w:val="auto"/>
        </w:rPr>
        <w:t>our collaborators may not commit adequate resources to the development, marketing and distribution of any collaboration products, limiting our potential revenues from these products;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collaborators may experience financial difficulties and may therefore be unable to meet their commitments to us;</w:t>
      </w:r>
    </w:p>
    <w:p>
      <w:pPr>
        <w:spacing w:after="0" w:line="9"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our collaborators may pursue a competing product candidate developed either independently or in collaboration with others, including our competitors;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collaborators may terminate our relationship.</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example, our previous collaborative partner Pfizer Inc. terminated its collaboration with us for the development of SBI-087 following a portfolio reprioritization process in 2012. As a result, we experienced a charge of $9.6 million in 2012 attributable to impairment of our SBI-087 in-process research and development asset. Similarly, our previous collaborative partner Abbott Laboratories terminated its collaboration with us for the development of otlertuzumab (formerly TRU-016) following a similar portfolio reprioritization process.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Failure of any of our future collaborative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w:t>
      </w:r>
    </w:p>
    <w:p>
      <w:pPr>
        <w:sectPr>
          <w:pgSz w:w="11900" w:h="16838" w:orient="portrait"/>
          <w:cols w:equalWidth="0" w:num="1">
            <w:col w:w="11420"/>
          </w:cols>
          <w:pgMar w:left="240" w:top="125" w:right="239" w:bottom="0" w:gutter="0" w:footer="0" w:header="0"/>
        </w:sectPr>
      </w:pPr>
    </w:p>
    <w:bookmarkStart w:id="30" w:name="page31"/>
    <w:bookmarkEnd w:id="30"/>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operations to pay our substantial debt.</w:t>
      </w:r>
    </w:p>
    <w:p>
      <w:pPr>
        <w:spacing w:after="0" w:line="2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April 30, 2014, our total consolidated indebtedness was $251 million, including $250 million of our obligations under our senior convertible notes. Our ability to make scheduled payments of the principal of, to pay interest on or to refinance our indebtedness, including the senior convertible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indebtedness and any additional debt financing may restrict the operation of our business and limit the cash available for investment in our business operations.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our current debt, we also have a senior secured revolving credit facility with available capacity of up to $100 million effective until December 11, 2018 (or such earlier date to the extent required by the terms of this facility). We may seek additional debt financing to support our ongoing activities or to provide additional financial flexibility. Debt financing could have significant adverse consequences for our business, including:</w:t>
      </w:r>
    </w:p>
    <w:p>
      <w:pPr>
        <w:spacing w:after="0" w:line="166" w:lineRule="exact"/>
        <w:rPr>
          <w:sz w:val="20"/>
          <w:szCs w:val="20"/>
          <w:color w:val="auto"/>
        </w:rPr>
      </w:pPr>
    </w:p>
    <w:p>
      <w:pPr>
        <w:ind w:left="980" w:hanging="324"/>
        <w:spacing w:after="0" w:line="258"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intitiatives;</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8"/>
          <w:szCs w:val="18"/>
          <w:color w:val="auto"/>
        </w:rPr>
        <w:t>increasing the amount of interest that we have to pay on debt with variable interest rates, if market rates of interest increase;</w:t>
      </w:r>
    </w:p>
    <w:p>
      <w:pPr>
        <w:spacing w:after="0" w:line="9"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8"/>
          <w:szCs w:val="18"/>
          <w:color w:val="auto"/>
        </w:rPr>
        <w:t>subjecting us, as under our senior secured revolving credit facility, to restrictive covenants that may reduce our ability to take certain corporate actions, acquire companies, products or technology, or obtain further debt financing;</w:t>
      </w: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8"/>
          <w:szCs w:val="18"/>
          <w:color w:val="auto"/>
        </w:rPr>
        <w:t>requiring us to pledge our assets as collateral, which could limit our ability to obtain additional debt financing;</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8"/>
          <w:szCs w:val="18"/>
          <w:color w:val="auto"/>
        </w:rPr>
        <w:t>limiting our flexibility in planning for, or reacting to, general adverse economic and industry conditions; and</w:t>
      </w:r>
    </w:p>
    <w:p>
      <w:pPr>
        <w:spacing w:after="0" w:line="9" w:lineRule="exact"/>
        <w:rPr>
          <w:rFonts w:ascii="Arial" w:cs="Arial" w:eastAsia="Arial" w:hAnsi="Arial"/>
          <w:sz w:val="16"/>
          <w:szCs w:val="16"/>
          <w:color w:val="auto"/>
        </w:rPr>
      </w:pPr>
    </w:p>
    <w:p>
      <w:pPr>
        <w:ind w:left="980" w:right="20" w:hanging="324"/>
        <w:spacing w:after="0" w:line="261"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our indebtedness. In addition, failure to comply with the covenants under our debt instruments could result in an event of default under those instruments. An event of default could result in the acceleration of amounts due under a particular debt instrument and a cross default and acceleration under other debt instruments, and we may not have sufficient funds or be able to obtain additional financing to make any accelerated payments. Under these circumstances, our lenders could seek to enforce security interests, if any, in our assets securing our indebtedness.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require significant additional funding and may be unable to raise capital when needed or on acceptable terms, which would harm our business, results of operations and financial condition.</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require significant additional funding to acquire other companies or products, in-license and develop additional products, enhance our manufacturing capacity, support commercial marketing activities or otherwise provide additional financial flexibility. We may also require additional funding to support our ongoing operations in the event that our ability to sell BioThrax to the U.S. government is interrupted for an extended period of time, reducing our BioThrax revenues and decreasing our cash balances.</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2014, we had approximately $223 million of cash, cash equivalents and accounts receivable. Our future capital requirements will depend on many factors, including, among others:</w:t>
      </w:r>
    </w:p>
    <w:p>
      <w:pPr>
        <w:spacing w:after="0" w:line="170"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8"/>
          <w:szCs w:val="18"/>
          <w:color w:val="auto"/>
        </w:rPr>
        <w:t>the level, timing and cost of product sales;</w:t>
      </w:r>
    </w:p>
    <w:p>
      <w:pPr>
        <w:spacing w:after="0" w:line="23"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8"/>
          <w:szCs w:val="18"/>
          <w:color w:val="auto"/>
        </w:rPr>
        <w:t>the extent to which we acquire or invest in companies, businesses, products or technologies;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8"/>
          <w:szCs w:val="18"/>
          <w:color w:val="auto"/>
        </w:rPr>
        <w:t>the acquisition of new facilities and capital improvements to new or existing facilities;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8"/>
          <w:szCs w:val="18"/>
          <w:color w:val="auto"/>
        </w:rPr>
        <w:t>the payment obligations under our indebtedness;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8"/>
          <w:szCs w:val="18"/>
          <w:color w:val="auto"/>
        </w:rPr>
        <w:t>the scope, progress, results and costs of our development activities;</w:t>
      </w:r>
    </w:p>
    <w:p>
      <w:pPr>
        <w:spacing w:after="0" w:line="9"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8"/>
          <w:szCs w:val="18"/>
          <w:color w:val="auto"/>
        </w:rPr>
        <w:t>our ability to obtain funding from collaborative partners, government entities and non-governmental organizations for our development programs;</w:t>
      </w: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8"/>
          <w:szCs w:val="18"/>
          <w:color w:val="auto"/>
        </w:rPr>
        <w:t>the costs of commercialization activities, including product marketing, sales and distribution; and</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8"/>
          <w:szCs w:val="18"/>
          <w:color w:val="auto"/>
        </w:rPr>
        <w:t>the costs involved in preparing, filing, prosecuting, maintaining and enforcing patent claims and other patent-related costs.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our capital resources are insufficient to meet our future capital requirements, we will need to finance our cash needs through public or private equity or debt offerings, bank loans or collaboration and licensing arrangements. We have an effective shelf registration statement on file with the Securities and Exchange Commission that allows us to issue up to an aggregate of $180 million of equity, debt and certain other types of securities through one or more future offerings. If we raise funds by issuing equity securities, our stockholders may experience dilution. Public or bank debt financing, if available, may involve agreements that include covenants, like those contained in our senior secured revolving credit facility,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 to relinquish valuable rights to our technologies or product candidates or grant licenses on terms that may not be favorable to us. We are not restricted under the terms of the indenture governing our senior convertible notes from incurring additional debt, securing existing or future debt, recapitalizing our debt or taking a number of other actions that could have the effect of diminishing our ability to make payments on our indebtedness.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Current economic conditions may make it difficult to obtain financing on attractive terms, or at all. If financing is unavailable or lost, our business, results of operations and financial condition would be adversely affected and we could be forced to delay, reduce the scope of or eliminate many of our planned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future periods or on a consistent basis.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Although we have been profitable for each of the last five fiscal years, we have not been profitable for every quarter during that time. For example, we incurred a net loss in the first quarters of 2014, 2013 and 2012. Our profitability has been substantially dependent on BioThrax product sales, which</w:t>
      </w:r>
    </w:p>
    <w:p>
      <w:pPr>
        <w:sectPr>
          <w:pgSz w:w="11900" w:h="16894" w:orient="portrait"/>
          <w:cols w:equalWidth="0" w:num="1">
            <w:col w:w="11420"/>
          </w:cols>
          <w:pgMar w:left="240" w:top="121" w:right="239" w:bottom="0" w:gutter="0" w:footer="0" w:header="0"/>
        </w:sectPr>
      </w:pPr>
    </w:p>
    <w:bookmarkStart w:id="31" w:name="page32"/>
    <w:bookmarkEnd w:id="31"/>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have fluctuated significantly from quarter to quarter, and we expect that they will continue to fluctuate significantly based primarily on the timing of our fulfillment of orders from the U.S. government. Additionally, our profitability may be adversely affected as we progress through various stages of ongoing or planned clinical trials for our product candidates. We may not be able to achieve consistent profitability on a quarterly basis or sustain or increase profitability on an annual basis.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RISKS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face an inherent risk of product liability exposure related to the sale of our products, any other products that we successfully acquire or develop and the testing of our product candidates in clinical trials.</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One measure of protection against such lawsuits is coverage under the Public Readiness and Emergency Preparedness Act, or PREP Act, which was signed into law in December 2005. The PREP Act creates immunity for manufacturers of biodefense countermeasures when the Secretary of HHS issues a declaration for their manufacture, administration or use. A PREP Act declaration is meant to provide immunity from all claims under federal or state law for loss arising out of the administration or use of a covered countermeasure. The Secretary of HHS has issued PREP Act declarations identifying BioThrax, BAT, AIGIV and VIGIV as covered countermeasures. Manufacturers are not entitled to protection under the PREP Act in cases of willful misconduct. We cannot predict whether the Secretary of HHS will renew the declarations when they expire, whether Congress will fund the relevant PREP Act compensation programs, or whether the necessary prerequisites for immunity would be triggered with respect to our products or product candidates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BioThrax and RSDL are certified anti-terrorism products covered under the protections of the Support Anti-Terrorism by Fostering Effective Technology Act of 2002, or SAFETY Act. The SAFETY Act creates product liability limitations for qualifying anti-terrorism technologies for claims arising from or related to an act of terrorism. Although we are entitled to the benefits of the SAFETY Act for BioThrax and RSDL, the SAFETY Act may not provide adequate protection from claims made against us.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cannot successfully defend ourselves against future claims that our products or product candidates caused injuries and if we are not entitled to indemnity by the U.S. government, or the U.S. government does not honor its obligations to us under the PREP Act or SAFETY Act, or if the indemnification under the PREP Act and SAFETY Act is not adequate to cover all claims, we may incur substantial liabilities. Regardless of merit or eventual outcome, product liability claims may result in:</w:t>
      </w:r>
    </w:p>
    <w:p>
      <w:pPr>
        <w:spacing w:after="0" w:line="214"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8"/>
          <w:szCs w:val="18"/>
          <w:color w:val="auto"/>
        </w:rPr>
        <w:t>decreased demand or withdrawal of a product;</w:t>
      </w:r>
    </w:p>
    <w:p>
      <w:pPr>
        <w:spacing w:after="0" w:line="23"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8"/>
          <w:szCs w:val="18"/>
          <w:color w:val="auto"/>
        </w:rPr>
        <w:t>an inability to commercialize products that we may develop.</w:t>
      </w:r>
    </w:p>
    <w:p>
      <w:pPr>
        <w:spacing w:after="0" w:line="231" w:lineRule="exact"/>
        <w:rPr>
          <w:sz w:val="20"/>
          <w:szCs w:val="20"/>
          <w:color w:val="auto"/>
        </w:rPr>
      </w:pPr>
    </w:p>
    <w:p>
      <w:pPr>
        <w:ind w:firstLine="993"/>
        <w:spacing w:after="0" w:line="273" w:lineRule="auto"/>
        <w:rPr>
          <w:sz w:val="20"/>
          <w:szCs w:val="20"/>
          <w:color w:val="auto"/>
        </w:rPr>
      </w:pPr>
      <w:r>
        <w:rPr>
          <w:rFonts w:ascii="Arial" w:cs="Arial" w:eastAsia="Arial" w:hAnsi="Arial"/>
          <w:sz w:val="19"/>
          <w:szCs w:val="19"/>
          <w:color w:val="auto"/>
        </w:rPr>
        <w:t>We currently have product liability insurance with coverage up to a $30 million annual aggregate limit with a deductible of $75,000 per claim up to $375,000 in the aggregate for our non-Cangene products. Our products acquired from Cangene currently have product liability insurance with coverage up to a C$20 million annual aggregate limit with a deductible of C$250,000 per claim. 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For example, we may not have sufficient insurance against potential liabilities associated with a possible large scale deployment of BioThrax as a countermeasure to a bioterrorism threat. We rely on PREP Act protection for BioThrax, BAT, AIGIV and VIGIV and SAFETY Act protection for BioThrax and RSDL in addition to our insurance coverage to help mitigate our product liability exposure for these products. Claims or losses in excess of our product liability insurance coverage could have a material adverse effect on our business, financial condition and results of operations.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associated with foreign currency fluctuations.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 our acquisition of Cangene Corporation, we expect to incur a significant Canadian-dollar denominated expense in our Canadian operations. Our net income may be materially affected directly by exchange-rate fluctuations as net income from Canadian operations is translated into U.S. dollars for reporting purposes.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information.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interruption, invasion, computer viruses, destruction, malicious intrusion and additional related disruptions which may result in the impairment of production and key business processes.</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our systems are potentially vulnerable to data security breaches—whether by employee error, malfeasance or other disruption—which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17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 significant business disruption or a breach in security resulting in misappropriation, theft or sabotage with respect to our proprietary and confidential business and employee information could result in financial, legal, business or reputational harm to us, any of which could adversely affect our</w:t>
      </w:r>
    </w:p>
    <w:p>
      <w:pPr>
        <w:sectPr>
          <w:pgSz w:w="11900" w:h="16840" w:orient="portrait"/>
          <w:cols w:equalWidth="0" w:num="1">
            <w:col w:w="11420"/>
          </w:cols>
          <w:pgMar w:left="240" w:top="125" w:right="239" w:bottom="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business, financial condition and operating results.</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If we fail to attract or retain key personnel, we may be unable to maintain or expand our business.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lose the services of one or more of the principal members of senior management or other key employees, our ability to implement our business strategy could be materially harmed. We face intense competition for qualified employees from biopharmaceutical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Fuad El-Hibri, executive chairman of our Board of Directors, has significant influence over us through his significant beneficial ownership of our common stock, including an ability to significantly influence the election of the members of our Board of Directors, or delay or prevent a change of control of us.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El-Hibri has the ability to significantly influence the election of the members of our Board of Directors due to his significant beneficial ownership of our common stock. As of April 30, 2014, Mr. El-Hibri was the beneficial owner of approximately 16% of our outstanding common stock. Because of Mr. El-Hibri's significant beneficial ownership of our common stock, Mr. El-Hibri also has the ability to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Delaware law may discourage acquisition proposals, delay a change in control or prevent transactions that stockholders may consider favorable.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Provisions of our certificate of incorporation and by-laws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management.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include:</w:t>
      </w:r>
    </w:p>
    <w:p>
      <w:pPr>
        <w:spacing w:after="0" w:line="225" w:lineRule="exact"/>
        <w:rPr>
          <w:sz w:val="20"/>
          <w:szCs w:val="20"/>
          <w:color w:val="auto"/>
        </w:rPr>
      </w:pPr>
    </w:p>
    <w:p>
      <w:pPr>
        <w:ind w:left="2040" w:hanging="735"/>
        <w:spacing w:after="0"/>
        <w:tabs>
          <w:tab w:leader="none" w:pos="2040" w:val="left"/>
        </w:tabs>
        <w:numPr>
          <w:ilvl w:val="0"/>
          <w:numId w:val="25"/>
        </w:numPr>
        <w:rPr>
          <w:rFonts w:ascii="Arial" w:cs="Arial" w:eastAsia="Arial" w:hAnsi="Arial"/>
          <w:sz w:val="16"/>
          <w:szCs w:val="16"/>
          <w:color w:val="auto"/>
        </w:rPr>
      </w:pPr>
      <w:r>
        <w:rPr>
          <w:rFonts w:ascii="Arial" w:cs="Arial" w:eastAsia="Arial" w:hAnsi="Arial"/>
          <w:sz w:val="18"/>
          <w:szCs w:val="18"/>
          <w:color w:val="auto"/>
        </w:rPr>
        <w:t>the classification of our directors;</w:t>
      </w:r>
    </w:p>
    <w:p>
      <w:pPr>
        <w:spacing w:after="0" w:line="23" w:lineRule="exact"/>
        <w:rPr>
          <w:rFonts w:ascii="Arial" w:cs="Arial" w:eastAsia="Arial" w:hAnsi="Arial"/>
          <w:sz w:val="16"/>
          <w:szCs w:val="16"/>
          <w:color w:val="auto"/>
        </w:rPr>
      </w:pPr>
    </w:p>
    <w:p>
      <w:pPr>
        <w:ind w:left="2040" w:hanging="735"/>
        <w:spacing w:after="0"/>
        <w:tabs>
          <w:tab w:leader="none" w:pos="2040" w:val="left"/>
        </w:tabs>
        <w:numPr>
          <w:ilvl w:val="0"/>
          <w:numId w:val="25"/>
        </w:numPr>
        <w:rPr>
          <w:rFonts w:ascii="Arial" w:cs="Arial" w:eastAsia="Arial" w:hAnsi="Arial"/>
          <w:sz w:val="16"/>
          <w:szCs w:val="16"/>
          <w:color w:val="auto"/>
        </w:rPr>
      </w:pPr>
      <w:r>
        <w:rPr>
          <w:rFonts w:ascii="Arial" w:cs="Arial" w:eastAsia="Arial" w:hAnsi="Arial"/>
          <w:sz w:val="18"/>
          <w:szCs w:val="18"/>
          <w:color w:val="auto"/>
        </w:rPr>
        <w:t>limitations on changing the number of directors then in office;</w:t>
      </w:r>
    </w:p>
    <w:p>
      <w:pPr>
        <w:spacing w:after="0" w:line="9" w:lineRule="exact"/>
        <w:rPr>
          <w:rFonts w:ascii="Arial" w:cs="Arial" w:eastAsia="Arial" w:hAnsi="Arial"/>
          <w:sz w:val="16"/>
          <w:szCs w:val="16"/>
          <w:color w:val="auto"/>
        </w:rPr>
      </w:pPr>
    </w:p>
    <w:p>
      <w:pPr>
        <w:ind w:left="2040" w:hanging="735"/>
        <w:spacing w:after="0"/>
        <w:tabs>
          <w:tab w:leader="none" w:pos="2040" w:val="left"/>
        </w:tabs>
        <w:numPr>
          <w:ilvl w:val="0"/>
          <w:numId w:val="25"/>
        </w:numPr>
        <w:rPr>
          <w:rFonts w:ascii="Arial" w:cs="Arial" w:eastAsia="Arial" w:hAnsi="Arial"/>
          <w:sz w:val="16"/>
          <w:szCs w:val="16"/>
          <w:color w:val="auto"/>
        </w:rPr>
      </w:pPr>
      <w:r>
        <w:rPr>
          <w:rFonts w:ascii="Arial" w:cs="Arial" w:eastAsia="Arial" w:hAnsi="Arial"/>
          <w:sz w:val="18"/>
          <w:szCs w:val="18"/>
          <w:color w:val="auto"/>
        </w:rPr>
        <w:t>limitations on the removal of directors;</w:t>
      </w:r>
    </w:p>
    <w:p>
      <w:pPr>
        <w:spacing w:after="0" w:line="9" w:lineRule="exact"/>
        <w:rPr>
          <w:rFonts w:ascii="Arial" w:cs="Arial" w:eastAsia="Arial" w:hAnsi="Arial"/>
          <w:sz w:val="16"/>
          <w:szCs w:val="16"/>
          <w:color w:val="auto"/>
        </w:rPr>
      </w:pPr>
    </w:p>
    <w:p>
      <w:pPr>
        <w:ind w:left="2040" w:hanging="735"/>
        <w:spacing w:after="0"/>
        <w:tabs>
          <w:tab w:leader="none" w:pos="2040" w:val="left"/>
        </w:tabs>
        <w:numPr>
          <w:ilvl w:val="0"/>
          <w:numId w:val="25"/>
        </w:numPr>
        <w:rPr>
          <w:rFonts w:ascii="Arial" w:cs="Arial" w:eastAsia="Arial" w:hAnsi="Arial"/>
          <w:sz w:val="16"/>
          <w:szCs w:val="16"/>
          <w:color w:val="auto"/>
        </w:rPr>
      </w:pPr>
      <w:r>
        <w:rPr>
          <w:rFonts w:ascii="Arial" w:cs="Arial" w:eastAsia="Arial" w:hAnsi="Arial"/>
          <w:sz w:val="18"/>
          <w:szCs w:val="18"/>
          <w:color w:val="auto"/>
        </w:rPr>
        <w:t>limitations on filling vacancies on the board;</w:t>
      </w:r>
    </w:p>
    <w:p>
      <w:pPr>
        <w:spacing w:after="0" w:line="9" w:lineRule="exact"/>
        <w:rPr>
          <w:rFonts w:ascii="Arial" w:cs="Arial" w:eastAsia="Arial" w:hAnsi="Arial"/>
          <w:sz w:val="16"/>
          <w:szCs w:val="16"/>
          <w:color w:val="auto"/>
        </w:rPr>
      </w:pPr>
    </w:p>
    <w:p>
      <w:pPr>
        <w:ind w:left="2040" w:hanging="735"/>
        <w:spacing w:after="0"/>
        <w:tabs>
          <w:tab w:leader="none" w:pos="2040" w:val="left"/>
        </w:tabs>
        <w:numPr>
          <w:ilvl w:val="0"/>
          <w:numId w:val="25"/>
        </w:numPr>
        <w:rPr>
          <w:rFonts w:ascii="Arial" w:cs="Arial" w:eastAsia="Arial" w:hAnsi="Arial"/>
          <w:sz w:val="16"/>
          <w:szCs w:val="16"/>
          <w:color w:val="auto"/>
        </w:rPr>
      </w:pPr>
      <w:r>
        <w:rPr>
          <w:rFonts w:ascii="Arial" w:cs="Arial" w:eastAsia="Arial" w:hAnsi="Arial"/>
          <w:sz w:val="18"/>
          <w:szCs w:val="18"/>
          <w:color w:val="auto"/>
        </w:rPr>
        <w:t>limitations on the removal and appointment of the chairman of our Board of Directors;</w:t>
      </w:r>
    </w:p>
    <w:p>
      <w:pPr>
        <w:spacing w:after="0" w:line="9" w:lineRule="exact"/>
        <w:rPr>
          <w:rFonts w:ascii="Arial" w:cs="Arial" w:eastAsia="Arial" w:hAnsi="Arial"/>
          <w:sz w:val="16"/>
          <w:szCs w:val="16"/>
          <w:color w:val="auto"/>
        </w:rPr>
      </w:pPr>
    </w:p>
    <w:p>
      <w:pPr>
        <w:ind w:left="2040" w:hanging="735"/>
        <w:spacing w:after="0"/>
        <w:tabs>
          <w:tab w:leader="none" w:pos="2040" w:val="left"/>
        </w:tabs>
        <w:numPr>
          <w:ilvl w:val="0"/>
          <w:numId w:val="25"/>
        </w:numPr>
        <w:rPr>
          <w:rFonts w:ascii="Arial" w:cs="Arial" w:eastAsia="Arial" w:hAnsi="Arial"/>
          <w:sz w:val="14"/>
          <w:szCs w:val="14"/>
          <w:color w:val="auto"/>
        </w:rPr>
      </w:pPr>
      <w:r>
        <w:rPr>
          <w:rFonts w:ascii="Arial" w:cs="Arial" w:eastAsia="Arial" w:hAnsi="Arial"/>
          <w:sz w:val="16"/>
          <w:szCs w:val="16"/>
          <w:color w:val="auto"/>
        </w:rPr>
        <w:t>advance notice requirements for stockholder nominations of candidates for election to the Board of Directors and other proposals;</w:t>
      </w:r>
    </w:p>
    <w:p>
      <w:pPr>
        <w:spacing w:after="0" w:line="32" w:lineRule="exact"/>
        <w:rPr>
          <w:rFonts w:ascii="Arial" w:cs="Arial" w:eastAsia="Arial" w:hAnsi="Arial"/>
          <w:sz w:val="14"/>
          <w:szCs w:val="14"/>
          <w:color w:val="auto"/>
        </w:rPr>
      </w:pPr>
    </w:p>
    <w:p>
      <w:pPr>
        <w:ind w:left="2040" w:hanging="735"/>
        <w:spacing w:after="0"/>
        <w:tabs>
          <w:tab w:leader="none" w:pos="2040" w:val="left"/>
        </w:tabs>
        <w:numPr>
          <w:ilvl w:val="0"/>
          <w:numId w:val="25"/>
        </w:numPr>
        <w:rPr>
          <w:rFonts w:ascii="Arial" w:cs="Arial" w:eastAsia="Arial" w:hAnsi="Arial"/>
          <w:sz w:val="16"/>
          <w:szCs w:val="16"/>
          <w:color w:val="auto"/>
        </w:rPr>
      </w:pPr>
      <w:r>
        <w:rPr>
          <w:rFonts w:ascii="Arial" w:cs="Arial" w:eastAsia="Arial" w:hAnsi="Arial"/>
          <w:sz w:val="18"/>
          <w:szCs w:val="18"/>
          <w:color w:val="auto"/>
        </w:rPr>
        <w:t>the inability of stockholders to act by written consent;</w:t>
      </w:r>
    </w:p>
    <w:p>
      <w:pPr>
        <w:spacing w:after="0" w:line="9" w:lineRule="exact"/>
        <w:rPr>
          <w:rFonts w:ascii="Arial" w:cs="Arial" w:eastAsia="Arial" w:hAnsi="Arial"/>
          <w:sz w:val="16"/>
          <w:szCs w:val="16"/>
          <w:color w:val="auto"/>
        </w:rPr>
      </w:pPr>
    </w:p>
    <w:p>
      <w:pPr>
        <w:ind w:left="2040" w:hanging="735"/>
        <w:spacing w:after="0"/>
        <w:tabs>
          <w:tab w:leader="none" w:pos="2040" w:val="left"/>
        </w:tabs>
        <w:numPr>
          <w:ilvl w:val="0"/>
          <w:numId w:val="25"/>
        </w:numPr>
        <w:rPr>
          <w:rFonts w:ascii="Arial" w:cs="Arial" w:eastAsia="Arial" w:hAnsi="Arial"/>
          <w:sz w:val="16"/>
          <w:szCs w:val="16"/>
          <w:color w:val="auto"/>
        </w:rPr>
      </w:pPr>
      <w:r>
        <w:rPr>
          <w:rFonts w:ascii="Arial" w:cs="Arial" w:eastAsia="Arial" w:hAnsi="Arial"/>
          <w:sz w:val="18"/>
          <w:szCs w:val="18"/>
          <w:color w:val="auto"/>
        </w:rPr>
        <w:t>the inability of stockholders to call special meetings; and</w:t>
      </w:r>
    </w:p>
    <w:p>
      <w:pPr>
        <w:spacing w:after="0" w:line="9" w:lineRule="exact"/>
        <w:rPr>
          <w:rFonts w:ascii="Arial" w:cs="Arial" w:eastAsia="Arial" w:hAnsi="Arial"/>
          <w:sz w:val="16"/>
          <w:szCs w:val="16"/>
          <w:color w:val="auto"/>
        </w:rPr>
      </w:pPr>
    </w:p>
    <w:p>
      <w:pPr>
        <w:ind w:left="1380" w:hanging="75"/>
        <w:spacing w:after="0" w:line="261" w:lineRule="auto"/>
        <w:tabs>
          <w:tab w:leader="none" w:pos="2028" w:val="left"/>
        </w:tabs>
        <w:numPr>
          <w:ilvl w:val="0"/>
          <w:numId w:val="25"/>
        </w:numPr>
        <w:rPr>
          <w:rFonts w:ascii="Arial" w:cs="Arial" w:eastAsia="Arial" w:hAnsi="Arial"/>
          <w:sz w:val="16"/>
          <w:szCs w:val="16"/>
          <w:color w:val="auto"/>
        </w:rPr>
      </w:pPr>
      <w:r>
        <w:rPr>
          <w:rFonts w:ascii="Arial" w:cs="Arial" w:eastAsia="Arial" w:hAnsi="Arial"/>
          <w:sz w:val="18"/>
          <w:szCs w:val="18"/>
          <w:color w:val="auto"/>
        </w:rPr>
        <w:t>the ability of our Board of Directors to designate the terms of and issue a new series of preferred stock without stockholder approval.</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inCompany.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stockholder rights plan could prevent a change in control of us in instances in which some stockholders may believe a change in control is in their best interests.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our stockholder rights plan, we issue to each of our stockholders one preferred stock purchase right for each outstanding share of our common stock. Each right, when exercisable, will entitle its holder to purchase from us a unit consisting of one one-thousandth of a share of series A junior participating preferred stock at a purchase price of $150 in cash, subject to adjustments.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stockholder rights plan is intended to protect stockholders in the event of an unfair or coercive offer to acquire us and to provide our Board of Directors with adequate time to evaluate unsolicited offers. The rights plan may have anti-takeover effects. The rights plan will cause substantial dilution to a person or group that attempts to acquire us on terms that our Board of Directors does not believe are in our best interests or those of our stockholders and may discourage, delay or prevent a merger or acquisition that stockholders may consider favorable, including transactions in which stockholders might otherwise receive a premium for their shares.</w:t>
      </w:r>
    </w:p>
    <w:p>
      <w:pPr>
        <w:sectPr>
          <w:pgSz w:w="11900" w:h="16838" w:orient="portrait"/>
          <w:cols w:equalWidth="0" w:num="1">
            <w:col w:w="11420"/>
          </w:cols>
          <w:pgMar w:left="240" w:top="125" w:right="239" w:bottom="256"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 price is volatile and purchasers of our common stock could incur substantial losses.</w:t>
      </w:r>
    </w:p>
    <w:p>
      <w:pPr>
        <w:sectPr>
          <w:pgSz w:w="11900" w:h="16838" w:orient="portrait"/>
          <w:cols w:equalWidth="0" w:num="1">
            <w:col w:w="11420"/>
          </w:cols>
          <w:pgMar w:left="240" w:top="125" w:right="239" w:bottom="256" w:gutter="0" w:footer="0" w:header="0"/>
          <w:type w:val="continuous"/>
        </w:sectPr>
      </w:pPr>
    </w:p>
    <w:bookmarkStart w:id="33" w:name="page34"/>
    <w:bookmarkEnd w:id="33"/>
    <w:p>
      <w:pPr>
        <w:jc w:val="both"/>
        <w:ind w:firstLine="648"/>
        <w:spacing w:after="0" w:line="291" w:lineRule="auto"/>
        <w:rPr>
          <w:sz w:val="20"/>
          <w:szCs w:val="20"/>
          <w:color w:val="auto"/>
        </w:rPr>
      </w:pPr>
      <w:r>
        <w:rPr>
          <w:rFonts w:ascii="Arial" w:cs="Arial" w:eastAsia="Arial" w:hAnsi="Arial"/>
          <w:sz w:val="16"/>
          <w:szCs w:val="16"/>
          <w:color w:val="auto"/>
        </w:rPr>
        <w:t>Our stock price has been, and is likely to continue to be, volatile. The market price of our common stock could fluctuate significantly for many reasons, including in response to the risks described in this "Risk Factors" section,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From November 15, 2006, when our common stock first began trading on the New York Stock Exchange, through April 30, 2014, our common stock has traded as high as $28.48 per share and as low as $4.40 per share. The stock market in general and the market for biopharmaceutical companies in particular have experienced extreme volatility that has often been unrelated to the operating performance of particular companies. The market price of our common stock may be influenced by many factors, including, among others:</w:t>
      </w:r>
    </w:p>
    <w:p>
      <w:pPr>
        <w:spacing w:after="0" w:line="167" w:lineRule="exact"/>
        <w:rPr>
          <w:sz w:val="20"/>
          <w:szCs w:val="20"/>
          <w:color w:val="auto"/>
        </w:rPr>
      </w:pPr>
    </w:p>
    <w:p>
      <w:pPr>
        <w:ind w:left="2040" w:hanging="735"/>
        <w:spacing w:after="0"/>
        <w:tabs>
          <w:tab w:leader="none" w:pos="2040" w:val="left"/>
        </w:tabs>
        <w:numPr>
          <w:ilvl w:val="0"/>
          <w:numId w:val="26"/>
        </w:numPr>
        <w:rPr>
          <w:rFonts w:ascii="Arial" w:cs="Arial" w:eastAsia="Arial" w:hAnsi="Arial"/>
          <w:sz w:val="16"/>
          <w:szCs w:val="16"/>
          <w:color w:val="auto"/>
        </w:rPr>
      </w:pPr>
      <w:r>
        <w:rPr>
          <w:rFonts w:ascii="Arial" w:cs="Arial" w:eastAsia="Arial" w:hAnsi="Arial"/>
          <w:sz w:val="18"/>
          <w:szCs w:val="18"/>
          <w:color w:val="auto"/>
        </w:rPr>
        <w:t>decisions and procurement policies by the U.S. government affecting BioThrax;</w:t>
      </w:r>
    </w:p>
    <w:p>
      <w:pPr>
        <w:spacing w:after="0" w:line="23" w:lineRule="exact"/>
        <w:rPr>
          <w:rFonts w:ascii="Arial" w:cs="Arial" w:eastAsia="Arial" w:hAnsi="Arial"/>
          <w:sz w:val="16"/>
          <w:szCs w:val="16"/>
          <w:color w:val="auto"/>
        </w:rPr>
      </w:pPr>
    </w:p>
    <w:p>
      <w:pPr>
        <w:ind w:left="2040" w:hanging="735"/>
        <w:spacing w:after="0"/>
        <w:tabs>
          <w:tab w:leader="none" w:pos="2040" w:val="left"/>
        </w:tabs>
        <w:numPr>
          <w:ilvl w:val="0"/>
          <w:numId w:val="26"/>
        </w:numPr>
        <w:rPr>
          <w:rFonts w:ascii="Arial" w:cs="Arial" w:eastAsia="Arial" w:hAnsi="Arial"/>
          <w:sz w:val="16"/>
          <w:szCs w:val="16"/>
          <w:color w:val="auto"/>
        </w:rPr>
      </w:pPr>
      <w:r>
        <w:rPr>
          <w:rFonts w:ascii="Arial" w:cs="Arial" w:eastAsia="Arial" w:hAnsi="Arial"/>
          <w:sz w:val="18"/>
          <w:szCs w:val="18"/>
          <w:color w:val="auto"/>
        </w:rPr>
        <w:t>the success of competitive products or technologies;</w:t>
      </w:r>
    </w:p>
    <w:p>
      <w:pPr>
        <w:spacing w:after="0" w:line="9" w:lineRule="exact"/>
        <w:rPr>
          <w:rFonts w:ascii="Arial" w:cs="Arial" w:eastAsia="Arial" w:hAnsi="Arial"/>
          <w:sz w:val="16"/>
          <w:szCs w:val="16"/>
          <w:color w:val="auto"/>
        </w:rPr>
      </w:pPr>
    </w:p>
    <w:p>
      <w:pPr>
        <w:ind w:left="2040" w:hanging="735"/>
        <w:spacing w:after="0"/>
        <w:tabs>
          <w:tab w:leader="none" w:pos="2040" w:val="left"/>
        </w:tabs>
        <w:numPr>
          <w:ilvl w:val="0"/>
          <w:numId w:val="26"/>
        </w:numPr>
        <w:rPr>
          <w:rFonts w:ascii="Arial" w:cs="Arial" w:eastAsia="Arial" w:hAnsi="Arial"/>
          <w:sz w:val="16"/>
          <w:szCs w:val="16"/>
          <w:color w:val="auto"/>
        </w:rPr>
      </w:pPr>
      <w:r>
        <w:rPr>
          <w:rFonts w:ascii="Arial" w:cs="Arial" w:eastAsia="Arial" w:hAnsi="Arial"/>
          <w:sz w:val="18"/>
          <w:szCs w:val="18"/>
          <w:color w:val="auto"/>
        </w:rPr>
        <w:t>results of clinical and non-clinical trials of our product candidates;</w:t>
      </w:r>
    </w:p>
    <w:p>
      <w:pPr>
        <w:spacing w:after="0" w:line="9" w:lineRule="exact"/>
        <w:rPr>
          <w:rFonts w:ascii="Arial" w:cs="Arial" w:eastAsia="Arial" w:hAnsi="Arial"/>
          <w:sz w:val="16"/>
          <w:szCs w:val="16"/>
          <w:color w:val="auto"/>
        </w:rPr>
      </w:pPr>
    </w:p>
    <w:p>
      <w:pPr>
        <w:ind w:left="2040" w:hanging="735"/>
        <w:spacing w:after="0"/>
        <w:tabs>
          <w:tab w:leader="none" w:pos="2040" w:val="left"/>
        </w:tabs>
        <w:numPr>
          <w:ilvl w:val="0"/>
          <w:numId w:val="26"/>
        </w:numPr>
        <w:rPr>
          <w:rFonts w:ascii="Arial" w:cs="Arial" w:eastAsia="Arial" w:hAnsi="Arial"/>
          <w:sz w:val="16"/>
          <w:szCs w:val="16"/>
          <w:color w:val="auto"/>
        </w:rPr>
      </w:pPr>
      <w:r>
        <w:rPr>
          <w:rFonts w:ascii="Arial" w:cs="Arial" w:eastAsia="Arial" w:hAnsi="Arial"/>
          <w:sz w:val="18"/>
          <w:szCs w:val="18"/>
          <w:color w:val="auto"/>
        </w:rPr>
        <w:t>announcements of acquisitions, collaborations, financings or other transactions by us;</w:t>
      </w:r>
    </w:p>
    <w:p>
      <w:pPr>
        <w:spacing w:after="0" w:line="9" w:lineRule="exact"/>
        <w:rPr>
          <w:rFonts w:ascii="Arial" w:cs="Arial" w:eastAsia="Arial" w:hAnsi="Arial"/>
          <w:sz w:val="16"/>
          <w:szCs w:val="16"/>
          <w:color w:val="auto"/>
        </w:rPr>
      </w:pPr>
    </w:p>
    <w:p>
      <w:pPr>
        <w:ind w:left="2040" w:hanging="735"/>
        <w:spacing w:after="0"/>
        <w:tabs>
          <w:tab w:leader="none" w:pos="2040" w:val="left"/>
        </w:tabs>
        <w:numPr>
          <w:ilvl w:val="0"/>
          <w:numId w:val="26"/>
        </w:numPr>
        <w:rPr>
          <w:rFonts w:ascii="Arial" w:cs="Arial" w:eastAsia="Arial" w:hAnsi="Arial"/>
          <w:sz w:val="16"/>
          <w:szCs w:val="16"/>
          <w:color w:val="auto"/>
        </w:rPr>
      </w:pPr>
      <w:r>
        <w:rPr>
          <w:rFonts w:ascii="Arial" w:cs="Arial" w:eastAsia="Arial" w:hAnsi="Arial"/>
          <w:sz w:val="18"/>
          <w:szCs w:val="18"/>
          <w:color w:val="auto"/>
        </w:rPr>
        <w:t>public concern as to the safety of our products;</w:t>
      </w:r>
    </w:p>
    <w:p>
      <w:pPr>
        <w:spacing w:after="0" w:line="9" w:lineRule="exact"/>
        <w:rPr>
          <w:rFonts w:ascii="Arial" w:cs="Arial" w:eastAsia="Arial" w:hAnsi="Arial"/>
          <w:sz w:val="16"/>
          <w:szCs w:val="16"/>
          <w:color w:val="auto"/>
        </w:rPr>
      </w:pPr>
    </w:p>
    <w:p>
      <w:pPr>
        <w:ind w:left="2040" w:hanging="735"/>
        <w:spacing w:after="0"/>
        <w:tabs>
          <w:tab w:leader="none" w:pos="2040" w:val="left"/>
        </w:tabs>
        <w:numPr>
          <w:ilvl w:val="0"/>
          <w:numId w:val="26"/>
        </w:numPr>
        <w:rPr>
          <w:rFonts w:ascii="Arial" w:cs="Arial" w:eastAsia="Arial" w:hAnsi="Arial"/>
          <w:sz w:val="16"/>
          <w:szCs w:val="16"/>
          <w:color w:val="auto"/>
        </w:rPr>
      </w:pPr>
      <w:r>
        <w:rPr>
          <w:rFonts w:ascii="Arial" w:cs="Arial" w:eastAsia="Arial" w:hAnsi="Arial"/>
          <w:sz w:val="18"/>
          <w:szCs w:val="18"/>
          <w:color w:val="auto"/>
        </w:rPr>
        <w:t>termination or delay of a development program;</w:t>
      </w:r>
    </w:p>
    <w:p>
      <w:pPr>
        <w:spacing w:after="0" w:line="9" w:lineRule="exact"/>
        <w:rPr>
          <w:rFonts w:ascii="Arial" w:cs="Arial" w:eastAsia="Arial" w:hAnsi="Arial"/>
          <w:sz w:val="16"/>
          <w:szCs w:val="16"/>
          <w:color w:val="auto"/>
        </w:rPr>
      </w:pPr>
    </w:p>
    <w:p>
      <w:pPr>
        <w:ind w:left="2040" w:hanging="735"/>
        <w:spacing w:after="0"/>
        <w:tabs>
          <w:tab w:leader="none" w:pos="2040" w:val="left"/>
        </w:tabs>
        <w:numPr>
          <w:ilvl w:val="0"/>
          <w:numId w:val="26"/>
        </w:numPr>
        <w:rPr>
          <w:rFonts w:ascii="Arial" w:cs="Arial" w:eastAsia="Arial" w:hAnsi="Arial"/>
          <w:sz w:val="16"/>
          <w:szCs w:val="16"/>
          <w:color w:val="auto"/>
        </w:rPr>
      </w:pPr>
      <w:r>
        <w:rPr>
          <w:rFonts w:ascii="Arial" w:cs="Arial" w:eastAsia="Arial" w:hAnsi="Arial"/>
          <w:sz w:val="18"/>
          <w:szCs w:val="18"/>
          <w:color w:val="auto"/>
        </w:rPr>
        <w:t>disputes concerning patents or other proprietary rights;</w:t>
      </w:r>
    </w:p>
    <w:p>
      <w:pPr>
        <w:spacing w:after="0" w:line="9" w:lineRule="exact"/>
        <w:rPr>
          <w:rFonts w:ascii="Arial" w:cs="Arial" w:eastAsia="Arial" w:hAnsi="Arial"/>
          <w:sz w:val="16"/>
          <w:szCs w:val="16"/>
          <w:color w:val="auto"/>
        </w:rPr>
      </w:pPr>
    </w:p>
    <w:p>
      <w:pPr>
        <w:ind w:left="2040" w:hanging="735"/>
        <w:spacing w:after="0"/>
        <w:tabs>
          <w:tab w:leader="none" w:pos="2040" w:val="left"/>
        </w:tabs>
        <w:numPr>
          <w:ilvl w:val="0"/>
          <w:numId w:val="26"/>
        </w:numPr>
        <w:rPr>
          <w:rFonts w:ascii="Arial" w:cs="Arial" w:eastAsia="Arial" w:hAnsi="Arial"/>
          <w:sz w:val="16"/>
          <w:szCs w:val="16"/>
          <w:color w:val="auto"/>
        </w:rPr>
      </w:pPr>
      <w:r>
        <w:rPr>
          <w:rFonts w:ascii="Arial" w:cs="Arial" w:eastAsia="Arial" w:hAnsi="Arial"/>
          <w:sz w:val="18"/>
          <w:szCs w:val="18"/>
          <w:color w:val="auto"/>
        </w:rPr>
        <w:t>the recruitment or departure of key personnel;</w:t>
      </w:r>
    </w:p>
    <w:p>
      <w:pPr>
        <w:spacing w:after="0" w:line="9" w:lineRule="exact"/>
        <w:rPr>
          <w:rFonts w:ascii="Arial" w:cs="Arial" w:eastAsia="Arial" w:hAnsi="Arial"/>
          <w:sz w:val="16"/>
          <w:szCs w:val="16"/>
          <w:color w:val="auto"/>
        </w:rPr>
      </w:pPr>
    </w:p>
    <w:p>
      <w:pPr>
        <w:ind w:left="2040" w:hanging="735"/>
        <w:spacing w:after="0"/>
        <w:tabs>
          <w:tab w:leader="none" w:pos="2040" w:val="left"/>
        </w:tabs>
        <w:numPr>
          <w:ilvl w:val="0"/>
          <w:numId w:val="26"/>
        </w:numPr>
        <w:rPr>
          <w:rFonts w:ascii="Arial" w:cs="Arial" w:eastAsia="Arial" w:hAnsi="Arial"/>
          <w:sz w:val="16"/>
          <w:szCs w:val="16"/>
          <w:color w:val="auto"/>
        </w:rPr>
      </w:pPr>
      <w:r>
        <w:rPr>
          <w:rFonts w:ascii="Arial" w:cs="Arial" w:eastAsia="Arial" w:hAnsi="Arial"/>
          <w:sz w:val="18"/>
          <w:szCs w:val="18"/>
          <w:color w:val="auto"/>
        </w:rPr>
        <w:t>variations in our product revenue and profitability; and</w:t>
      </w:r>
    </w:p>
    <w:p>
      <w:pPr>
        <w:spacing w:after="0" w:line="9" w:lineRule="exact"/>
        <w:rPr>
          <w:rFonts w:ascii="Arial" w:cs="Arial" w:eastAsia="Arial" w:hAnsi="Arial"/>
          <w:sz w:val="16"/>
          <w:szCs w:val="16"/>
          <w:color w:val="auto"/>
        </w:rPr>
      </w:pPr>
    </w:p>
    <w:p>
      <w:pPr>
        <w:ind w:left="2040" w:hanging="735"/>
        <w:spacing w:after="0"/>
        <w:tabs>
          <w:tab w:leader="none" w:pos="2040" w:val="left"/>
        </w:tabs>
        <w:numPr>
          <w:ilvl w:val="0"/>
          <w:numId w:val="26"/>
        </w:numPr>
        <w:rPr>
          <w:rFonts w:ascii="Arial" w:cs="Arial" w:eastAsia="Arial" w:hAnsi="Arial"/>
          <w:sz w:val="16"/>
          <w:szCs w:val="16"/>
          <w:color w:val="auto"/>
        </w:rPr>
      </w:pPr>
      <w:r>
        <w:rPr>
          <w:rFonts w:ascii="Arial" w:cs="Arial" w:eastAsia="Arial" w:hAnsi="Arial"/>
          <w:sz w:val="18"/>
          <w:szCs w:val="18"/>
          <w:color w:val="auto"/>
        </w:rPr>
        <w:t>the other factors described in this "Risk Factors" section.</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have no current intention to pay dividends in the foreseeable future, investors will benefit from an investment in our common stock only if it appreciates in value.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do not anticipate paying dividends on our common stock in the foreseeable future. Our senior secured credit facility and any future debt agreements that we enter into may limit our ability to pay dividends. As a result, capital appreciation, if any, of our common stock will be the sole source of gain for our stockholders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shares may be sold into the market at any time. This could cause the market price of our common stock to drop significantly.</w:t>
      </w:r>
    </w:p>
    <w:p>
      <w:pPr>
        <w:spacing w:after="0" w:line="2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6 million shares of our common stock outstanding as of April 30, 2014, have the right to require us to register these shares of common stock under specified circumstances. In 2012, the SEC declared effective our shelf registration statement that included registration of up to 3 million of these shares to be sold by these holders from time to time.</w:t>
      </w:r>
    </w:p>
    <w:p>
      <w:pPr>
        <w:spacing w:after="0" w:line="4" w:lineRule="exact"/>
        <w:rPr>
          <w:sz w:val="20"/>
          <w:szCs w:val="20"/>
          <w:color w:val="auto"/>
        </w:rPr>
      </w:pPr>
    </w:p>
    <w:p>
      <w:pPr>
        <w:ind w:left="660" w:right="4480" w:hanging="647"/>
        <w:spacing w:after="0" w:line="524"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Recent Sales of Unregistered Securities</w:t>
      </w: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56"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On March 27, 2014, in anticipation of the relocation of our headquarters to our purchased property at 400 Professional Drive, Gaithersburg, Maryland, we provided a notice of termination of our lease agreement with Brandywine Research LLC, effective January 31, 2015, with respect to our current Rockville, Maryland headquarters. In accordance with the terms of the lease agreement, we paid Brandywine an early termination payment of $436,570.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to be filed by Item 601 of Regulation S-K are listed in the Exhibit Index immediately preceding the exhibits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EMERGENT BIOSOLUTIONS INC.</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J. Abdun-Nabi</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Daniel J. Abdun-Nabi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12, 2014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G. Kramer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Robert G. Kramer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Financial and Accounting Officer)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0620" w:type="dxa"/>
            <w:vAlign w:val="bottom"/>
          </w:tcPr>
          <w:p>
            <w:pPr>
              <w:ind w:left="4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41"/>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620" w:type="dxa"/>
            <w:vAlign w:val="bottom"/>
          </w:tcPr>
          <w:p>
            <w:pPr>
              <w:ind w:left="49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3"/>
        </w:trPr>
        <w:tc>
          <w:tcPr>
            <w:tcW w:w="8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line="202" w:lineRule="exact"/>
              <w:rPr>
                <w:sz w:val="20"/>
                <w:szCs w:val="20"/>
                <w:color w:val="auto"/>
              </w:rPr>
            </w:pPr>
            <w:r>
              <w:rPr>
                <w:rFonts w:ascii="Arial" w:cs="Arial" w:eastAsia="Arial" w:hAnsi="Arial"/>
                <w:sz w:val="15"/>
                <w:szCs w:val="15"/>
                <w:color w:val="auto"/>
              </w:rPr>
              <w:t>10</w:t>
            </w:r>
            <w:r>
              <w:rPr>
                <w:rFonts w:ascii="Arial" w:cs="Arial" w:eastAsia="Arial" w:hAnsi="Arial"/>
                <w:sz w:val="23"/>
                <w:szCs w:val="23"/>
                <w:color w:val="auto"/>
                <w:vertAlign w:val="superscript"/>
              </w:rPr>
              <w:t>#</w:t>
            </w:r>
          </w:p>
        </w:tc>
        <w:tc>
          <w:tcPr>
            <w:tcW w:w="10620" w:type="dxa"/>
            <w:vAlign w:val="bottom"/>
          </w:tcPr>
          <w:p>
            <w:pPr>
              <w:ind w:left="100"/>
              <w:spacing w:after="0" w:line="201" w:lineRule="exact"/>
              <w:rPr>
                <w:sz w:val="20"/>
                <w:szCs w:val="20"/>
                <w:color w:val="auto"/>
              </w:rPr>
            </w:pPr>
            <w:r>
              <w:rPr>
                <w:rFonts w:ascii="Arial" w:cs="Arial" w:eastAsia="Arial" w:hAnsi="Arial"/>
                <w:sz w:val="18"/>
                <w:szCs w:val="18"/>
                <w:color w:val="auto"/>
                <w:w w:val="90"/>
              </w:rPr>
              <w:t>Second Amendment to Credit Agreement, dated as of March 21, 2014, among Emergent BioSolutions Inc., as borrower, certain of its subsidiaries</w:t>
            </w:r>
          </w:p>
        </w:tc>
        <w:tc>
          <w:tcPr>
            <w:tcW w:w="0" w:type="dxa"/>
            <w:vAlign w:val="bottom"/>
          </w:tcPr>
          <w:p>
            <w:pPr>
              <w:spacing w:after="0"/>
              <w:rPr>
                <w:sz w:val="1"/>
                <w:szCs w:val="1"/>
                <w:color w:val="auto"/>
              </w:rPr>
            </w:pPr>
          </w:p>
        </w:tc>
      </w:tr>
      <w:tr>
        <w:trPr>
          <w:trHeight w:val="216"/>
        </w:trPr>
        <w:tc>
          <w:tcPr>
            <w:tcW w:w="800" w:type="dxa"/>
            <w:vAlign w:val="bottom"/>
            <w:vMerge w:val="restart"/>
          </w:tcPr>
          <w:p>
            <w:pPr>
              <w:spacing w:after="0"/>
              <w:rPr>
                <w:sz w:val="20"/>
                <w:szCs w:val="20"/>
                <w:color w:val="auto"/>
              </w:rPr>
            </w:pPr>
            <w:r>
              <w:rPr>
                <w:rFonts w:ascii="Arial" w:cs="Arial" w:eastAsia="Arial" w:hAnsi="Arial"/>
                <w:sz w:val="18"/>
                <w:szCs w:val="18"/>
                <w:color w:val="auto"/>
              </w:rPr>
              <w:t>12</w:t>
            </w:r>
            <w:r>
              <w:rPr>
                <w:rFonts w:ascii="Arial" w:cs="Arial" w:eastAsia="Arial" w:hAnsi="Arial"/>
                <w:sz w:val="30"/>
                <w:szCs w:val="30"/>
                <w:color w:val="auto"/>
                <w:vertAlign w:val="superscript"/>
              </w:rPr>
              <w:t>#</w:t>
            </w:r>
          </w:p>
        </w:tc>
        <w:tc>
          <w:tcPr>
            <w:tcW w:w="10620" w:type="dxa"/>
            <w:vAlign w:val="bottom"/>
          </w:tcPr>
          <w:p>
            <w:pPr>
              <w:ind w:left="100"/>
              <w:spacing w:after="0"/>
              <w:rPr>
                <w:sz w:val="20"/>
                <w:szCs w:val="20"/>
                <w:color w:val="auto"/>
              </w:rPr>
            </w:pPr>
            <w:r>
              <w:rPr>
                <w:rFonts w:ascii="Arial" w:cs="Arial" w:eastAsia="Arial" w:hAnsi="Arial"/>
                <w:sz w:val="18"/>
                <w:szCs w:val="18"/>
                <w:color w:val="auto"/>
                <w:w w:val="98"/>
              </w:rPr>
              <w:t>party thereto, as guarantors, Bank of America, N.A., as administrative agent, and certain financial institutions party thereto as lenders.</w:t>
            </w:r>
          </w:p>
        </w:tc>
        <w:tc>
          <w:tcPr>
            <w:tcW w:w="0" w:type="dxa"/>
            <w:vAlign w:val="bottom"/>
          </w:tcPr>
          <w:p>
            <w:pPr>
              <w:spacing w:after="0"/>
              <w:rPr>
                <w:sz w:val="1"/>
                <w:szCs w:val="1"/>
                <w:color w:val="auto"/>
              </w:rPr>
            </w:pPr>
          </w:p>
        </w:tc>
      </w:tr>
      <w:tr>
        <w:trPr>
          <w:trHeight w:val="206"/>
        </w:trPr>
        <w:tc>
          <w:tcPr>
            <w:tcW w:w="800" w:type="dxa"/>
            <w:vAlign w:val="bottom"/>
            <w:vMerge w:val="continue"/>
          </w:tcPr>
          <w:p>
            <w:pPr>
              <w:spacing w:after="0"/>
              <w:rPr>
                <w:sz w:val="17"/>
                <w:szCs w:val="17"/>
                <w:color w:val="auto"/>
              </w:rPr>
            </w:pPr>
          </w:p>
        </w:tc>
        <w:tc>
          <w:tcPr>
            <w:tcW w:w="10620" w:type="dxa"/>
            <w:vAlign w:val="bottom"/>
          </w:tcPr>
          <w:p>
            <w:pPr>
              <w:ind w:left="100"/>
              <w:spacing w:after="0"/>
              <w:rPr>
                <w:sz w:val="20"/>
                <w:szCs w:val="20"/>
                <w:color w:val="auto"/>
              </w:rPr>
            </w:pPr>
            <w:r>
              <w:rPr>
                <w:rFonts w:ascii="Arial" w:cs="Arial" w:eastAsia="Arial" w:hAnsi="Arial"/>
                <w:sz w:val="18"/>
                <w:szCs w:val="18"/>
                <w:color w:val="auto"/>
              </w:rPr>
              <w:t>Ratio of Earnings to Fixed Charges.</w:t>
            </w:r>
          </w:p>
        </w:tc>
        <w:tc>
          <w:tcPr>
            <w:tcW w:w="0" w:type="dxa"/>
            <w:vAlign w:val="bottom"/>
          </w:tcPr>
          <w:p>
            <w:pPr>
              <w:spacing w:after="0"/>
              <w:rPr>
                <w:sz w:val="1"/>
                <w:szCs w:val="1"/>
                <w:color w:val="auto"/>
              </w:rPr>
            </w:pPr>
          </w:p>
        </w:tc>
      </w:tr>
      <w:tr>
        <w:trPr>
          <w:trHeight w:val="216"/>
        </w:trPr>
        <w:tc>
          <w:tcPr>
            <w:tcW w:w="800" w:type="dxa"/>
            <w:vAlign w:val="bottom"/>
          </w:tcPr>
          <w:p>
            <w:pPr>
              <w:spacing w:after="0" w:line="216" w:lineRule="exact"/>
              <w:rPr>
                <w:sz w:val="20"/>
                <w:szCs w:val="20"/>
                <w:color w:val="auto"/>
              </w:rPr>
            </w:pPr>
            <w:r>
              <w:rPr>
                <w:rFonts w:ascii="Arial" w:cs="Arial" w:eastAsia="Arial" w:hAnsi="Arial"/>
                <w:sz w:val="16"/>
                <w:szCs w:val="16"/>
                <w:color w:val="auto"/>
              </w:rPr>
              <w:t>31.1</w:t>
            </w:r>
            <w:r>
              <w:rPr>
                <w:rFonts w:ascii="Arial" w:cs="Arial" w:eastAsia="Arial" w:hAnsi="Arial"/>
                <w:sz w:val="25"/>
                <w:szCs w:val="25"/>
                <w:color w:val="auto"/>
                <w:vertAlign w:val="superscript"/>
              </w:rPr>
              <w:t>#</w:t>
            </w:r>
          </w:p>
        </w:tc>
        <w:tc>
          <w:tcPr>
            <w:tcW w:w="10620" w:type="dxa"/>
            <w:vAlign w:val="bottom"/>
          </w:tcPr>
          <w:p>
            <w:pPr>
              <w:ind w:left="100"/>
              <w:spacing w:after="0"/>
              <w:rPr>
                <w:sz w:val="20"/>
                <w:szCs w:val="20"/>
                <w:color w:val="auto"/>
              </w:rPr>
            </w:pPr>
            <w:r>
              <w:rPr>
                <w:rFonts w:ascii="Arial" w:cs="Arial" w:eastAsia="Arial" w:hAnsi="Arial"/>
                <w:sz w:val="18"/>
                <w:szCs w:val="18"/>
                <w:color w:val="auto"/>
              </w:rPr>
              <w:t>Certification of the Chief Executive Officer pursuant to Exchange Act Rule 13a-14(a).</w:t>
            </w:r>
          </w:p>
        </w:tc>
        <w:tc>
          <w:tcPr>
            <w:tcW w:w="0" w:type="dxa"/>
            <w:vAlign w:val="bottom"/>
          </w:tcPr>
          <w:p>
            <w:pPr>
              <w:spacing w:after="0"/>
              <w:rPr>
                <w:sz w:val="1"/>
                <w:szCs w:val="1"/>
                <w:color w:val="auto"/>
              </w:rPr>
            </w:pPr>
          </w:p>
        </w:tc>
      </w:tr>
      <w:tr>
        <w:trPr>
          <w:trHeight w:val="216"/>
        </w:trPr>
        <w:tc>
          <w:tcPr>
            <w:tcW w:w="800" w:type="dxa"/>
            <w:vAlign w:val="bottom"/>
          </w:tcPr>
          <w:p>
            <w:pPr>
              <w:spacing w:after="0" w:line="216" w:lineRule="exact"/>
              <w:rPr>
                <w:sz w:val="20"/>
                <w:szCs w:val="20"/>
                <w:color w:val="auto"/>
              </w:rPr>
            </w:pPr>
            <w:r>
              <w:rPr>
                <w:rFonts w:ascii="Arial" w:cs="Arial" w:eastAsia="Arial" w:hAnsi="Arial"/>
                <w:sz w:val="16"/>
                <w:szCs w:val="16"/>
                <w:color w:val="auto"/>
              </w:rPr>
              <w:t>31.2</w:t>
            </w:r>
            <w:r>
              <w:rPr>
                <w:rFonts w:ascii="Arial" w:cs="Arial" w:eastAsia="Arial" w:hAnsi="Arial"/>
                <w:sz w:val="25"/>
                <w:szCs w:val="25"/>
                <w:color w:val="auto"/>
                <w:vertAlign w:val="superscript"/>
              </w:rPr>
              <w:t>#</w:t>
            </w:r>
          </w:p>
        </w:tc>
        <w:tc>
          <w:tcPr>
            <w:tcW w:w="10620" w:type="dxa"/>
            <w:vAlign w:val="bottom"/>
          </w:tcPr>
          <w:p>
            <w:pPr>
              <w:ind w:left="100"/>
              <w:spacing w:after="0"/>
              <w:rPr>
                <w:sz w:val="20"/>
                <w:szCs w:val="20"/>
                <w:color w:val="auto"/>
              </w:rPr>
            </w:pPr>
            <w:r>
              <w:rPr>
                <w:rFonts w:ascii="Arial" w:cs="Arial" w:eastAsia="Arial" w:hAnsi="Arial"/>
                <w:sz w:val="18"/>
                <w:szCs w:val="18"/>
                <w:color w:val="auto"/>
              </w:rPr>
              <w:t>Certification of the Chief Financial Officer pursuant to Exchange Act Rule 13a-14(a).</w:t>
            </w:r>
          </w:p>
        </w:tc>
        <w:tc>
          <w:tcPr>
            <w:tcW w:w="0" w:type="dxa"/>
            <w:vAlign w:val="bottom"/>
          </w:tcPr>
          <w:p>
            <w:pPr>
              <w:spacing w:after="0"/>
              <w:rPr>
                <w:sz w:val="1"/>
                <w:szCs w:val="1"/>
                <w:color w:val="auto"/>
              </w:rPr>
            </w:pPr>
          </w:p>
        </w:tc>
      </w:tr>
      <w:tr>
        <w:trPr>
          <w:trHeight w:val="226"/>
        </w:trPr>
        <w:tc>
          <w:tcPr>
            <w:tcW w:w="800" w:type="dxa"/>
            <w:vAlign w:val="bottom"/>
          </w:tcPr>
          <w:p>
            <w:pPr>
              <w:spacing w:after="0" w:line="226" w:lineRule="exact"/>
              <w:rPr>
                <w:sz w:val="20"/>
                <w:szCs w:val="20"/>
                <w:color w:val="auto"/>
              </w:rPr>
            </w:pPr>
            <w:r>
              <w:rPr>
                <w:rFonts w:ascii="Arial" w:cs="Arial" w:eastAsia="Arial" w:hAnsi="Arial"/>
                <w:sz w:val="16"/>
                <w:szCs w:val="16"/>
                <w:color w:val="auto"/>
              </w:rPr>
              <w:t>32.1</w:t>
            </w:r>
            <w:r>
              <w:rPr>
                <w:rFonts w:ascii="Arial" w:cs="Arial" w:eastAsia="Arial" w:hAnsi="Arial"/>
                <w:sz w:val="26"/>
                <w:szCs w:val="26"/>
                <w:color w:val="auto"/>
                <w:vertAlign w:val="superscript"/>
              </w:rPr>
              <w:t>#</w:t>
            </w:r>
          </w:p>
        </w:tc>
        <w:tc>
          <w:tcPr>
            <w:tcW w:w="10620" w:type="dxa"/>
            <w:vAlign w:val="bottom"/>
          </w:tcPr>
          <w:p>
            <w:pPr>
              <w:ind w:left="100"/>
              <w:spacing w:after="0"/>
              <w:rPr>
                <w:sz w:val="20"/>
                <w:szCs w:val="20"/>
                <w:color w:val="auto"/>
              </w:rPr>
            </w:pPr>
            <w:r>
              <w:rPr>
                <w:rFonts w:ascii="Arial" w:cs="Arial" w:eastAsia="Arial" w:hAnsi="Arial"/>
                <w:sz w:val="18"/>
                <w:szCs w:val="18"/>
                <w:color w:val="auto"/>
                <w:w w:val="91"/>
              </w:rPr>
              <w:t>Certification of the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16"/>
        </w:trPr>
        <w:tc>
          <w:tcPr>
            <w:tcW w:w="800" w:type="dxa"/>
            <w:vAlign w:val="bottom"/>
            <w:vMerge w:val="restart"/>
          </w:tcPr>
          <w:p>
            <w:pPr>
              <w:spacing w:after="0"/>
              <w:rPr>
                <w:sz w:val="20"/>
                <w:szCs w:val="20"/>
                <w:color w:val="auto"/>
              </w:rPr>
            </w:pPr>
            <w:r>
              <w:rPr>
                <w:rFonts w:ascii="Arial" w:cs="Arial" w:eastAsia="Arial" w:hAnsi="Arial"/>
                <w:sz w:val="18"/>
                <w:szCs w:val="18"/>
                <w:color w:val="auto"/>
              </w:rPr>
              <w:t>32.2</w:t>
            </w:r>
            <w:r>
              <w:rPr>
                <w:rFonts w:ascii="Arial" w:cs="Arial" w:eastAsia="Arial" w:hAnsi="Arial"/>
                <w:sz w:val="30"/>
                <w:szCs w:val="30"/>
                <w:color w:val="auto"/>
                <w:vertAlign w:val="superscript"/>
              </w:rPr>
              <w:t>#</w:t>
            </w:r>
          </w:p>
        </w:tc>
        <w:tc>
          <w:tcPr>
            <w:tcW w:w="10620" w:type="dxa"/>
            <w:vAlign w:val="bottom"/>
          </w:tcPr>
          <w:p>
            <w:pPr>
              <w:ind w:lef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10620" w:type="dxa"/>
            <w:vAlign w:val="bottom"/>
          </w:tcPr>
          <w:p>
            <w:pPr>
              <w:ind w:left="10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620" w:type="dxa"/>
            <w:vAlign w:val="bottom"/>
          </w:tcPr>
          <w:p>
            <w:pPr>
              <w:ind w:lef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 INS</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Taxonomy Calculation Linksbase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Taxonomy Definition Linksbase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Taxonomy Label Linksbase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Taxonomy Presentation Linksbase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w:t>
      </w:r>
    </w:p>
    <w:p>
      <w:pPr>
        <w:spacing w:after="0" w:line="23" w:lineRule="exact"/>
        <w:rPr>
          <w:sz w:val="20"/>
          <w:szCs w:val="20"/>
          <w:color w:val="auto"/>
        </w:rPr>
      </w:pPr>
    </w:p>
    <w:p>
      <w:pPr>
        <w:ind w:left="700" w:hanging="20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Condensed Consolidated Statements of Operations for the three months ended March 31, 2014 and March 31, 2013;</w:t>
      </w:r>
    </w:p>
    <w:p>
      <w:pPr>
        <w:spacing w:after="0" w:line="9" w:lineRule="exact"/>
        <w:rPr>
          <w:rFonts w:ascii="Arial" w:cs="Arial" w:eastAsia="Arial" w:hAnsi="Arial"/>
          <w:sz w:val="18"/>
          <w:szCs w:val="18"/>
          <w:color w:val="auto"/>
        </w:rPr>
      </w:pPr>
    </w:p>
    <w:p>
      <w:pPr>
        <w:ind w:left="760" w:hanging="266"/>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Condensed Consolidated Statements of Comprehensive Loss for the three months ended March 31, 2014 and 2013;</w:t>
      </w:r>
    </w:p>
    <w:p>
      <w:pPr>
        <w:spacing w:after="0" w:line="9" w:lineRule="exact"/>
        <w:rPr>
          <w:rFonts w:ascii="Arial" w:cs="Arial" w:eastAsia="Arial" w:hAnsi="Arial"/>
          <w:sz w:val="18"/>
          <w:szCs w:val="18"/>
          <w:color w:val="auto"/>
        </w:rPr>
      </w:pPr>
    </w:p>
    <w:p>
      <w:pPr>
        <w:ind w:left="800" w:hanging="30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Condensed Consolidated Balance Sheets at March 31, 2014 and December 31, 2013;</w:t>
      </w:r>
    </w:p>
    <w:p>
      <w:pPr>
        <w:spacing w:after="0" w:line="9" w:lineRule="exact"/>
        <w:rPr>
          <w:rFonts w:ascii="Arial" w:cs="Arial" w:eastAsia="Arial" w:hAnsi="Arial"/>
          <w:sz w:val="18"/>
          <w:szCs w:val="18"/>
          <w:color w:val="auto"/>
        </w:rPr>
      </w:pPr>
    </w:p>
    <w:p>
      <w:pPr>
        <w:ind w:left="800" w:hanging="30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three months ended March 31, 2014 and 2013;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Rule 406T of Regulation S-T, the XBRL-related information in Exhibit 101 to this Quarterly Report on Form 10-Q is deemed filed or part of a registration statement or prospectus for purposes of sections 11 or 12 of the Securities Act, is deemed filed for purposes of Section 18 of the Exchange Act, and otherwise is not subject to liability under these sections.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1">
            <w:col w:w="11420"/>
          </w:cols>
          <w:pgMar w:left="240" w:top="85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CREDIT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SECOND AMENDMENT TO CREDIT AGREEMENT</w:t>
      </w:r>
      <w:r>
        <w:rPr>
          <w:rFonts w:ascii="Arial" w:cs="Arial" w:eastAsia="Arial" w:hAnsi="Arial"/>
          <w:sz w:val="18"/>
          <w:szCs w:val="18"/>
          <w:color w:val="auto"/>
        </w:rPr>
        <w:t>, dated as of March 21, 2014 (this "</w:t>
      </w:r>
      <w:r>
        <w:rPr>
          <w:rFonts w:ascii="Arial" w:cs="Arial" w:eastAsia="Arial" w:hAnsi="Arial"/>
          <w:sz w:val="18"/>
          <w:szCs w:val="18"/>
          <w:u w:val="single" w:color="auto"/>
          <w:color w:val="auto"/>
        </w:rPr>
        <w:t>Amendment</w:t>
      </w:r>
      <w:r>
        <w:rPr>
          <w:rFonts w:ascii="Arial" w:cs="Arial" w:eastAsia="Arial" w:hAnsi="Arial"/>
          <w:sz w:val="18"/>
          <w:szCs w:val="18"/>
          <w:color w:val="auto"/>
        </w:rPr>
        <w:t>"), modifies that certain Credit Agreement, dated as of December 11, 2013 (as amended, restated, extended, supplemented or otherwise modified in writing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among </w:t>
      </w:r>
      <w:r>
        <w:rPr>
          <w:rFonts w:ascii="Arial" w:cs="Arial" w:eastAsia="Arial" w:hAnsi="Arial"/>
          <w:sz w:val="18"/>
          <w:szCs w:val="18"/>
          <w:b w:val="1"/>
          <w:bCs w:val="1"/>
          <w:color w:val="auto"/>
        </w:rPr>
        <w:t>EMERGENT BIOSOLUTIONS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each Domestic Subsidiary of the Borrower from time to time party thereto as a Guarantor, each lender from time to time party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and </w:t>
      </w:r>
      <w:r>
        <w:rPr>
          <w:rFonts w:ascii="Arial" w:cs="Arial" w:eastAsia="Arial" w:hAnsi="Arial"/>
          <w:sz w:val="18"/>
          <w:szCs w:val="18"/>
          <w:b w:val="1"/>
          <w:bCs w:val="1"/>
          <w:color w:val="auto"/>
        </w:rPr>
        <w:t>BANK</w:t>
      </w:r>
      <w:r>
        <w:rPr>
          <w:rFonts w:ascii="Arial" w:cs="Arial" w:eastAsia="Arial" w:hAnsi="Arial"/>
          <w:sz w:val="18"/>
          <w:szCs w:val="18"/>
          <w:color w:val="auto"/>
        </w:rPr>
        <w:t xml:space="preserve"> </w:t>
      </w:r>
      <w:r>
        <w:rPr>
          <w:rFonts w:ascii="Arial" w:cs="Arial" w:eastAsia="Arial" w:hAnsi="Arial"/>
          <w:sz w:val="18"/>
          <w:szCs w:val="18"/>
          <w:b w:val="1"/>
          <w:bCs w:val="1"/>
          <w:color w:val="auto"/>
        </w:rPr>
        <w:t>OF AMERICA, N.A.</w:t>
      </w:r>
      <w:r>
        <w:rPr>
          <w:rFonts w:ascii="Arial" w:cs="Arial" w:eastAsia="Arial" w:hAnsi="Arial"/>
          <w:sz w:val="18"/>
          <w:szCs w:val="18"/>
          <w:color w:val="auto"/>
        </w:rPr>
        <w:t>,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Swing Line Lender and L/C Issuer. Capitalized terms used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 not defined shall have the meaning assigned to such terms in the Credit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has requested that the Administrative Agent and the Lenders agree to amend certain of the terms and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as specifically set forth in this Amendment;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Administrative Agent and each of the undersigned Lenders are prepared to amend the Credit Agreement on the terms,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conditions and in reliance on the representations set forth herein.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agreements contained here,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hereto hereby agree as follows:</w:t>
      </w:r>
    </w:p>
    <w:p>
      <w:pPr>
        <w:spacing w:after="0" w:line="16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Amendments to Credit Agreement</w:t>
      </w:r>
      <w:r>
        <w:rPr>
          <w:rFonts w:ascii="Arial" w:cs="Arial" w:eastAsia="Arial" w:hAnsi="Arial"/>
          <w:sz w:val="16"/>
          <w:szCs w:val="16"/>
          <w:color w:val="auto"/>
        </w:rPr>
        <w:t>.</w:t>
      </w:r>
    </w:p>
    <w:p>
      <w:pPr>
        <w:spacing w:after="0" w:line="252" w:lineRule="exact"/>
        <w:rPr>
          <w:sz w:val="20"/>
          <w:szCs w:val="20"/>
          <w:color w:val="auto"/>
        </w:rPr>
      </w:pPr>
    </w:p>
    <w:p>
      <w:pPr>
        <w:ind w:right="220" w:firstLine="656"/>
        <w:spacing w:after="0" w:line="291" w:lineRule="auto"/>
        <w:tabs>
          <w:tab w:leader="none" w:pos="1125"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definition of "Target Cash Distribution Amount" in Section 1.01 (Defined Terms) of the Credit Agreement is hereby amended and modified by (i) deleting the amount "$10,000,000" appearing in clause (a)(ii) of such definition, and inserting in lieu thereof the amount "$20,000,000" and</w:t>
      </w:r>
    </w:p>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deleting the reference to the "31st day" appearing in clause (b) of such definition, and inserting in lieu thereof a reference to the "90th day".</w:t>
      </w:r>
    </w:p>
    <w:p>
      <w:pPr>
        <w:spacing w:after="0" w:line="237" w:lineRule="exact"/>
        <w:rPr>
          <w:rFonts w:ascii="Arial" w:cs="Arial" w:eastAsia="Arial" w:hAnsi="Arial"/>
          <w:sz w:val="18"/>
          <w:szCs w:val="18"/>
          <w:color w:val="auto"/>
        </w:rPr>
      </w:pPr>
    </w:p>
    <w:p>
      <w:pPr>
        <w:ind w:left="1140" w:hanging="484"/>
        <w:spacing w:after="0"/>
        <w:tabs>
          <w:tab w:leader="none" w:pos="11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Section 6.12 (Covenant to Guarantee Obligations and Give Security) of the Credit Agreement is hereby amended and modified by:</w:t>
      </w:r>
    </w:p>
    <w:p>
      <w:pPr>
        <w:spacing w:after="0" w:line="263" w:lineRule="exact"/>
        <w:rPr>
          <w:rFonts w:ascii="Arial" w:cs="Arial" w:eastAsia="Arial" w:hAnsi="Arial"/>
          <w:sz w:val="17"/>
          <w:szCs w:val="17"/>
          <w:color w:val="auto"/>
        </w:rPr>
      </w:pPr>
    </w:p>
    <w:p>
      <w:pPr>
        <w:jc w:val="both"/>
        <w:ind w:left="2440" w:hanging="163"/>
        <w:spacing w:after="0" w:line="342" w:lineRule="auto"/>
        <w:tabs>
          <w:tab w:leader="none" w:pos="2440" w:val="left"/>
        </w:tabs>
        <w:numPr>
          <w:ilvl w:val="2"/>
          <w:numId w:val="29"/>
        </w:numPr>
        <w:rPr>
          <w:rFonts w:ascii="Arial" w:cs="Arial" w:eastAsia="Arial" w:hAnsi="Arial"/>
          <w:sz w:val="16"/>
          <w:szCs w:val="16"/>
          <w:color w:val="auto"/>
        </w:rPr>
      </w:pPr>
      <w:r>
        <w:rPr>
          <w:rFonts w:ascii="Arial" w:cs="Arial" w:eastAsia="Arial" w:hAnsi="Arial"/>
          <w:sz w:val="16"/>
          <w:szCs w:val="16"/>
          <w:color w:val="auto"/>
        </w:rPr>
        <w:t>in clause (a) of such Section, inserting the words "or such later date as may be agreed to by the Administrative Agent in its reasonable discretion" immediately following each reference to "days after such formation or acquisition" contained therein;</w:t>
      </w:r>
    </w:p>
    <w:p>
      <w:pPr>
        <w:spacing w:after="0" w:line="339" w:lineRule="exact"/>
        <w:rPr>
          <w:rFonts w:ascii="Arial" w:cs="Arial" w:eastAsia="Arial" w:hAnsi="Arial"/>
          <w:sz w:val="16"/>
          <w:szCs w:val="16"/>
          <w:color w:val="auto"/>
        </w:rPr>
      </w:pPr>
    </w:p>
    <w:p>
      <w:pPr>
        <w:ind w:left="2440" w:hanging="163"/>
        <w:spacing w:after="0" w:line="342" w:lineRule="auto"/>
        <w:tabs>
          <w:tab w:leader="none" w:pos="2602" w:val="left"/>
        </w:tabs>
        <w:numPr>
          <w:ilvl w:val="2"/>
          <w:numId w:val="29"/>
        </w:numPr>
        <w:rPr>
          <w:rFonts w:ascii="Arial" w:cs="Arial" w:eastAsia="Arial" w:hAnsi="Arial"/>
          <w:sz w:val="16"/>
          <w:szCs w:val="16"/>
          <w:color w:val="auto"/>
        </w:rPr>
      </w:pPr>
      <w:r>
        <w:rPr>
          <w:rFonts w:ascii="Arial" w:cs="Arial" w:eastAsia="Arial" w:hAnsi="Arial"/>
          <w:sz w:val="16"/>
          <w:szCs w:val="16"/>
          <w:color w:val="auto"/>
        </w:rPr>
        <w:t>in clause (b) of such Section, inserting the words "or such later date as may be agreed to by the Administrative Agent in its reasonable discretion" immediately following each reference to "days after such acquisition" contained therein; and</w:t>
      </w:r>
    </w:p>
    <w:p>
      <w:pPr>
        <w:spacing w:after="0" w:line="339" w:lineRule="exact"/>
        <w:rPr>
          <w:rFonts w:ascii="Arial" w:cs="Arial" w:eastAsia="Arial" w:hAnsi="Arial"/>
          <w:sz w:val="16"/>
          <w:szCs w:val="16"/>
          <w:color w:val="auto"/>
        </w:rPr>
      </w:pPr>
    </w:p>
    <w:p>
      <w:pPr>
        <w:ind w:left="2480" w:hanging="203"/>
        <w:spacing w:after="0" w:line="277" w:lineRule="auto"/>
        <w:tabs>
          <w:tab w:leader="none" w:pos="2642" w:val="left"/>
        </w:tabs>
        <w:numPr>
          <w:ilvl w:val="2"/>
          <w:numId w:val="29"/>
        </w:numPr>
        <w:rPr>
          <w:rFonts w:ascii="Arial" w:cs="Arial" w:eastAsia="Arial" w:hAnsi="Arial"/>
          <w:sz w:val="18"/>
          <w:szCs w:val="18"/>
          <w:color w:val="auto"/>
        </w:rPr>
      </w:pPr>
      <w:r>
        <w:rPr>
          <w:rFonts w:ascii="Arial" w:cs="Arial" w:eastAsia="Arial" w:hAnsi="Arial"/>
          <w:sz w:val="18"/>
          <w:szCs w:val="18"/>
          <w:color w:val="auto"/>
        </w:rPr>
        <w:t>in clause (d) of such Section, deleting the text "thirty (30) days" contained therein and inserting in lieu thereof the text "forty-five (45) days";</w:t>
      </w:r>
    </w:p>
    <w:p>
      <w:pPr>
        <w:spacing w:after="0" w:line="386" w:lineRule="exact"/>
        <w:rPr>
          <w:rFonts w:ascii="Arial" w:cs="Arial" w:eastAsia="Arial" w:hAnsi="Arial"/>
          <w:sz w:val="18"/>
          <w:szCs w:val="18"/>
          <w:color w:val="auto"/>
        </w:rPr>
      </w:pPr>
    </w:p>
    <w:p>
      <w:pPr>
        <w:ind w:left="1140" w:hanging="484"/>
        <w:spacing w:after="0"/>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Section 7.02 (Investments) of the Credit Agreement is hereby amended and modified by:</w:t>
      </w:r>
    </w:p>
    <w:p>
      <w:pPr>
        <w:spacing w:after="0" w:line="23" w:lineRule="exact"/>
        <w:rPr>
          <w:rFonts w:ascii="Arial" w:cs="Arial" w:eastAsia="Arial" w:hAnsi="Arial"/>
          <w:sz w:val="18"/>
          <w:szCs w:val="18"/>
          <w:color w:val="auto"/>
        </w:rPr>
      </w:pPr>
    </w:p>
    <w:p>
      <w:pPr>
        <w:ind w:left="2440" w:hanging="163"/>
        <w:spacing w:after="0" w:line="290" w:lineRule="auto"/>
        <w:tabs>
          <w:tab w:leader="none" w:pos="2440" w:val="left"/>
        </w:tabs>
        <w:numPr>
          <w:ilvl w:val="2"/>
          <w:numId w:val="29"/>
        </w:numPr>
        <w:rPr>
          <w:rFonts w:ascii="Arial" w:cs="Arial" w:eastAsia="Arial" w:hAnsi="Arial"/>
          <w:sz w:val="17"/>
          <w:szCs w:val="17"/>
          <w:color w:val="auto"/>
        </w:rPr>
      </w:pPr>
      <w:r>
        <w:rPr>
          <w:rFonts w:ascii="Arial" w:cs="Arial" w:eastAsia="Arial" w:hAnsi="Arial"/>
          <w:sz w:val="17"/>
          <w:szCs w:val="17"/>
          <w:color w:val="auto"/>
        </w:rPr>
        <w:t xml:space="preserve">deleting the ratio "3.25 to 1.00" appearing in clause (iv)(B)(I) of Section 7.02(g), and inserting in lieu thereof the text "the maximum Consolidated Leverage Ratio otherwise permitted under </w:t>
      </w:r>
      <w:r>
        <w:rPr>
          <w:rFonts w:ascii="Arial" w:cs="Arial" w:eastAsia="Arial" w:hAnsi="Arial"/>
          <w:sz w:val="17"/>
          <w:szCs w:val="17"/>
          <w:u w:val="single" w:color="auto"/>
          <w:color w:val="auto"/>
        </w:rPr>
        <w:t>Section 7.11(b)</w:t>
      </w:r>
      <w:r>
        <w:rPr>
          <w:rFonts w:ascii="Arial" w:cs="Arial" w:eastAsia="Arial" w:hAnsi="Arial"/>
          <w:sz w:val="17"/>
          <w:szCs w:val="17"/>
          <w:color w:val="auto"/>
        </w:rPr>
        <w:t xml:space="preserve"> at such time </w:t>
      </w:r>
      <w:r>
        <w:rPr>
          <w:rFonts w:ascii="Arial" w:cs="Arial" w:eastAsia="Arial" w:hAnsi="Arial"/>
          <w:sz w:val="17"/>
          <w:szCs w:val="17"/>
          <w:i w:val="1"/>
          <w:iCs w:val="1"/>
          <w:color w:val="auto"/>
        </w:rPr>
        <w:t>less</w:t>
      </w:r>
      <w:r>
        <w:rPr>
          <w:rFonts w:ascii="Arial" w:cs="Arial" w:eastAsia="Arial" w:hAnsi="Arial"/>
          <w:sz w:val="17"/>
          <w:szCs w:val="17"/>
          <w:color w:val="auto"/>
        </w:rPr>
        <w:t xml:space="preserve"> .25";</w:t>
      </w:r>
    </w:p>
    <w:p>
      <w:pPr>
        <w:spacing w:after="0" w:line="377" w:lineRule="exact"/>
        <w:rPr>
          <w:rFonts w:ascii="Arial" w:cs="Arial" w:eastAsia="Arial" w:hAnsi="Arial"/>
          <w:sz w:val="17"/>
          <w:szCs w:val="17"/>
          <w:color w:val="auto"/>
        </w:rPr>
      </w:pPr>
    </w:p>
    <w:p>
      <w:pPr>
        <w:ind w:left="2440" w:hanging="163"/>
        <w:spacing w:after="0" w:line="277" w:lineRule="auto"/>
        <w:tabs>
          <w:tab w:leader="none" w:pos="2602" w:val="left"/>
        </w:tabs>
        <w:numPr>
          <w:ilvl w:val="2"/>
          <w:numId w:val="29"/>
        </w:numPr>
        <w:rPr>
          <w:rFonts w:ascii="Arial" w:cs="Arial" w:eastAsia="Arial" w:hAnsi="Arial"/>
          <w:sz w:val="18"/>
          <w:szCs w:val="18"/>
          <w:color w:val="auto"/>
        </w:rPr>
      </w:pPr>
      <w:r>
        <w:rPr>
          <w:rFonts w:ascii="Arial" w:cs="Arial" w:eastAsia="Arial" w:hAnsi="Arial"/>
          <w:sz w:val="18"/>
          <w:szCs w:val="18"/>
          <w:color w:val="auto"/>
        </w:rPr>
        <w:t>deleting the amount "$50,000,000" appearing in clause (v) of Section 7.02(g), and inserting in lieu thereof the amount "$75,000,000"; and</w:t>
      </w:r>
    </w:p>
    <w:p>
      <w:pPr>
        <w:spacing w:after="0" w:line="386" w:lineRule="exact"/>
        <w:rPr>
          <w:rFonts w:ascii="Arial" w:cs="Arial" w:eastAsia="Arial" w:hAnsi="Arial"/>
          <w:sz w:val="18"/>
          <w:szCs w:val="18"/>
          <w:color w:val="auto"/>
        </w:rPr>
      </w:pPr>
    </w:p>
    <w:p>
      <w:pPr>
        <w:ind w:left="2480" w:hanging="203"/>
        <w:spacing w:after="0" w:line="277" w:lineRule="auto"/>
        <w:tabs>
          <w:tab w:leader="none" w:pos="2642" w:val="left"/>
        </w:tabs>
        <w:numPr>
          <w:ilvl w:val="2"/>
          <w:numId w:val="29"/>
        </w:numPr>
        <w:rPr>
          <w:rFonts w:ascii="Arial" w:cs="Arial" w:eastAsia="Arial" w:hAnsi="Arial"/>
          <w:sz w:val="18"/>
          <w:szCs w:val="18"/>
          <w:color w:val="auto"/>
        </w:rPr>
      </w:pPr>
      <w:r>
        <w:rPr>
          <w:rFonts w:ascii="Arial" w:cs="Arial" w:eastAsia="Arial" w:hAnsi="Arial"/>
          <w:sz w:val="18"/>
          <w:szCs w:val="18"/>
          <w:color w:val="auto"/>
        </w:rPr>
        <w:t>deleting the reference to the "31st day" appearing in the parenthetical contained in clause (vii) of Section 7.02(h), and inserting in lieu thereof a reference to the "90th day".</w:t>
      </w:r>
    </w:p>
    <w:p>
      <w:pPr>
        <w:spacing w:after="0" w:line="386" w:lineRule="exact"/>
        <w:rPr>
          <w:rFonts w:ascii="Arial" w:cs="Arial" w:eastAsia="Arial" w:hAnsi="Arial"/>
          <w:sz w:val="18"/>
          <w:szCs w:val="18"/>
          <w:color w:val="auto"/>
        </w:rPr>
      </w:pPr>
    </w:p>
    <w:p>
      <w:pPr>
        <w:ind w:right="60" w:firstLine="656"/>
        <w:spacing w:after="0" w:line="258" w:lineRule="auto"/>
        <w:tabs>
          <w:tab w:leader="none" w:pos="11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Section 7.11(Financial Covenants) of the Credit Agreement is hereby amended and modified by restating Sections 7.11(b) and 7.11(d) in their entirety as follows:</w:t>
      </w:r>
    </w:p>
    <w:p>
      <w:pPr>
        <w:spacing w:after="0" w:line="1" w:lineRule="exact"/>
        <w:rPr>
          <w:rFonts w:ascii="Arial" w:cs="Arial" w:eastAsia="Arial" w:hAnsi="Arial"/>
          <w:sz w:val="18"/>
          <w:szCs w:val="18"/>
          <w:color w:val="auto"/>
        </w:rPr>
      </w:pPr>
    </w:p>
    <w:p>
      <w:pPr>
        <w:jc w:val="both"/>
        <w:ind w:left="130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Permit the Consolidated Leverage Ratio as of (i) the last day of each Measurement Period of the Borrower ending on or prior to September 30, 2014 to be greater than 4.00 to 1.00, (ii) the last day of the Measurement Period of the Borrower ending on December 31, 2014 to be greater than 3.75 to 1.00 and (iii) the last day of each Measurement Period of the Borrower occurring thereafter to be greater than 3.50 to 1.00."</w:t>
      </w:r>
    </w:p>
    <w:p>
      <w:pPr>
        <w:spacing w:after="0" w:line="190"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Minimum Liquidity</w:t>
      </w:r>
      <w:r>
        <w:rPr>
          <w:rFonts w:ascii="Arial" w:cs="Arial" w:eastAsia="Arial" w:hAnsi="Arial"/>
          <w:sz w:val="17"/>
          <w:szCs w:val="17"/>
          <w:color w:val="auto"/>
        </w:rPr>
        <w:t xml:space="preserve">. Permit Liquidity at any time to be less than $50,000,000,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"Liquidity" shall be deemed to include, for the purposes of this </w:t>
      </w:r>
      <w:r>
        <w:rPr>
          <w:rFonts w:ascii="Arial" w:cs="Arial" w:eastAsia="Arial" w:hAnsi="Arial"/>
          <w:sz w:val="17"/>
          <w:szCs w:val="17"/>
          <w:u w:val="single" w:color="auto"/>
          <w:color w:val="auto"/>
        </w:rPr>
        <w:t>Section 7.11(d)</w:t>
      </w:r>
      <w:r>
        <w:rPr>
          <w:rFonts w:ascii="Arial" w:cs="Arial" w:eastAsia="Arial" w:hAnsi="Arial"/>
          <w:sz w:val="17"/>
          <w:szCs w:val="17"/>
          <w:color w:val="auto"/>
        </w:rPr>
        <w:t xml:space="preserve">, an aggregate amount not to exceed $40,000,000 of Target Cash for up to 30 days following the Target Acquisition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such 30-day period, as soon as is commercially reasonable but no later than the 90th day following the Target Acquisition Closing Date, the Loan Parties shall cause the distribution to the Borrower of the Target Cash Distribution Amount. For the avoidance of doubt, the minimum Liquidity set forth in this </w:t>
      </w:r>
      <w:r>
        <w:rPr>
          <w:rFonts w:ascii="Arial" w:cs="Arial" w:eastAsia="Arial" w:hAnsi="Arial"/>
          <w:sz w:val="17"/>
          <w:szCs w:val="17"/>
          <w:u w:val="single" w:color="auto"/>
          <w:color w:val="auto"/>
        </w:rPr>
        <w:t>Section 7.11(d)</w:t>
      </w:r>
      <w:r>
        <w:rPr>
          <w:rFonts w:ascii="Arial" w:cs="Arial" w:eastAsia="Arial" w:hAnsi="Arial"/>
          <w:sz w:val="17"/>
          <w:szCs w:val="17"/>
          <w:color w:val="auto"/>
        </w:rPr>
        <w:t xml:space="preserve"> shall be required to be maintained by the Loan Parties at all times and shall be reported concurrently with the delivery of the financial statements referred to in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as otherwise provided herein."</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u w:val="single" w:color="auto"/>
          <w:color w:val="auto"/>
        </w:rPr>
        <w:t>Section 2. Conditions Precedent</w:t>
      </w:r>
      <w:r>
        <w:rPr>
          <w:rFonts w:ascii="Arial" w:cs="Arial" w:eastAsia="Arial" w:hAnsi="Arial"/>
          <w:sz w:val="18"/>
          <w:szCs w:val="18"/>
          <w:color w:val="auto"/>
        </w:rPr>
        <w:t>. This Amendment shall become effective as of the date first written above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upon the satisfaction of the following conditions precedent:</w:t>
      </w:r>
    </w:p>
    <w:p>
      <w:pPr>
        <w:spacing w:after="0" w:line="170" w:lineRule="exact"/>
        <w:rPr>
          <w:sz w:val="20"/>
          <w:szCs w:val="20"/>
          <w:color w:val="auto"/>
        </w:rPr>
      </w:pPr>
    </w:p>
    <w:p>
      <w:pPr>
        <w:ind w:left="1140" w:hanging="484"/>
        <w:spacing w:after="0"/>
        <w:tabs>
          <w:tab w:leader="none" w:pos="114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Documentation</w:t>
      </w:r>
      <w:r>
        <w:rPr>
          <w:rFonts w:ascii="Arial" w:cs="Arial" w:eastAsia="Arial" w:hAnsi="Arial"/>
          <w:sz w:val="17"/>
          <w:szCs w:val="17"/>
          <w:color w:val="auto"/>
        </w:rPr>
        <w:t>. Administrative Agent shall have received all of the following, in form and substance satisfactory to Administrative Agent:</w:t>
      </w:r>
    </w:p>
    <w:p>
      <w:pPr>
        <w:spacing w:after="0" w:line="236" w:lineRule="exact"/>
        <w:rPr>
          <w:rFonts w:ascii="Arial" w:cs="Arial" w:eastAsia="Arial" w:hAnsi="Arial"/>
          <w:sz w:val="17"/>
          <w:szCs w:val="17"/>
          <w:color w:val="auto"/>
        </w:rPr>
      </w:pPr>
    </w:p>
    <w:p>
      <w:pPr>
        <w:ind w:left="2120" w:hanging="815"/>
        <w:spacing w:after="0"/>
        <w:tabs>
          <w:tab w:leader="none" w:pos="21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 fully-executed and effective Amendment executed by the Borrower, the Guarantors, the Administrative Agent and the</w:t>
      </w:r>
    </w:p>
    <w:p>
      <w:pPr>
        <w:sectPr>
          <w:pgSz w:w="11900" w:h="16838" w:orient="portrait"/>
          <w:cols w:equalWidth="0" w:num="1">
            <w:col w:w="11420"/>
          </w:cols>
          <w:pgMar w:left="240" w:top="121" w:right="239" w:bottom="0" w:gutter="0" w:footer="0" w:header="0"/>
        </w:sectPr>
      </w:pPr>
    </w:p>
    <w:bookmarkStart w:id="37" w:name="page38"/>
    <w:bookmarkEnd w:id="37"/>
    <w:p>
      <w:pPr>
        <w:ind w:left="1480"/>
        <w:spacing w:after="0"/>
        <w:rPr>
          <w:sz w:val="20"/>
          <w:szCs w:val="20"/>
          <w:color w:val="auto"/>
        </w:rPr>
      </w:pPr>
      <w:r>
        <w:rPr>
          <w:rFonts w:ascii="Arial" w:cs="Arial" w:eastAsia="Arial" w:hAnsi="Arial"/>
          <w:sz w:val="18"/>
          <w:szCs w:val="18"/>
          <w:color w:val="auto"/>
        </w:rPr>
        <w:t>Required Lenders; and</w:t>
      </w:r>
    </w:p>
    <w:p>
      <w:pPr>
        <w:spacing w:after="0" w:line="200" w:lineRule="exact"/>
        <w:rPr>
          <w:sz w:val="20"/>
          <w:szCs w:val="20"/>
          <w:color w:val="auto"/>
        </w:rPr>
      </w:pPr>
    </w:p>
    <w:p>
      <w:pPr>
        <w:spacing w:after="0" w:line="241" w:lineRule="exact"/>
        <w:rPr>
          <w:sz w:val="20"/>
          <w:szCs w:val="20"/>
          <w:color w:val="auto"/>
        </w:rPr>
      </w:pPr>
    </w:p>
    <w:p>
      <w:pPr>
        <w:ind w:left="1540" w:hanging="235"/>
        <w:spacing w:after="0" w:line="277" w:lineRule="auto"/>
        <w:tabs>
          <w:tab w:leader="none" w:pos="2188" w:val="left"/>
        </w:tabs>
        <w:numPr>
          <w:ilvl w:val="1"/>
          <w:numId w:val="31"/>
        </w:numPr>
        <w:rPr>
          <w:rFonts w:ascii="Arial" w:cs="Arial" w:eastAsia="Arial" w:hAnsi="Arial"/>
          <w:sz w:val="18"/>
          <w:szCs w:val="18"/>
          <w:color w:val="auto"/>
        </w:rPr>
      </w:pPr>
      <w:r>
        <w:rPr>
          <w:rFonts w:ascii="Arial" w:cs="Arial" w:eastAsia="Arial" w:hAnsi="Arial"/>
          <w:sz w:val="18"/>
          <w:szCs w:val="18"/>
          <w:color w:val="auto"/>
        </w:rPr>
        <w:t>such additional documents, instruments and information as Administrative Agent may reasonably request to effect the transactions contemplated hereby.</w:t>
      </w:r>
    </w:p>
    <w:p>
      <w:pPr>
        <w:spacing w:after="0" w:line="386" w:lineRule="exact"/>
        <w:rPr>
          <w:rFonts w:ascii="Arial" w:cs="Arial" w:eastAsia="Arial" w:hAnsi="Arial"/>
          <w:sz w:val="18"/>
          <w:szCs w:val="18"/>
          <w:color w:val="auto"/>
        </w:rPr>
      </w:pPr>
    </w:p>
    <w:p>
      <w:pPr>
        <w:ind w:firstLine="656"/>
        <w:spacing w:after="0" w:line="277" w:lineRule="auto"/>
        <w:tabs>
          <w:tab w:leader="none" w:pos="127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On the Effective Date and after giving effect to this Amendment, no event shall have occurred and be continuing that would constitute a Default or an Event of Default.</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Representations and Warranties; Reaffirmation of Grant</w:t>
      </w:r>
      <w:r>
        <w:rPr>
          <w:rFonts w:ascii="Arial" w:cs="Arial" w:eastAsia="Arial" w:hAnsi="Arial"/>
          <w:sz w:val="17"/>
          <w:szCs w:val="17"/>
          <w:color w:val="auto"/>
        </w:rPr>
        <w:t xml:space="preserve">. Each Loan Party hereby represents and warrants to the Administrative Agent and the Lenders that, as of the date hereof and after giving effect to this Amendment: (a) all representations and warranties of the Borrower and each other Loan Party set forth in the Credit Agreement and in any other Loan Document are true and correct in all material respects (except that such materiality qualifier shall not be applicable to any representations and warranties that already are qualified or modified by materiality in the text thereof) on and as of the date hereof, except to the extent such representations and warranties specifically relate to an earlier date, in which case such representations and warranties shall have been true and correct in all material respects as of such earlier date (except that such materiality qualifier shall not be applicable to any representations and warranties that already are qualified or modified by materiality in the text thereof), (b) no Default or Event of Default has occurred and is continuing, (c) the Credit Agreement and all other Loan Documents are and remain legally valid, binding obligations of the Loan Parties party thereto, enforceable against each such Loan Party in accordance with their respective terms, subject to bankruptcy, insolvency, reorganization, moratorium and other laws applicable to creditors' rights generally and subject to general principles of equity, and (d) the provisions of the Collateral Documents to which such Loan Party is a party are effective to create in favor of the Administrative Agent for the benefit of the Secured Parties a legal, valid and enforceable first priority Lien (subject only to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of the Credit Agreement) on all right, title and interest of the respective Loan Parties in the Collateral described therein do and shall continue to secure the payment of all Obligations as set forth in such respective Collateral Documents. Each Loan Party hereby reaffirms its grant of a security interest in the Collateral to the Administrative Agent for the benefit of the Secured Parties, as security for the payment and performance in full of the Obligations.</w:t>
      </w:r>
    </w:p>
    <w:p>
      <w:pPr>
        <w:spacing w:after="0" w:line="2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in this Amendment or any other Loan Document shall survive the execution and delivery of this Amendment, and no investigation by the Administrative Agent or the Lenders shall affect the representations and warranties or the right of the Administrative Agent and the Lenders to rely upon them.</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Amendment as Loan Document</w:t>
      </w:r>
      <w:r>
        <w:rPr>
          <w:rFonts w:ascii="Arial" w:cs="Arial" w:eastAsia="Arial" w:hAnsi="Arial"/>
          <w:sz w:val="17"/>
          <w:szCs w:val="17"/>
          <w:color w:val="auto"/>
        </w:rPr>
        <w:t>. This Amendment constitutes a "Loan Document" under the Credit Agreement. Accordingly, it shall be an immediate Event of Default under the Credit Agreement if any representation, warranty, certification or statement of fact made by any Loan Party under or in connection with this Amendment shall have been incorrect or misleading in any material respect when made or deemed made.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The Borrower shall pay not later than ten (10) Business Days after demand all reasonable out-of-pocket costs and expenses of the Administrative Agent (including the reasonable fees, charges and disbursements of counsel to the Administrative Agent) incurred in connection with the preparation, negotiation, execution and delivery of this Amendment, in each case, in accordance with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of the Credit Agreement.</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Execution</w:t>
      </w:r>
      <w:r>
        <w:rPr>
          <w:rFonts w:ascii="Arial" w:cs="Arial" w:eastAsia="Arial" w:hAnsi="Arial"/>
          <w:sz w:val="18"/>
          <w:szCs w:val="18"/>
          <w:color w:val="auto"/>
        </w:rPr>
        <w:t>. This Amendment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Amendment by telecopier (or electronic mail (including in PDF format)) shall be effective as delivery of a manually executed counterpart of this Amendment.</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Limited Effect</w:t>
      </w:r>
      <w:r>
        <w:rPr>
          <w:rFonts w:ascii="Arial" w:cs="Arial" w:eastAsia="Arial" w:hAnsi="Arial"/>
          <w:sz w:val="18"/>
          <w:szCs w:val="18"/>
          <w:color w:val="auto"/>
        </w:rPr>
        <w:t>. This Amendment relates only to the specific matters expressly covered herein, shall not be considered to be an amendment or waiver of any rights or remedies that the Administrative Agent or any Lender may have under the Credit Agreement or under any other Loan Document (in each case, except as expressly set forth herein) or under Law, and shall not be considered to create a course of dealing or to otherwise obligate in any respect the Administrative Agent or any Lender to execute similar or other amendments or waivers or grant any amendments or waivers under the same or similar or other circumstances in the future.</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Ratification by Guarantors</w:t>
      </w:r>
      <w:r>
        <w:rPr>
          <w:rFonts w:ascii="Arial" w:cs="Arial" w:eastAsia="Arial" w:hAnsi="Arial"/>
          <w:sz w:val="18"/>
          <w:szCs w:val="18"/>
          <w:color w:val="auto"/>
        </w:rPr>
        <w:t xml:space="preserve">. Each of the Guarantors acknowledges that its consent to this Amendment is not required, but each of the undersigned nevertheless does hereby agree and consent to this Amendment and to the documents and agreements referred to herein. Each of the Guarantors agrees and acknowledges that (i) notwithstanding the effectiveness of this Amendment, such Guarantor's Guaranty shall remain in full force and effect without modification thereto and (ii) nothing herein shall in any way limit any of the terms or provisions of such Guarantor's Guaranty or any other Loan Document executed by such Guarantor (as the same may be amended from time to time), all of which are hereby ratified, confirmed and affirmed in all respects. Each of the Guarantors hereby agrees and acknowledges that no other agreement, instrument, consent or document shall be required to give effect to this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Amendment to be executed and delivered as of the date first above written.</w:t>
      </w:r>
    </w:p>
    <w:p>
      <w:pPr>
        <w:sectPr>
          <w:pgSz w:w="11900" w:h="16838" w:orient="portrait"/>
          <w:cols w:equalWidth="0" w:num="1">
            <w:col w:w="10040"/>
          </w:cols>
          <w:pgMar w:left="900" w:top="121" w:right="959" w:bottom="1440" w:gutter="0" w:footer="0" w:header="0"/>
        </w:sectPr>
      </w:pPr>
    </w:p>
    <w:p>
      <w:pPr>
        <w:spacing w:after="0" w:line="248" w:lineRule="exact"/>
        <w:rPr>
          <w:sz w:val="20"/>
          <w:szCs w:val="20"/>
          <w:color w:val="auto"/>
        </w:rPr>
      </w:pPr>
    </w:p>
    <w:p>
      <w:pPr>
        <w:ind w:left="3240"/>
        <w:spacing w:after="0"/>
        <w:rPr>
          <w:sz w:val="20"/>
          <w:szCs w:val="20"/>
          <w:color w:val="auto"/>
        </w:rPr>
      </w:pP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EMERGENT BIOSOLUTIONS INC.</w:t>
      </w:r>
    </w:p>
    <w:p>
      <w:pPr>
        <w:spacing w:after="0" w:line="200" w:lineRule="exact"/>
        <w:rPr>
          <w:sz w:val="20"/>
          <w:szCs w:val="20"/>
          <w:color w:val="auto"/>
        </w:rPr>
      </w:pPr>
    </w:p>
    <w:p>
      <w:pPr>
        <w:spacing w:after="0" w:line="299"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18"/>
          <w:szCs w:val="18"/>
          <w:color w:val="auto"/>
        </w:rPr>
        <w:t>By:</w:t>
        <w:tab/>
        <w:t>/s/ ROBERT G.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-10160</wp:posOffset>
            </wp:positionV>
            <wp:extent cx="1294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3"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18"/>
          <w:szCs w:val="18"/>
          <w:color w:val="auto"/>
        </w:rPr>
        <w:t>Name:</w:t>
        <w:tab/>
        <w:t>Robert G. Kramer</w:t>
      </w:r>
    </w:p>
    <w:p>
      <w:pPr>
        <w:spacing w:after="0" w:line="9"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18"/>
          <w:szCs w:val="18"/>
          <w:color w:val="auto"/>
        </w:rPr>
        <w:t>Title:</w:t>
        <w:tab/>
        <w:t>Chief Financial Officer</w:t>
      </w:r>
    </w:p>
    <w:p>
      <w:pPr>
        <w:spacing w:after="0" w:line="234" w:lineRule="exact"/>
        <w:rPr>
          <w:sz w:val="20"/>
          <w:szCs w:val="20"/>
          <w:color w:val="auto"/>
        </w:rPr>
      </w:pPr>
    </w:p>
    <w:p>
      <w:pPr>
        <w:ind w:left="3240"/>
        <w:spacing w:after="0"/>
        <w:rPr>
          <w:sz w:val="20"/>
          <w:szCs w:val="20"/>
          <w:color w:val="auto"/>
        </w:rPr>
      </w:pPr>
      <w:r>
        <w:rPr>
          <w:rFonts w:ascii="Arial" w:cs="Arial" w:eastAsia="Arial" w:hAnsi="Arial"/>
          <w:sz w:val="18"/>
          <w:szCs w:val="18"/>
          <w:b w:val="1"/>
          <w:bCs w:val="1"/>
          <w:u w:val="single" w:color="auto"/>
          <w:color w:val="auto"/>
        </w:rPr>
        <w:t>GUARANTORS</w:t>
      </w:r>
      <w:r>
        <w:rPr>
          <w:rFonts w:ascii="Arial" w:cs="Arial" w:eastAsia="Arial" w:hAnsi="Arial"/>
          <w:sz w:val="18"/>
          <w:szCs w:val="18"/>
          <w:b w:val="1"/>
          <w:bCs w:val="1"/>
          <w:color w:val="auto"/>
        </w:rPr>
        <w:t>:</w:t>
      </w:r>
    </w:p>
    <w:p>
      <w:pPr>
        <w:spacing w:after="0" w:line="225" w:lineRule="exact"/>
        <w:rPr>
          <w:sz w:val="20"/>
          <w:szCs w:val="20"/>
          <w:color w:val="auto"/>
        </w:rPr>
      </w:pPr>
    </w:p>
    <w:p>
      <w:pPr>
        <w:ind w:left="3240" w:right="1520"/>
        <w:spacing w:after="0" w:line="532" w:lineRule="auto"/>
        <w:rPr>
          <w:sz w:val="20"/>
          <w:szCs w:val="20"/>
          <w:color w:val="auto"/>
        </w:rPr>
      </w:pPr>
      <w:r>
        <w:rPr>
          <w:rFonts w:ascii="Arial" w:cs="Arial" w:eastAsia="Arial" w:hAnsi="Arial"/>
          <w:sz w:val="18"/>
          <w:szCs w:val="18"/>
          <w:b w:val="1"/>
          <w:bCs w:val="1"/>
          <w:color w:val="auto"/>
        </w:rPr>
        <w:t>EMERGENT BIODEFENSE OPERATIONS LANSING LLC EMERGENT MANUFACTURING OPERATIONS MERIDEN LLC EMERGENT COMMERCIAL OPERATIONS FREDERICK INC. EMERGENT INTERNATIONAL INC.</w:t>
      </w:r>
    </w:p>
    <w:p>
      <w:pPr>
        <w:spacing w:after="0" w:line="1" w:lineRule="exact"/>
        <w:rPr>
          <w:sz w:val="20"/>
          <w:szCs w:val="20"/>
          <w:color w:val="auto"/>
        </w:rPr>
      </w:pPr>
    </w:p>
    <w:p>
      <w:pPr>
        <w:ind w:left="3240" w:right="1420"/>
        <w:spacing w:after="0" w:line="532" w:lineRule="auto"/>
        <w:rPr>
          <w:sz w:val="20"/>
          <w:szCs w:val="20"/>
          <w:color w:val="auto"/>
        </w:rPr>
      </w:pPr>
      <w:r>
        <w:rPr>
          <w:rFonts w:ascii="Arial" w:cs="Arial" w:eastAsia="Arial" w:hAnsi="Arial"/>
          <w:sz w:val="18"/>
          <w:szCs w:val="18"/>
          <w:b w:val="1"/>
          <w:bCs w:val="1"/>
          <w:color w:val="auto"/>
        </w:rPr>
        <w:t>EMERGENT PRODUCT DEVELOPMENT GAITHERSBURG INC. EMERGENT PRODUCT DEVELOPMENT SEATTLE, LLC EMERGENT EUROPE INC.</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EMERGENT PROTECTIVE PRODUCTS USA INC.</w:t>
      </w:r>
    </w:p>
    <w:p>
      <w:pPr>
        <w:spacing w:after="0" w:line="200" w:lineRule="exact"/>
        <w:rPr>
          <w:sz w:val="20"/>
          <w:szCs w:val="20"/>
          <w:color w:val="auto"/>
        </w:rPr>
      </w:pPr>
    </w:p>
    <w:p>
      <w:pPr>
        <w:spacing w:after="0" w:line="299"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18"/>
          <w:szCs w:val="18"/>
          <w:color w:val="auto"/>
        </w:rPr>
        <w:t>By:</w:t>
        <w:tab/>
        <w:t>/s/ ROBERT G.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-10160</wp:posOffset>
            </wp:positionV>
            <wp:extent cx="1294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3" w:lineRule="exact"/>
        <w:rPr>
          <w:sz w:val="20"/>
          <w:szCs w:val="20"/>
          <w:color w:val="auto"/>
        </w:rPr>
      </w:pPr>
    </w:p>
    <w:p>
      <w:pPr>
        <w:ind w:left="3240"/>
        <w:spacing w:after="0"/>
        <w:tabs>
          <w:tab w:leader="none" w:pos="3920" w:val="left"/>
        </w:tabs>
        <w:rPr>
          <w:sz w:val="20"/>
          <w:szCs w:val="20"/>
          <w:color w:val="auto"/>
        </w:rPr>
      </w:pPr>
      <w:r>
        <w:rPr>
          <w:rFonts w:ascii="Arial" w:cs="Arial" w:eastAsia="Arial" w:hAnsi="Arial"/>
          <w:sz w:val="18"/>
          <w:szCs w:val="18"/>
          <w:color w:val="auto"/>
        </w:rPr>
        <w:t>Name:</w:t>
        <w:tab/>
        <w:t>Robert G. Kramer</w:t>
      </w:r>
    </w:p>
    <w:p>
      <w:pPr>
        <w:spacing w:after="0" w:line="9"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18"/>
          <w:szCs w:val="18"/>
          <w:color w:val="auto"/>
        </w:rPr>
        <w:t>Title:</w:t>
        <w:tab/>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271780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40"/>
          </w:cols>
          <w:pgMar w:left="900" w:top="121" w:right="959" w:bottom="1440" w:gutter="0" w:footer="0" w:header="0"/>
          <w:type w:val="continuous"/>
        </w:sectPr>
      </w:pPr>
    </w:p>
    <w:bookmarkStart w:id="39" w:name="page40"/>
    <w:bookmarkEnd w:id="39"/>
    <w:p>
      <w:pPr>
        <w:ind w:left="2700"/>
        <w:spacing w:after="0"/>
        <w:rPr>
          <w:sz w:val="20"/>
          <w:szCs w:val="20"/>
          <w:color w:val="auto"/>
        </w:rPr>
      </w:pPr>
      <w:r>
        <w:rPr>
          <w:rFonts w:ascii="Arial" w:cs="Arial" w:eastAsia="Arial" w:hAnsi="Arial"/>
          <w:sz w:val="18"/>
          <w:szCs w:val="18"/>
          <w:b w:val="1"/>
          <w:bCs w:val="1"/>
          <w:u w:val="single" w:color="auto"/>
          <w:color w:val="auto"/>
        </w:rPr>
        <w:t>GUARANTORS (cont'd)</w:t>
      </w:r>
      <w:r>
        <w:rPr>
          <w:rFonts w:ascii="Arial" w:cs="Arial" w:eastAsia="Arial" w:hAnsi="Arial"/>
          <w:sz w:val="18"/>
          <w:szCs w:val="18"/>
          <w:color w:val="auto"/>
        </w:rPr>
        <w:t>:</w:t>
      </w:r>
    </w:p>
    <w:p>
      <w:pPr>
        <w:spacing w:after="0" w:line="252"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EMERGENT FREDERICK LLC</w:t>
      </w:r>
    </w:p>
    <w:p>
      <w:pPr>
        <w:spacing w:after="0" w:line="252"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EMERGENT MANUFACTURING OPERATIONS BALTIMORE LLC</w:t>
      </w:r>
    </w:p>
    <w:p>
      <w:pPr>
        <w:spacing w:after="0" w:line="252"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EMERGENT SALES AND MARKETING US LLC</w:t>
      </w:r>
    </w:p>
    <w:p>
      <w:pPr>
        <w:spacing w:after="0" w:line="200" w:lineRule="exact"/>
        <w:rPr>
          <w:sz w:val="20"/>
          <w:szCs w:val="20"/>
          <w:color w:val="auto"/>
        </w:rPr>
      </w:pPr>
    </w:p>
    <w:p>
      <w:pPr>
        <w:spacing w:after="0" w:line="299"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18"/>
          <w:szCs w:val="18"/>
          <w:color w:val="auto"/>
        </w:rPr>
        <w:t>By:</w:t>
        <w:tab/>
        <w:t>/s/ ROBERT G.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294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3" w:lineRule="exact"/>
        <w:rPr>
          <w:sz w:val="20"/>
          <w:szCs w:val="20"/>
          <w:color w:val="auto"/>
        </w:rPr>
      </w:pPr>
    </w:p>
    <w:p>
      <w:pPr>
        <w:ind w:left="2700"/>
        <w:spacing w:after="0"/>
        <w:tabs>
          <w:tab w:leader="none" w:pos="3380" w:val="left"/>
        </w:tabs>
        <w:rPr>
          <w:sz w:val="20"/>
          <w:szCs w:val="20"/>
          <w:color w:val="auto"/>
        </w:rPr>
      </w:pPr>
      <w:r>
        <w:rPr>
          <w:rFonts w:ascii="Arial" w:cs="Arial" w:eastAsia="Arial" w:hAnsi="Arial"/>
          <w:sz w:val="18"/>
          <w:szCs w:val="18"/>
          <w:color w:val="auto"/>
        </w:rPr>
        <w:t>Name:</w:t>
        <w:tab/>
        <w:t>Robert G. Kramer</w:t>
      </w:r>
    </w:p>
    <w:p>
      <w:pPr>
        <w:spacing w:after="0" w:line="9" w:lineRule="exact"/>
        <w:rPr>
          <w:sz w:val="20"/>
          <w:szCs w:val="20"/>
          <w:color w:val="auto"/>
        </w:rPr>
      </w:pPr>
    </w:p>
    <w:p>
      <w:pPr>
        <w:ind w:left="2700"/>
        <w:spacing w:after="0"/>
        <w:tabs>
          <w:tab w:leader="none" w:pos="3340" w:val="left"/>
        </w:tabs>
        <w:rPr>
          <w:sz w:val="20"/>
          <w:szCs w:val="20"/>
          <w:color w:val="auto"/>
        </w:rPr>
      </w:pPr>
      <w:r>
        <w:rPr>
          <w:rFonts w:ascii="Arial" w:cs="Arial" w:eastAsia="Arial" w:hAnsi="Arial"/>
          <w:sz w:val="18"/>
          <w:szCs w:val="18"/>
          <w:color w:val="auto"/>
        </w:rPr>
        <w:t>Title:</w:t>
        <w:tab/>
        <w:t>Executive Manager</w:t>
      </w:r>
    </w:p>
    <w:p>
      <w:pPr>
        <w:spacing w:after="0" w:line="23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400 PROFESSIONAL LLC</w:t>
      </w:r>
    </w:p>
    <w:p>
      <w:pPr>
        <w:spacing w:after="0" w:line="200" w:lineRule="exact"/>
        <w:rPr>
          <w:sz w:val="20"/>
          <w:szCs w:val="20"/>
          <w:color w:val="auto"/>
        </w:rPr>
      </w:pPr>
    </w:p>
    <w:p>
      <w:pPr>
        <w:spacing w:after="0" w:line="299"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18"/>
          <w:szCs w:val="18"/>
          <w:color w:val="auto"/>
        </w:rPr>
        <w:t>By:</w:t>
        <w:tab/>
        <w:t>/s/ ROBERT G.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294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3" w:lineRule="exact"/>
        <w:rPr>
          <w:sz w:val="20"/>
          <w:szCs w:val="20"/>
          <w:color w:val="auto"/>
        </w:rPr>
      </w:pPr>
    </w:p>
    <w:p>
      <w:pPr>
        <w:ind w:left="270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 xml:space="preserve">Robert </w:t>
      </w:r>
      <w:r>
        <w:rPr>
          <w:rFonts w:ascii="Arial" w:cs="Arial" w:eastAsia="Arial" w:hAnsi="Arial"/>
          <w:sz w:val="18"/>
          <w:szCs w:val="18"/>
          <w:color w:val="auto"/>
        </w:rPr>
        <w:t>G. Kramer</w:t>
      </w:r>
    </w:p>
    <w:p>
      <w:pPr>
        <w:spacing w:after="0" w:line="9" w:lineRule="exact"/>
        <w:rPr>
          <w:sz w:val="20"/>
          <w:szCs w:val="20"/>
          <w:color w:val="auto"/>
        </w:rPr>
      </w:pPr>
    </w:p>
    <w:p>
      <w:pPr>
        <w:ind w:left="2700"/>
        <w:spacing w:after="0"/>
        <w:tabs>
          <w:tab w:leader="none" w:pos="334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50" w:lineRule="exact"/>
        <w:rPr>
          <w:sz w:val="20"/>
          <w:szCs w:val="20"/>
          <w:color w:val="auto"/>
        </w:rPr>
      </w:pPr>
    </w:p>
    <w:p>
      <w:pPr>
        <w:ind w:left="2700"/>
        <w:spacing w:after="0"/>
        <w:rPr>
          <w:sz w:val="20"/>
          <w:szCs w:val="20"/>
          <w:color w:val="auto"/>
        </w:rPr>
      </w:pPr>
      <w:r>
        <w:rPr>
          <w:rFonts w:ascii="Arial" w:cs="Arial" w:eastAsia="Arial" w:hAnsi="Arial"/>
          <w:sz w:val="18"/>
          <w:szCs w:val="18"/>
          <w:b w:val="1"/>
          <w:bCs w:val="1"/>
          <w:u w:val="single" w:color="auto"/>
          <w:color w:val="auto"/>
        </w:rPr>
        <w:t>ADMINISTRATIVE AGENT</w:t>
      </w:r>
      <w:r>
        <w:rPr>
          <w:rFonts w:ascii="Arial" w:cs="Arial" w:eastAsia="Arial" w:hAnsi="Arial"/>
          <w:sz w:val="18"/>
          <w:szCs w:val="18"/>
          <w:b w:val="1"/>
          <w:bCs w:val="1"/>
          <w:color w:val="auto"/>
        </w:rPr>
        <w:t>:</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BANK OF AMERICA, N.A.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18"/>
          <w:szCs w:val="18"/>
          <w:color w:val="auto"/>
        </w:rPr>
        <w:t>By:</w:t>
        <w:tab/>
        <w:t>/s/ ERIK M. TRUETTE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55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55700" cy="8890"/>
                    </a:xfrm>
                    <a:prstGeom prst="rect">
                      <a:avLst/>
                    </a:prstGeom>
                    <a:noFill/>
                  </pic:spPr>
                </pic:pic>
              </a:graphicData>
            </a:graphic>
          </wp:anchor>
        </w:drawing>
      </w:r>
    </w:p>
    <w:p>
      <w:pPr>
        <w:spacing w:after="0" w:line="3" w:lineRule="exact"/>
        <w:rPr>
          <w:sz w:val="20"/>
          <w:szCs w:val="20"/>
          <w:color w:val="auto"/>
        </w:rPr>
      </w:pPr>
    </w:p>
    <w:p>
      <w:pPr>
        <w:ind w:left="2700"/>
        <w:spacing w:after="0"/>
        <w:tabs>
          <w:tab w:leader="none" w:pos="3400" w:val="left"/>
        </w:tabs>
        <w:rPr>
          <w:sz w:val="20"/>
          <w:szCs w:val="20"/>
          <w:color w:val="auto"/>
        </w:rPr>
      </w:pPr>
      <w:r>
        <w:rPr>
          <w:rFonts w:ascii="Arial" w:cs="Arial" w:eastAsia="Arial" w:hAnsi="Arial"/>
          <w:sz w:val="18"/>
          <w:szCs w:val="18"/>
          <w:color w:val="auto"/>
        </w:rPr>
        <w:t>Name:</w:t>
        <w:tab/>
        <w:t>Erik M. Truette</w:t>
      </w:r>
    </w:p>
    <w:p>
      <w:pPr>
        <w:spacing w:after="0" w:line="9" w:lineRule="exact"/>
        <w:rPr>
          <w:sz w:val="20"/>
          <w:szCs w:val="20"/>
          <w:color w:val="auto"/>
        </w:rPr>
      </w:pPr>
    </w:p>
    <w:p>
      <w:pPr>
        <w:ind w:left="2700"/>
        <w:spacing w:after="0"/>
        <w:tabs>
          <w:tab w:leader="none" w:pos="3340" w:val="left"/>
        </w:tabs>
        <w:rPr>
          <w:sz w:val="20"/>
          <w:szCs w:val="20"/>
          <w:color w:val="auto"/>
        </w:rPr>
      </w:pPr>
      <w:r>
        <w:rPr>
          <w:rFonts w:ascii="Arial" w:cs="Arial" w:eastAsia="Arial" w:hAnsi="Arial"/>
          <w:sz w:val="18"/>
          <w:szCs w:val="18"/>
          <w:color w:val="auto"/>
        </w:rPr>
        <w:t>Title:</w:t>
        <w:tab/>
        <w:t>Assistant Vice President</w:t>
      </w:r>
    </w:p>
    <w:p>
      <w:pPr>
        <w:spacing w:after="0" w:line="200" w:lineRule="exact"/>
        <w:rPr>
          <w:sz w:val="20"/>
          <w:szCs w:val="20"/>
          <w:color w:val="auto"/>
        </w:rPr>
      </w:pPr>
    </w:p>
    <w:p>
      <w:pPr>
        <w:spacing w:after="0" w:line="250" w:lineRule="exact"/>
        <w:rPr>
          <w:sz w:val="20"/>
          <w:szCs w:val="20"/>
          <w:color w:val="auto"/>
        </w:rPr>
      </w:pPr>
    </w:p>
    <w:p>
      <w:pPr>
        <w:ind w:left="2700"/>
        <w:spacing w:after="0"/>
        <w:rPr>
          <w:sz w:val="20"/>
          <w:szCs w:val="20"/>
          <w:color w:val="auto"/>
        </w:rPr>
      </w:pPr>
      <w:r>
        <w:rPr>
          <w:rFonts w:ascii="Arial" w:cs="Arial" w:eastAsia="Arial" w:hAnsi="Arial"/>
          <w:sz w:val="18"/>
          <w:szCs w:val="18"/>
          <w:b w:val="1"/>
          <w:bCs w:val="1"/>
          <w:u w:val="single" w:color="auto"/>
          <w:color w:val="auto"/>
        </w:rPr>
        <w:t>LENDERS</w:t>
      </w:r>
      <w:r>
        <w:rPr>
          <w:rFonts w:ascii="Arial" w:cs="Arial" w:eastAsia="Arial" w:hAnsi="Arial"/>
          <w:sz w:val="18"/>
          <w:szCs w:val="18"/>
          <w:b w:val="1"/>
          <w:bCs w:val="1"/>
          <w:color w:val="auto"/>
        </w:rPr>
        <w:t>:</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BANK OF AMERICA, N.A.</w:t>
      </w:r>
      <w:r>
        <w:rPr>
          <w:rFonts w:ascii="Arial" w:cs="Arial" w:eastAsia="Arial" w:hAnsi="Arial"/>
          <w:sz w:val="16"/>
          <w:szCs w:val="16"/>
          <w:color w:val="auto"/>
        </w:rPr>
        <w:t>, as a Lender, a L/C Issuer and Swing Line Lender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18"/>
          <w:szCs w:val="18"/>
          <w:color w:val="auto"/>
        </w:rPr>
        <w:t>By:</w:t>
        <w:tab/>
        <w:t>/s/ LINDA E.C. ALTO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01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1725" cy="8890"/>
                    </a:xfrm>
                    <a:prstGeom prst="rect">
                      <a:avLst/>
                    </a:prstGeom>
                    <a:noFill/>
                  </pic:spPr>
                </pic:pic>
              </a:graphicData>
            </a:graphic>
          </wp:anchor>
        </w:drawing>
      </w:r>
    </w:p>
    <w:p>
      <w:pPr>
        <w:spacing w:after="0" w:line="3" w:lineRule="exact"/>
        <w:rPr>
          <w:sz w:val="20"/>
          <w:szCs w:val="20"/>
          <w:color w:val="auto"/>
        </w:rPr>
      </w:pPr>
    </w:p>
    <w:p>
      <w:pPr>
        <w:ind w:left="2700"/>
        <w:spacing w:after="0"/>
        <w:tabs>
          <w:tab w:leader="none" w:pos="3360" w:val="left"/>
        </w:tabs>
        <w:rPr>
          <w:sz w:val="20"/>
          <w:szCs w:val="20"/>
          <w:color w:val="auto"/>
        </w:rPr>
      </w:pPr>
      <w:r>
        <w:rPr>
          <w:rFonts w:ascii="Arial" w:cs="Arial" w:eastAsia="Arial" w:hAnsi="Arial"/>
          <w:sz w:val="18"/>
          <w:szCs w:val="18"/>
          <w:color w:val="auto"/>
        </w:rPr>
        <w:t>Name:</w:t>
        <w:tab/>
        <w:t>Linda E.C. Alto</w:t>
      </w:r>
    </w:p>
    <w:p>
      <w:pPr>
        <w:spacing w:after="0" w:line="9" w:lineRule="exact"/>
        <w:rPr>
          <w:sz w:val="20"/>
          <w:szCs w:val="20"/>
          <w:color w:val="auto"/>
        </w:rPr>
      </w:pPr>
    </w:p>
    <w:p>
      <w:pPr>
        <w:ind w:left="2700"/>
        <w:spacing w:after="0"/>
        <w:tabs>
          <w:tab w:leader="none" w:pos="334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271780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0" w:name="page41"/>
    <w:bookmarkEnd w:id="40"/>
    <w:p>
      <w:pPr>
        <w:ind w:left="2700"/>
        <w:spacing w:after="0"/>
        <w:rPr>
          <w:sz w:val="20"/>
          <w:szCs w:val="20"/>
          <w:color w:val="auto"/>
        </w:rPr>
      </w:pPr>
      <w:r>
        <w:rPr>
          <w:rFonts w:ascii="Arial" w:cs="Arial" w:eastAsia="Arial" w:hAnsi="Arial"/>
          <w:sz w:val="18"/>
          <w:szCs w:val="18"/>
          <w:b w:val="1"/>
          <w:bCs w:val="1"/>
          <w:u w:val="single" w:color="auto"/>
          <w:color w:val="auto"/>
        </w:rPr>
        <w:t>LENDERS (cont'd)</w:t>
      </w:r>
      <w:r>
        <w:rPr>
          <w:rFonts w:ascii="Arial" w:cs="Arial" w:eastAsia="Arial" w:hAnsi="Arial"/>
          <w:sz w:val="18"/>
          <w:szCs w:val="18"/>
          <w:b w:val="1"/>
          <w:bCs w:val="1"/>
          <w:color w:val="auto"/>
        </w:rPr>
        <w:t>:</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JPMORGAN CHASE BANK, N.A.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18"/>
          <w:szCs w:val="18"/>
          <w:color w:val="auto"/>
        </w:rPr>
        <w:t>By:</w:t>
        <w:tab/>
        <w:t>/s/ ANTHONY GALEA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747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3" w:lineRule="exact"/>
        <w:rPr>
          <w:sz w:val="20"/>
          <w:szCs w:val="20"/>
          <w:color w:val="auto"/>
        </w:rPr>
      </w:pPr>
    </w:p>
    <w:p>
      <w:pPr>
        <w:ind w:left="2700"/>
        <w:spacing w:after="0"/>
        <w:tabs>
          <w:tab w:leader="none" w:pos="3380" w:val="left"/>
        </w:tabs>
        <w:rPr>
          <w:sz w:val="20"/>
          <w:szCs w:val="20"/>
          <w:color w:val="auto"/>
        </w:rPr>
      </w:pPr>
      <w:r>
        <w:rPr>
          <w:rFonts w:ascii="Arial" w:cs="Arial" w:eastAsia="Arial" w:hAnsi="Arial"/>
          <w:sz w:val="18"/>
          <w:szCs w:val="18"/>
          <w:color w:val="auto"/>
        </w:rPr>
        <w:t>Name:</w:t>
        <w:tab/>
        <w:t>Anthony Galea</w:t>
      </w:r>
    </w:p>
    <w:p>
      <w:pPr>
        <w:spacing w:after="0" w:line="9" w:lineRule="exact"/>
        <w:rPr>
          <w:sz w:val="20"/>
          <w:szCs w:val="20"/>
          <w:color w:val="auto"/>
        </w:rPr>
      </w:pPr>
    </w:p>
    <w:p>
      <w:pPr>
        <w:ind w:left="2700"/>
        <w:spacing w:after="0"/>
        <w:tabs>
          <w:tab w:leader="none" w:pos="334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50" w:lineRule="exact"/>
        <w:rPr>
          <w:sz w:val="20"/>
          <w:szCs w:val="20"/>
          <w:color w:val="auto"/>
        </w:rPr>
      </w:pPr>
    </w:p>
    <w:p>
      <w:pPr>
        <w:ind w:left="2700"/>
        <w:spacing w:after="0"/>
        <w:rPr>
          <w:sz w:val="20"/>
          <w:szCs w:val="20"/>
          <w:color w:val="auto"/>
        </w:rPr>
      </w:pPr>
      <w:r>
        <w:rPr>
          <w:rFonts w:ascii="Arial" w:cs="Arial" w:eastAsia="Arial" w:hAnsi="Arial"/>
          <w:sz w:val="18"/>
          <w:szCs w:val="18"/>
          <w:b w:val="1"/>
          <w:bCs w:val="1"/>
          <w:u w:val="single" w:color="auto"/>
          <w:color w:val="auto"/>
        </w:rPr>
        <w:t>LENDERS (cont'd)</w:t>
      </w:r>
      <w:r>
        <w:rPr>
          <w:rFonts w:ascii="Arial" w:cs="Arial" w:eastAsia="Arial" w:hAnsi="Arial"/>
          <w:sz w:val="18"/>
          <w:szCs w:val="18"/>
          <w:b w:val="1"/>
          <w:bCs w:val="1"/>
          <w:color w:val="auto"/>
        </w:rPr>
        <w:t>:</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PNC BANK, NATIONAL ASSOCIATION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18"/>
          <w:szCs w:val="18"/>
          <w:color w:val="auto"/>
        </w:rPr>
        <w:t>By:</w:t>
        <w:tab/>
        <w:t>/s/ BREMMAR KNEIB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55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55700" cy="8890"/>
                    </a:xfrm>
                    <a:prstGeom prst="rect">
                      <a:avLst/>
                    </a:prstGeom>
                    <a:noFill/>
                  </pic:spPr>
                </pic:pic>
              </a:graphicData>
            </a:graphic>
          </wp:anchor>
        </w:drawing>
      </w:r>
    </w:p>
    <w:p>
      <w:pPr>
        <w:spacing w:after="0" w:line="3" w:lineRule="exact"/>
        <w:rPr>
          <w:sz w:val="20"/>
          <w:szCs w:val="20"/>
          <w:color w:val="auto"/>
        </w:rPr>
      </w:pPr>
    </w:p>
    <w:p>
      <w:pPr>
        <w:ind w:left="2700"/>
        <w:spacing w:after="0"/>
        <w:tabs>
          <w:tab w:leader="none" w:pos="3380" w:val="left"/>
        </w:tabs>
        <w:rPr>
          <w:sz w:val="20"/>
          <w:szCs w:val="20"/>
          <w:color w:val="auto"/>
        </w:rPr>
      </w:pPr>
      <w:r>
        <w:rPr>
          <w:rFonts w:ascii="Arial" w:cs="Arial" w:eastAsia="Arial" w:hAnsi="Arial"/>
          <w:sz w:val="18"/>
          <w:szCs w:val="18"/>
          <w:color w:val="auto"/>
        </w:rPr>
        <w:t>Name:</w:t>
        <w:tab/>
        <w:t>Bremmar Kneib</w:t>
      </w:r>
    </w:p>
    <w:p>
      <w:pPr>
        <w:spacing w:after="0" w:line="9" w:lineRule="exact"/>
        <w:rPr>
          <w:sz w:val="20"/>
          <w:szCs w:val="20"/>
          <w:color w:val="auto"/>
        </w:rPr>
      </w:pPr>
    </w:p>
    <w:p>
      <w:pPr>
        <w:ind w:left="2700"/>
        <w:spacing w:after="0"/>
        <w:tabs>
          <w:tab w:leader="none" w:pos="334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9019"/>
          </w:cols>
          <w:pgMar w:left="1440" w:top="364"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22"/>
                <w:szCs w:val="22"/>
                <w:b w:val="1"/>
                <w:bCs w:val="1"/>
                <w:color w:val="auto"/>
                <w:w w:val="90"/>
              </w:rPr>
              <w:t>Exhibit 12</w:t>
            </w: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646464"/>
            </w:tcBorders>
          </w:tcPr>
          <w:p>
            <w:pPr>
              <w:spacing w:after="0"/>
              <w:rPr>
                <w:sz w:val="24"/>
                <w:szCs w:val="24"/>
                <w:color w:val="auto"/>
              </w:rPr>
            </w:pPr>
          </w:p>
        </w:tc>
        <w:tc>
          <w:tcPr>
            <w:tcW w:w="1040" w:type="dxa"/>
            <w:vAlign w:val="bottom"/>
            <w:tcBorders>
              <w:bottom w:val="single" w:sz="8" w:color="646464"/>
            </w:tcBorders>
          </w:tcPr>
          <w:p>
            <w:pPr>
              <w:spacing w:after="0"/>
              <w:rPr>
                <w:sz w:val="24"/>
                <w:szCs w:val="24"/>
                <w:color w:val="auto"/>
              </w:rPr>
            </w:pPr>
          </w:p>
        </w:tc>
        <w:tc>
          <w:tcPr>
            <w:tcW w:w="140" w:type="dxa"/>
            <w:vAlign w:val="bottom"/>
            <w:tcBorders>
              <w:bottom w:val="single" w:sz="8" w:color="646464"/>
            </w:tcBorders>
          </w:tcPr>
          <w:p>
            <w:pPr>
              <w:spacing w:after="0"/>
              <w:rPr>
                <w:sz w:val="24"/>
                <w:szCs w:val="24"/>
                <w:color w:val="auto"/>
              </w:rPr>
            </w:pPr>
          </w:p>
        </w:tc>
        <w:tc>
          <w:tcPr>
            <w:tcW w:w="100" w:type="dxa"/>
            <w:vAlign w:val="bottom"/>
            <w:tcBorders>
              <w:bottom w:val="single" w:sz="8" w:color="646464"/>
            </w:tcBorders>
          </w:tcPr>
          <w:p>
            <w:pPr>
              <w:spacing w:after="0"/>
              <w:rPr>
                <w:sz w:val="24"/>
                <w:szCs w:val="24"/>
                <w:color w:val="auto"/>
              </w:rPr>
            </w:pPr>
          </w:p>
        </w:tc>
        <w:tc>
          <w:tcPr>
            <w:tcW w:w="240" w:type="dxa"/>
            <w:vAlign w:val="bottom"/>
            <w:tcBorders>
              <w:bottom w:val="single" w:sz="8" w:color="646464"/>
            </w:tcBorders>
          </w:tcPr>
          <w:p>
            <w:pPr>
              <w:spacing w:after="0"/>
              <w:rPr>
                <w:sz w:val="24"/>
                <w:szCs w:val="24"/>
                <w:color w:val="auto"/>
              </w:rPr>
            </w:pPr>
          </w:p>
        </w:tc>
        <w:tc>
          <w:tcPr>
            <w:tcW w:w="920" w:type="dxa"/>
            <w:vAlign w:val="bottom"/>
            <w:tcBorders>
              <w:bottom w:val="single" w:sz="8" w:color="646464"/>
            </w:tcBorders>
          </w:tcPr>
          <w:p>
            <w:pPr>
              <w:spacing w:after="0"/>
              <w:rPr>
                <w:sz w:val="24"/>
                <w:szCs w:val="24"/>
                <w:color w:val="auto"/>
              </w:rPr>
            </w:pPr>
          </w:p>
        </w:tc>
        <w:tc>
          <w:tcPr>
            <w:tcW w:w="40" w:type="dxa"/>
            <w:vAlign w:val="bottom"/>
            <w:tcBorders>
              <w:bottom w:val="single" w:sz="8" w:color="646464"/>
            </w:tcBorders>
          </w:tcPr>
          <w:p>
            <w:pPr>
              <w:spacing w:after="0"/>
              <w:rPr>
                <w:sz w:val="24"/>
                <w:szCs w:val="24"/>
                <w:color w:val="auto"/>
              </w:rPr>
            </w:pPr>
          </w:p>
        </w:tc>
        <w:tc>
          <w:tcPr>
            <w:tcW w:w="2880" w:type="dxa"/>
            <w:vAlign w:val="bottom"/>
            <w:tcBorders>
              <w:bottom w:val="single" w:sz="8" w:color="646464"/>
            </w:tcBorders>
            <w:gridSpan w:val="8"/>
          </w:tcPr>
          <w:p>
            <w:pPr>
              <w:ind w:left="20"/>
              <w:spacing w:after="0"/>
              <w:rPr>
                <w:sz w:val="20"/>
                <w:szCs w:val="20"/>
                <w:color w:val="auto"/>
              </w:rPr>
            </w:pPr>
            <w:r>
              <w:rPr>
                <w:rFonts w:ascii="Arial" w:cs="Arial" w:eastAsia="Arial" w:hAnsi="Arial"/>
                <w:sz w:val="18"/>
                <w:szCs w:val="18"/>
                <w:b w:val="1"/>
                <w:bCs w:val="1"/>
                <w:color w:val="auto"/>
                <w:w w:val="94"/>
              </w:rPr>
              <w:t>Ratio of Earnings to Fixed Charges</w:t>
            </w:r>
          </w:p>
        </w:tc>
        <w:tc>
          <w:tcPr>
            <w:tcW w:w="320" w:type="dxa"/>
            <w:vAlign w:val="bottom"/>
            <w:tcBorders>
              <w:bottom w:val="single" w:sz="8" w:color="646464"/>
            </w:tcBorders>
          </w:tcPr>
          <w:p>
            <w:pPr>
              <w:spacing w:after="0"/>
              <w:rPr>
                <w:sz w:val="24"/>
                <w:szCs w:val="24"/>
                <w:color w:val="auto"/>
              </w:rPr>
            </w:pPr>
          </w:p>
        </w:tc>
        <w:tc>
          <w:tcPr>
            <w:tcW w:w="820" w:type="dxa"/>
            <w:vAlign w:val="bottom"/>
            <w:tcBorders>
              <w:bottom w:val="single" w:sz="8" w:color="646464"/>
            </w:tcBorders>
          </w:tcPr>
          <w:p>
            <w:pPr>
              <w:spacing w:after="0"/>
              <w:rPr>
                <w:sz w:val="24"/>
                <w:szCs w:val="24"/>
                <w:color w:val="auto"/>
              </w:rPr>
            </w:pPr>
          </w:p>
        </w:tc>
        <w:tc>
          <w:tcPr>
            <w:tcW w:w="100" w:type="dxa"/>
            <w:vAlign w:val="bottom"/>
            <w:tcBorders>
              <w:bottom w:val="single" w:sz="8" w:color="646464"/>
            </w:tcBorders>
          </w:tcPr>
          <w:p>
            <w:pPr>
              <w:spacing w:after="0"/>
              <w:rPr>
                <w:sz w:val="24"/>
                <w:szCs w:val="24"/>
                <w:color w:val="auto"/>
              </w:rPr>
            </w:pPr>
          </w:p>
        </w:tc>
        <w:tc>
          <w:tcPr>
            <w:tcW w:w="120" w:type="dxa"/>
            <w:vAlign w:val="bottom"/>
            <w:tcBorders>
              <w:bottom w:val="single" w:sz="8" w:color="646464"/>
            </w:tcBorders>
          </w:tcPr>
          <w:p>
            <w:pPr>
              <w:spacing w:after="0"/>
              <w:rPr>
                <w:sz w:val="24"/>
                <w:szCs w:val="24"/>
                <w:color w:val="auto"/>
              </w:rPr>
            </w:pPr>
          </w:p>
        </w:tc>
        <w:tc>
          <w:tcPr>
            <w:tcW w:w="180" w:type="dxa"/>
            <w:vAlign w:val="bottom"/>
            <w:tcBorders>
              <w:bottom w:val="single" w:sz="8" w:color="646464"/>
            </w:tcBorders>
          </w:tcPr>
          <w:p>
            <w:pPr>
              <w:spacing w:after="0"/>
              <w:rPr>
                <w:sz w:val="24"/>
                <w:szCs w:val="24"/>
                <w:color w:val="auto"/>
              </w:rPr>
            </w:pPr>
          </w:p>
        </w:tc>
        <w:tc>
          <w:tcPr>
            <w:tcW w:w="960" w:type="dxa"/>
            <w:vAlign w:val="bottom"/>
            <w:tcBorders>
              <w:bottom w:val="single" w:sz="8" w:color="646464"/>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300" w:type="dxa"/>
            <w:vAlign w:val="bottom"/>
            <w:gridSpan w:val="3"/>
          </w:tcPr>
          <w:p>
            <w:pPr>
              <w:jc w:val="center"/>
              <w:ind w:right="160"/>
              <w:spacing w:after="0" w:line="198" w:lineRule="exact"/>
              <w:rPr>
                <w:sz w:val="20"/>
                <w:szCs w:val="20"/>
                <w:color w:val="auto"/>
              </w:rPr>
            </w:pPr>
            <w:r>
              <w:rPr>
                <w:rFonts w:ascii="Arial" w:cs="Arial" w:eastAsia="Arial" w:hAnsi="Arial"/>
                <w:sz w:val="18"/>
                <w:szCs w:val="18"/>
                <w:b w:val="1"/>
                <w:bCs w:val="1"/>
                <w:color w:val="auto"/>
                <w:w w:val="91"/>
              </w:rPr>
              <w:t>Period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0"/>
                <w:szCs w:val="20"/>
                <w:color w:val="auto"/>
              </w:rPr>
            </w:pPr>
          </w:p>
        </w:tc>
        <w:tc>
          <w:tcPr>
            <w:tcW w:w="240" w:type="dxa"/>
            <w:vAlign w:val="bottom"/>
            <w:tcBorders>
              <w:bottom w:val="single" w:sz="8" w:color="646464"/>
            </w:tcBorders>
          </w:tcPr>
          <w:p>
            <w:pPr>
              <w:spacing w:after="0"/>
              <w:rPr>
                <w:sz w:val="20"/>
                <w:szCs w:val="20"/>
                <w:color w:val="auto"/>
              </w:rPr>
            </w:pPr>
          </w:p>
        </w:tc>
        <w:tc>
          <w:tcPr>
            <w:tcW w:w="920" w:type="dxa"/>
            <w:vAlign w:val="bottom"/>
            <w:tcBorders>
              <w:bottom w:val="single" w:sz="8" w:color="646464"/>
            </w:tcBorders>
          </w:tcPr>
          <w:p>
            <w:pPr>
              <w:spacing w:after="0"/>
              <w:rPr>
                <w:sz w:val="20"/>
                <w:szCs w:val="20"/>
                <w:color w:val="auto"/>
              </w:rPr>
            </w:pPr>
          </w:p>
        </w:tc>
        <w:tc>
          <w:tcPr>
            <w:tcW w:w="40" w:type="dxa"/>
            <w:vAlign w:val="bottom"/>
            <w:tcBorders>
              <w:bottom w:val="single" w:sz="8" w:color="646464"/>
            </w:tcBorders>
          </w:tcPr>
          <w:p>
            <w:pPr>
              <w:spacing w:after="0"/>
              <w:rPr>
                <w:sz w:val="20"/>
                <w:szCs w:val="20"/>
                <w:color w:val="auto"/>
              </w:rPr>
            </w:pPr>
          </w:p>
        </w:tc>
        <w:tc>
          <w:tcPr>
            <w:tcW w:w="180" w:type="dxa"/>
            <w:vAlign w:val="bottom"/>
            <w:tcBorders>
              <w:bottom w:val="single" w:sz="8" w:color="646464"/>
            </w:tcBorders>
          </w:tcPr>
          <w:p>
            <w:pPr>
              <w:spacing w:after="0"/>
              <w:rPr>
                <w:sz w:val="20"/>
                <w:szCs w:val="20"/>
                <w:color w:val="auto"/>
              </w:rPr>
            </w:pPr>
          </w:p>
        </w:tc>
        <w:tc>
          <w:tcPr>
            <w:tcW w:w="240" w:type="dxa"/>
            <w:vAlign w:val="bottom"/>
            <w:tcBorders>
              <w:bottom w:val="single" w:sz="8" w:color="646464"/>
            </w:tcBorders>
          </w:tcPr>
          <w:p>
            <w:pPr>
              <w:spacing w:after="0"/>
              <w:rPr>
                <w:sz w:val="20"/>
                <w:szCs w:val="20"/>
                <w:color w:val="auto"/>
              </w:rPr>
            </w:pPr>
          </w:p>
        </w:tc>
        <w:tc>
          <w:tcPr>
            <w:tcW w:w="2780" w:type="dxa"/>
            <w:vAlign w:val="bottom"/>
            <w:tcBorders>
              <w:bottom w:val="single" w:sz="8" w:color="646464"/>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646464"/>
            </w:tcBorders>
          </w:tcPr>
          <w:p>
            <w:pPr>
              <w:spacing w:after="0"/>
              <w:rPr>
                <w:sz w:val="20"/>
                <w:szCs w:val="20"/>
                <w:color w:val="auto"/>
              </w:rPr>
            </w:pPr>
          </w:p>
        </w:tc>
        <w:tc>
          <w:tcPr>
            <w:tcW w:w="100" w:type="dxa"/>
            <w:vAlign w:val="bottom"/>
            <w:tcBorders>
              <w:bottom w:val="single" w:sz="8" w:color="646464"/>
            </w:tcBorders>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180" w:type="dxa"/>
            <w:vAlign w:val="bottom"/>
            <w:tcBorders>
              <w:bottom w:val="single" w:sz="8" w:color="646464"/>
            </w:tcBorders>
          </w:tcPr>
          <w:p>
            <w:pPr>
              <w:spacing w:after="0"/>
              <w:rPr>
                <w:sz w:val="20"/>
                <w:szCs w:val="20"/>
                <w:color w:val="auto"/>
              </w:rPr>
            </w:pPr>
          </w:p>
        </w:tc>
        <w:tc>
          <w:tcPr>
            <w:tcW w:w="960" w:type="dxa"/>
            <w:vAlign w:val="bottom"/>
            <w:tcBorders>
              <w:bottom w:val="single" w:sz="8" w:color="646464"/>
            </w:tcBorders>
          </w:tcPr>
          <w:p>
            <w:pPr>
              <w:spacing w:after="0"/>
              <w:rPr>
                <w:sz w:val="20"/>
                <w:szCs w:val="20"/>
                <w:color w:val="auto"/>
              </w:rPr>
            </w:pPr>
          </w:p>
        </w:tc>
        <w:tc>
          <w:tcPr>
            <w:tcW w:w="100" w:type="dxa"/>
            <w:vAlign w:val="bottom"/>
            <w:tcBorders>
              <w:bottom w:val="single" w:sz="8" w:color="646464"/>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646464"/>
            </w:tcBorders>
          </w:tcPr>
          <w:p>
            <w:pPr>
              <w:spacing w:after="0"/>
              <w:rPr>
                <w:sz w:val="19"/>
                <w:szCs w:val="19"/>
                <w:color w:val="auto"/>
              </w:rPr>
            </w:pPr>
          </w:p>
        </w:tc>
        <w:tc>
          <w:tcPr>
            <w:tcW w:w="1040" w:type="dxa"/>
            <w:vAlign w:val="bottom"/>
            <w:tcBorders>
              <w:bottom w:val="single" w:sz="8" w:color="646464"/>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646464"/>
            </w:tcBorders>
          </w:tcPr>
          <w:p>
            <w:pPr>
              <w:spacing w:after="0"/>
              <w:rPr>
                <w:sz w:val="19"/>
                <w:szCs w:val="19"/>
                <w:color w:val="auto"/>
              </w:rPr>
            </w:pPr>
          </w:p>
        </w:tc>
        <w:tc>
          <w:tcPr>
            <w:tcW w:w="920" w:type="dxa"/>
            <w:vAlign w:val="bottom"/>
            <w:tcBorders>
              <w:bottom w:val="single" w:sz="8" w:color="646464"/>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646464"/>
            </w:tcBorders>
          </w:tcPr>
          <w:p>
            <w:pPr>
              <w:spacing w:after="0"/>
              <w:rPr>
                <w:sz w:val="19"/>
                <w:szCs w:val="19"/>
                <w:color w:val="auto"/>
              </w:rPr>
            </w:pPr>
          </w:p>
        </w:tc>
        <w:tc>
          <w:tcPr>
            <w:tcW w:w="900" w:type="dxa"/>
            <w:vAlign w:val="bottom"/>
            <w:tcBorders>
              <w:bottom w:val="single" w:sz="8" w:color="646464"/>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646464"/>
            </w:tcBorders>
          </w:tcPr>
          <w:p>
            <w:pPr>
              <w:spacing w:after="0"/>
              <w:rPr>
                <w:sz w:val="19"/>
                <w:szCs w:val="19"/>
                <w:color w:val="auto"/>
              </w:rPr>
            </w:pPr>
          </w:p>
        </w:tc>
        <w:tc>
          <w:tcPr>
            <w:tcW w:w="900" w:type="dxa"/>
            <w:vAlign w:val="bottom"/>
            <w:tcBorders>
              <w:bottom w:val="single" w:sz="8" w:color="646464"/>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320" w:type="dxa"/>
            <w:vAlign w:val="bottom"/>
            <w:tcBorders>
              <w:bottom w:val="single" w:sz="8" w:color="646464"/>
            </w:tcBorders>
          </w:tcPr>
          <w:p>
            <w:pPr>
              <w:spacing w:after="0"/>
              <w:rPr>
                <w:sz w:val="19"/>
                <w:szCs w:val="19"/>
                <w:color w:val="auto"/>
              </w:rPr>
            </w:pPr>
          </w:p>
        </w:tc>
        <w:tc>
          <w:tcPr>
            <w:tcW w:w="820" w:type="dxa"/>
            <w:vAlign w:val="bottom"/>
            <w:tcBorders>
              <w:bottom w:val="single" w:sz="8" w:color="646464"/>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646464"/>
            </w:tcBorders>
          </w:tcPr>
          <w:p>
            <w:pPr>
              <w:spacing w:after="0"/>
              <w:rPr>
                <w:sz w:val="19"/>
                <w:szCs w:val="19"/>
                <w:color w:val="auto"/>
              </w:rPr>
            </w:pPr>
          </w:p>
        </w:tc>
        <w:tc>
          <w:tcPr>
            <w:tcW w:w="960" w:type="dxa"/>
            <w:vAlign w:val="bottom"/>
            <w:tcBorders>
              <w:bottom w:val="single" w:sz="8" w:color="646464"/>
            </w:tcBorders>
          </w:tcPr>
          <w:p>
            <w:pPr>
              <w:jc w:val="right"/>
              <w:ind w:right="308"/>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Pretax income (loss) from continuing</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(28,441)</w:t>
            </w:r>
          </w:p>
        </w:tc>
        <w:tc>
          <w:tcPr>
            <w:tcW w:w="3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37,446</w:t>
            </w:r>
          </w:p>
        </w:tc>
        <w:tc>
          <w:tcPr>
            <w:tcW w:w="4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38,849</w:t>
            </w:r>
          </w:p>
        </w:tc>
        <w:tc>
          <w:tcPr>
            <w:tcW w:w="3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77,880</w:t>
            </w:r>
          </w:p>
        </w:tc>
        <w:tc>
          <w:tcPr>
            <w:tcW w:w="32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46,110</w:t>
            </w:r>
          </w:p>
        </w:tc>
        <w:tc>
          <w:tcPr>
            <w:tcW w:w="3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32,737</w:t>
            </w: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operations (1)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Debt issuance cost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(2)</w:t>
            </w:r>
          </w:p>
        </w:tc>
        <w:tc>
          <w:tcPr>
            <w:tcW w:w="120" w:type="dxa"/>
            <w:vAlign w:val="bottom"/>
            <w:tcBorders>
              <w:top w:val="single" w:sz="8" w:color="646464"/>
            </w:tcBorders>
            <w:shd w:val="clear" w:color="auto" w:fill="CCEEFF"/>
          </w:tcPr>
          <w:p>
            <w:pPr>
              <w:spacing w:after="0"/>
              <w:rPr>
                <w:sz w:val="18"/>
                <w:szCs w:val="18"/>
                <w:color w:val="auto"/>
              </w:rPr>
            </w:pPr>
          </w:p>
        </w:tc>
        <w:tc>
          <w:tcPr>
            <w:tcW w:w="1040" w:type="dxa"/>
            <w:vAlign w:val="bottom"/>
            <w:tcBorders>
              <w:top w:val="single" w:sz="8" w:color="646464"/>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646464"/>
            </w:tcBorders>
            <w:shd w:val="clear" w:color="auto" w:fill="CCEEFF"/>
          </w:tcPr>
          <w:p>
            <w:pPr>
              <w:spacing w:after="0"/>
              <w:rPr>
                <w:sz w:val="18"/>
                <w:szCs w:val="18"/>
                <w:color w:val="auto"/>
              </w:rPr>
            </w:pPr>
          </w:p>
        </w:tc>
        <w:tc>
          <w:tcPr>
            <w:tcW w:w="920" w:type="dxa"/>
            <w:vAlign w:val="bottom"/>
            <w:tcBorders>
              <w:top w:val="single" w:sz="8" w:color="646464"/>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646464"/>
            </w:tcBorders>
            <w:shd w:val="clear" w:color="auto" w:fill="CCEEFF"/>
          </w:tcPr>
          <w:p>
            <w:pPr>
              <w:spacing w:after="0"/>
              <w:rPr>
                <w:sz w:val="18"/>
                <w:szCs w:val="18"/>
                <w:color w:val="auto"/>
              </w:rPr>
            </w:pPr>
          </w:p>
        </w:tc>
        <w:tc>
          <w:tcPr>
            <w:tcW w:w="900" w:type="dxa"/>
            <w:vAlign w:val="bottom"/>
            <w:tcBorders>
              <w:top w:val="single" w:sz="8" w:color="646464"/>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646464"/>
            </w:tcBorders>
            <w:shd w:val="clear" w:color="auto" w:fill="CCEEFF"/>
          </w:tcPr>
          <w:p>
            <w:pPr>
              <w:spacing w:after="0"/>
              <w:rPr>
                <w:sz w:val="18"/>
                <w:szCs w:val="18"/>
                <w:color w:val="auto"/>
              </w:rPr>
            </w:pPr>
          </w:p>
        </w:tc>
        <w:tc>
          <w:tcPr>
            <w:tcW w:w="900" w:type="dxa"/>
            <w:vAlign w:val="bottom"/>
            <w:tcBorders>
              <w:top w:val="single" w:sz="8" w:color="646464"/>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646464"/>
            </w:tcBorders>
            <w:shd w:val="clear" w:color="auto" w:fill="CCEEFF"/>
          </w:tcPr>
          <w:p>
            <w:pPr>
              <w:spacing w:after="0"/>
              <w:rPr>
                <w:sz w:val="18"/>
                <w:szCs w:val="18"/>
                <w:color w:val="auto"/>
              </w:rPr>
            </w:pPr>
          </w:p>
        </w:tc>
        <w:tc>
          <w:tcPr>
            <w:tcW w:w="820" w:type="dxa"/>
            <w:vAlign w:val="bottom"/>
            <w:tcBorders>
              <w:top w:val="single" w:sz="8" w:color="646464"/>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646464"/>
            </w:tcBorders>
            <w:shd w:val="clear" w:color="auto" w:fill="CCEEFF"/>
          </w:tcPr>
          <w:p>
            <w:pPr>
              <w:spacing w:after="0"/>
              <w:rPr>
                <w:sz w:val="18"/>
                <w:szCs w:val="18"/>
                <w:color w:val="auto"/>
              </w:rPr>
            </w:pPr>
          </w:p>
        </w:tc>
        <w:tc>
          <w:tcPr>
            <w:tcW w:w="960" w:type="dxa"/>
            <w:vAlign w:val="bottom"/>
            <w:tcBorders>
              <w:top w:val="single" w:sz="8" w:color="646464"/>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6"/>
              </w:rPr>
              <w:t>Noncontrolling interest in pretax income (3)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Capitalized interest (4)</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2,171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1,796</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Earnings ((1) + (2) -(3) -(4))</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(24,897)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32,138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32,084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73,461</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41,677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Abdun-Nabi certify that:</w:t>
      </w:r>
    </w:p>
    <w:p>
      <w:pPr>
        <w:spacing w:after="0" w:line="211"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right="760" w:firstLine="8"/>
        <w:spacing w:after="0" w:line="258"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60" w:firstLine="8"/>
        <w:spacing w:after="0" w:line="258"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operations and cash flows of the registrant as of, and for, the periods presented in this report;</w:t>
      </w:r>
    </w:p>
    <w:p>
      <w:pPr>
        <w:spacing w:after="0" w:line="210" w:lineRule="exact"/>
        <w:rPr>
          <w:rFonts w:ascii="Arial" w:cs="Arial" w:eastAsia="Arial" w:hAnsi="Arial"/>
          <w:sz w:val="18"/>
          <w:szCs w:val="18"/>
          <w:color w:val="auto"/>
        </w:rPr>
      </w:pPr>
    </w:p>
    <w:p>
      <w:pPr>
        <w:ind w:right="220" w:firstLine="8"/>
        <w:spacing w:after="0" w:line="258"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15d-15(e)) and internal control over financial reporting (as defined in Exchange Act Rules 13a-15(f) and 15d-15(f)) for the registrant and have:</w:t>
      </w:r>
    </w:p>
    <w:p>
      <w:pPr>
        <w:spacing w:after="0" w:line="211" w:lineRule="exact"/>
        <w:rPr>
          <w:sz w:val="20"/>
          <w:szCs w:val="20"/>
          <w:color w:val="auto"/>
        </w:rPr>
      </w:pPr>
    </w:p>
    <w:p>
      <w:pPr>
        <w:ind w:right="120" w:firstLine="8"/>
        <w:spacing w:after="0" w:line="258"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w:t>
      </w:r>
    </w:p>
    <w:p>
      <w:pPr>
        <w:spacing w:after="0" w:line="1" w:lineRule="exact"/>
        <w:rPr>
          <w:rFonts w:ascii="Arial" w:cs="Arial" w:eastAsia="Arial" w:hAnsi="Arial"/>
          <w:sz w:val="18"/>
          <w:szCs w:val="18"/>
          <w:color w:val="auto"/>
        </w:rPr>
      </w:pPr>
    </w:p>
    <w:p>
      <w:pPr>
        <w:ind w:right="200"/>
        <w:spacing w:after="0" w:line="250" w:lineRule="auto"/>
        <w:rPr>
          <w:rFonts w:ascii="Arial" w:cs="Arial" w:eastAsia="Arial" w:hAnsi="Arial"/>
          <w:sz w:val="18"/>
          <w:szCs w:val="18"/>
          <w:color w:val="auto"/>
        </w:rPr>
      </w:pPr>
      <w:r>
        <w:rPr>
          <w:rFonts w:ascii="Arial" w:cs="Arial" w:eastAsia="Arial" w:hAnsi="Arial"/>
          <w:sz w:val="18"/>
          <w:szCs w:val="18"/>
          <w:color w:val="auto"/>
        </w:rPr>
        <w:t>relating to the registrant, including its consolidated subsidiaries, is made known to us by others within those entities, particularly during the period in which this report is being</w:t>
      </w:r>
    </w:p>
    <w:p>
      <w:pPr>
        <w:spacing w:after="0"/>
        <w:rPr>
          <w:rFonts w:ascii="Arial" w:cs="Arial" w:eastAsia="Arial" w:hAnsi="Arial"/>
          <w:sz w:val="18"/>
          <w:szCs w:val="18"/>
          <w:color w:val="auto"/>
        </w:rPr>
      </w:pPr>
      <w:r>
        <w:rPr>
          <w:rFonts w:ascii="Arial" w:cs="Arial" w:eastAsia="Arial" w:hAnsi="Arial"/>
          <w:sz w:val="18"/>
          <w:szCs w:val="18"/>
          <w:color w:val="auto"/>
        </w:rPr>
        <w:t>prepared;</w:t>
      </w:r>
    </w:p>
    <w:p>
      <w:pPr>
        <w:spacing w:after="0" w:line="210" w:lineRule="exact"/>
        <w:rPr>
          <w:rFonts w:ascii="Arial" w:cs="Arial" w:eastAsia="Arial" w:hAnsi="Arial"/>
          <w:sz w:val="18"/>
          <w:szCs w:val="18"/>
          <w:color w:val="auto"/>
        </w:rPr>
      </w:pPr>
    </w:p>
    <w:p>
      <w:pPr>
        <w:ind w:right="240" w:firstLine="8"/>
        <w:spacing w:after="0" w:line="258"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w:t>
      </w:r>
    </w:p>
    <w:p>
      <w:pPr>
        <w:spacing w:after="0" w:line="1" w:lineRule="exact"/>
        <w:rPr>
          <w:rFonts w:ascii="Arial" w:cs="Arial" w:eastAsia="Arial" w:hAnsi="Arial"/>
          <w:sz w:val="18"/>
          <w:szCs w:val="18"/>
          <w:color w:val="auto"/>
        </w:rPr>
      </w:pPr>
    </w:p>
    <w:p>
      <w:pPr>
        <w:ind w:right="600"/>
        <w:spacing w:after="0" w:line="261" w:lineRule="auto"/>
        <w:rPr>
          <w:rFonts w:ascii="Arial" w:cs="Arial" w:eastAsia="Arial" w:hAnsi="Arial"/>
          <w:sz w:val="18"/>
          <w:szCs w:val="18"/>
          <w:color w:val="auto"/>
        </w:rPr>
      </w:pPr>
      <w:r>
        <w:rPr>
          <w:rFonts w:ascii="Arial" w:cs="Arial" w:eastAsia="Arial" w:hAnsi="Arial"/>
          <w:sz w:val="18"/>
          <w:szCs w:val="18"/>
          <w:color w:val="auto"/>
        </w:rPr>
        <w:t>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8"/>
        <w:spacing w:after="0" w:line="258"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procedures, as of the end of the period covered by this report based on such evaluation; and</w:t>
      </w:r>
    </w:p>
    <w:p>
      <w:pPr>
        <w:spacing w:after="0" w:line="210" w:lineRule="exact"/>
        <w:rPr>
          <w:rFonts w:ascii="Arial" w:cs="Arial" w:eastAsia="Arial" w:hAnsi="Arial"/>
          <w:sz w:val="18"/>
          <w:szCs w:val="18"/>
          <w:color w:val="auto"/>
        </w:rPr>
      </w:pPr>
    </w:p>
    <w:p>
      <w:pPr>
        <w:ind w:right="540" w:firstLine="8"/>
        <w:spacing w:after="0" w:line="258"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w:t>
      </w:r>
    </w:p>
    <w:p>
      <w:pPr>
        <w:spacing w:after="0" w:line="1" w:lineRule="exact"/>
        <w:rPr>
          <w:rFonts w:ascii="Arial" w:cs="Arial" w:eastAsia="Arial" w:hAnsi="Arial"/>
          <w:sz w:val="18"/>
          <w:szCs w:val="18"/>
          <w:color w:val="auto"/>
        </w:rPr>
      </w:pPr>
    </w:p>
    <w:p>
      <w:pPr>
        <w:ind w:right="460"/>
        <w:spacing w:after="0" w:line="261" w:lineRule="auto"/>
        <w:rPr>
          <w:rFonts w:ascii="Arial" w:cs="Arial" w:eastAsia="Arial" w:hAnsi="Arial"/>
          <w:sz w:val="18"/>
          <w:szCs w:val="18"/>
          <w:color w:val="auto"/>
        </w:rPr>
      </w:pPr>
      <w:r>
        <w:rPr>
          <w:rFonts w:ascii="Arial" w:cs="Arial" w:eastAsia="Arial" w:hAnsi="Arial"/>
          <w:sz w:val="18"/>
          <w:szCs w:val="18"/>
          <w:color w:val="auto"/>
        </w:rPr>
        <w:t>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660" w:firstLine="8"/>
        <w:spacing w:after="0" w:line="258"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committee of the registrant's board of directors (or persons performing the equivalent functions):</w:t>
      </w:r>
    </w:p>
    <w:p>
      <w:pPr>
        <w:spacing w:after="0" w:line="211" w:lineRule="exact"/>
        <w:rPr>
          <w:sz w:val="20"/>
          <w:szCs w:val="20"/>
          <w:color w:val="auto"/>
        </w:rPr>
      </w:pPr>
    </w:p>
    <w:p>
      <w:pPr>
        <w:ind w:right="220" w:firstLine="8"/>
        <w:spacing w:after="0" w:line="258"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registrant's ability to record, process, summarize and report financial information, and</w:t>
      </w:r>
    </w:p>
    <w:p>
      <w:pPr>
        <w:spacing w:after="0" w:line="21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/s/DANIEL J. ABDUN-NABI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Abdun-Nabi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6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Robert Kramer certify that:</w:t>
      </w:r>
    </w:p>
    <w:p>
      <w:pPr>
        <w:spacing w:after="0" w:line="211"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right="760" w:firstLine="8"/>
        <w:spacing w:after="0" w:line="258"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60" w:firstLine="8"/>
        <w:spacing w:after="0" w:line="258"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operations and cash flows of the registrant as of, and for, the periods presented in this report;</w:t>
      </w:r>
    </w:p>
    <w:p>
      <w:pPr>
        <w:spacing w:after="0" w:line="210" w:lineRule="exact"/>
        <w:rPr>
          <w:rFonts w:ascii="Arial" w:cs="Arial" w:eastAsia="Arial" w:hAnsi="Arial"/>
          <w:sz w:val="18"/>
          <w:szCs w:val="18"/>
          <w:color w:val="auto"/>
        </w:rPr>
      </w:pPr>
    </w:p>
    <w:p>
      <w:pPr>
        <w:ind w:right="220" w:firstLine="8"/>
        <w:spacing w:after="0" w:line="258"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15d-15(e)) and internal control over financial reporting (as defined in Exchange Act Rules 13a-15(f) and 15d-15(f)) for the registrant and have:</w:t>
      </w:r>
    </w:p>
    <w:p>
      <w:pPr>
        <w:spacing w:after="0" w:line="211" w:lineRule="exact"/>
        <w:rPr>
          <w:sz w:val="20"/>
          <w:szCs w:val="20"/>
          <w:color w:val="auto"/>
        </w:rPr>
      </w:pPr>
    </w:p>
    <w:p>
      <w:pPr>
        <w:ind w:right="120" w:firstLine="8"/>
        <w:spacing w:after="0" w:line="258" w:lineRule="auto"/>
        <w:tabs>
          <w:tab w:leader="none" w:pos="2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w:t>
      </w:r>
    </w:p>
    <w:p>
      <w:pPr>
        <w:spacing w:after="0" w:line="1" w:lineRule="exact"/>
        <w:rPr>
          <w:rFonts w:ascii="Arial" w:cs="Arial" w:eastAsia="Arial" w:hAnsi="Arial"/>
          <w:sz w:val="18"/>
          <w:szCs w:val="18"/>
          <w:color w:val="auto"/>
        </w:rPr>
      </w:pPr>
    </w:p>
    <w:p>
      <w:pPr>
        <w:ind w:right="200"/>
        <w:spacing w:after="0" w:line="250" w:lineRule="auto"/>
        <w:rPr>
          <w:rFonts w:ascii="Arial" w:cs="Arial" w:eastAsia="Arial" w:hAnsi="Arial"/>
          <w:sz w:val="18"/>
          <w:szCs w:val="18"/>
          <w:color w:val="auto"/>
        </w:rPr>
      </w:pPr>
      <w:r>
        <w:rPr>
          <w:rFonts w:ascii="Arial" w:cs="Arial" w:eastAsia="Arial" w:hAnsi="Arial"/>
          <w:sz w:val="18"/>
          <w:szCs w:val="18"/>
          <w:color w:val="auto"/>
        </w:rPr>
        <w:t>relating to the registrant, including its consolidated subsidiaries, is made known to us by others within those entities, particularly during the period in which this report is being</w:t>
      </w:r>
    </w:p>
    <w:p>
      <w:pPr>
        <w:spacing w:after="0"/>
        <w:rPr>
          <w:rFonts w:ascii="Arial" w:cs="Arial" w:eastAsia="Arial" w:hAnsi="Arial"/>
          <w:sz w:val="18"/>
          <w:szCs w:val="18"/>
          <w:color w:val="auto"/>
        </w:rPr>
      </w:pPr>
      <w:r>
        <w:rPr>
          <w:rFonts w:ascii="Arial" w:cs="Arial" w:eastAsia="Arial" w:hAnsi="Arial"/>
          <w:sz w:val="18"/>
          <w:szCs w:val="18"/>
          <w:color w:val="auto"/>
        </w:rPr>
        <w:t>prepared;</w:t>
      </w:r>
    </w:p>
    <w:p>
      <w:pPr>
        <w:spacing w:after="0" w:line="210" w:lineRule="exact"/>
        <w:rPr>
          <w:rFonts w:ascii="Arial" w:cs="Arial" w:eastAsia="Arial" w:hAnsi="Arial"/>
          <w:sz w:val="18"/>
          <w:szCs w:val="18"/>
          <w:color w:val="auto"/>
        </w:rPr>
      </w:pPr>
    </w:p>
    <w:p>
      <w:pPr>
        <w:ind w:right="240" w:firstLine="8"/>
        <w:spacing w:after="0" w:line="258"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w:t>
      </w:r>
    </w:p>
    <w:p>
      <w:pPr>
        <w:spacing w:after="0" w:line="1" w:lineRule="exact"/>
        <w:rPr>
          <w:rFonts w:ascii="Arial" w:cs="Arial" w:eastAsia="Arial" w:hAnsi="Arial"/>
          <w:sz w:val="18"/>
          <w:szCs w:val="18"/>
          <w:color w:val="auto"/>
        </w:rPr>
      </w:pPr>
    </w:p>
    <w:p>
      <w:pPr>
        <w:ind w:right="600"/>
        <w:spacing w:after="0" w:line="261" w:lineRule="auto"/>
        <w:rPr>
          <w:rFonts w:ascii="Arial" w:cs="Arial" w:eastAsia="Arial" w:hAnsi="Arial"/>
          <w:sz w:val="18"/>
          <w:szCs w:val="18"/>
          <w:color w:val="auto"/>
        </w:rPr>
      </w:pPr>
      <w:r>
        <w:rPr>
          <w:rFonts w:ascii="Arial" w:cs="Arial" w:eastAsia="Arial" w:hAnsi="Arial"/>
          <w:sz w:val="18"/>
          <w:szCs w:val="18"/>
          <w:color w:val="auto"/>
        </w:rPr>
        <w:t>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8"/>
        <w:spacing w:after="0" w:line="258" w:lineRule="auto"/>
        <w:tabs>
          <w:tab w:leader="none" w:pos="2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procedures, as of the end of the period covered by this report based on such evaluation; and</w:t>
      </w:r>
    </w:p>
    <w:p>
      <w:pPr>
        <w:spacing w:after="0" w:line="210" w:lineRule="exact"/>
        <w:rPr>
          <w:rFonts w:ascii="Arial" w:cs="Arial" w:eastAsia="Arial" w:hAnsi="Arial"/>
          <w:sz w:val="18"/>
          <w:szCs w:val="18"/>
          <w:color w:val="auto"/>
        </w:rPr>
      </w:pPr>
    </w:p>
    <w:p>
      <w:pPr>
        <w:ind w:right="540" w:firstLine="8"/>
        <w:spacing w:after="0" w:line="258"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w:t>
      </w:r>
    </w:p>
    <w:p>
      <w:pPr>
        <w:spacing w:after="0" w:line="1" w:lineRule="exact"/>
        <w:rPr>
          <w:rFonts w:ascii="Arial" w:cs="Arial" w:eastAsia="Arial" w:hAnsi="Arial"/>
          <w:sz w:val="18"/>
          <w:szCs w:val="18"/>
          <w:color w:val="auto"/>
        </w:rPr>
      </w:pPr>
    </w:p>
    <w:p>
      <w:pPr>
        <w:ind w:right="460"/>
        <w:spacing w:after="0" w:line="261" w:lineRule="auto"/>
        <w:rPr>
          <w:rFonts w:ascii="Arial" w:cs="Arial" w:eastAsia="Arial" w:hAnsi="Arial"/>
          <w:sz w:val="18"/>
          <w:szCs w:val="18"/>
          <w:color w:val="auto"/>
        </w:rPr>
      </w:pPr>
      <w:r>
        <w:rPr>
          <w:rFonts w:ascii="Arial" w:cs="Arial" w:eastAsia="Arial" w:hAnsi="Arial"/>
          <w:sz w:val="18"/>
          <w:szCs w:val="18"/>
          <w:color w:val="auto"/>
        </w:rPr>
        <w:t>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660" w:firstLine="8"/>
        <w:spacing w:after="0" w:line="258"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committee of the registrant's board of directors (or persons performing the equivalent functions):</w:t>
      </w:r>
    </w:p>
    <w:p>
      <w:pPr>
        <w:spacing w:after="0" w:line="211" w:lineRule="exact"/>
        <w:rPr>
          <w:sz w:val="20"/>
          <w:szCs w:val="20"/>
          <w:color w:val="auto"/>
        </w:rPr>
      </w:pPr>
    </w:p>
    <w:p>
      <w:pPr>
        <w:ind w:right="220" w:firstLine="8"/>
        <w:spacing w:after="0" w:line="258"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registrant's ability to record, process, summarize and report financial information, and</w:t>
      </w:r>
    </w:p>
    <w:p>
      <w:pPr>
        <w:spacing w:after="0" w:line="21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KRAMER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Kramer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6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March 31, 2014 as filed with the Securities and Exchange Commission on the date hereof (the "Report"), the undersigned, Daniel Abdun-Nabi, Chief Executive Officer of the Company, hereby certifies, pursuant to 18 U.S.C. Section 1350, that:</w:t>
      </w:r>
    </w:p>
    <w:p>
      <w:pPr>
        <w:spacing w:after="0" w:line="208"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320" w:firstLine="332"/>
        <w:spacing w:after="0" w:line="532"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12,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/s/DANIEL J. ABDUN-NABI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Abdun-Nabi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607"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March 31, 2014 as filed with the Securities and Exchange Commission on the date hereof (the "Report"), the undersigned, Robert Kramer, Chief Financial Officer of the Company, hereby certifies, pursuant to 18 U.S.C. Section 1350, that:</w:t>
      </w:r>
    </w:p>
    <w:p>
      <w:pPr>
        <w:spacing w:after="0" w:line="208"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320" w:firstLine="332"/>
        <w:spacing w:after="0" w:line="532"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12,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KRAMER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Kramer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Roman"/>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lowerRoman"/>
      <w:start w:val="1"/>
    </w:lvl>
  </w:abstractNum>
  <w:abstractNum w:abstractNumId="27">
    <w:nsid w:val="5577F8E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8">
    <w:nsid w:val="440BADFC"/>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29">
    <w:nsid w:val="5072367"/>
    <w:multiLevelType w:val="hybridMultilevel"/>
    <w:lvl w:ilvl="0">
      <w:lvlJc w:val="left"/>
      <w:lvlText w:val="(%1)"/>
      <w:numFmt w:val="lowerLetter"/>
      <w:start w:val="1"/>
    </w:lvl>
    <w:lvl w:ilvl="1">
      <w:lvlJc w:val="left"/>
      <w:lvlText w:val="(%2)"/>
      <w:numFmt w:val="lowerLetter"/>
      <w:start w:val="9"/>
    </w:lvl>
  </w:abstractNum>
  <w:abstractNum w:abstractNumId="30">
    <w:nsid w:val="3804823E"/>
    <w:multiLevelType w:val="hybridMultilevel"/>
    <w:lvl w:ilvl="0">
      <w:lvlJc w:val="left"/>
      <w:lvlText w:val="%1"/>
      <w:numFmt w:val="lowerLetter"/>
      <w:start w:val="1"/>
    </w:lvl>
    <w:lvl w:ilvl="1">
      <w:lvlJc w:val="left"/>
      <w:lvlText w:val="(%2)"/>
      <w:numFmt w:val="lowerLetter"/>
      <w:start w:val="35"/>
    </w:lvl>
  </w:abstractNum>
  <w:abstractNum w:abstractNumId="31">
    <w:nsid w:val="77465F01"/>
    <w:multiLevelType w:val="hybridMultilevel"/>
    <w:lvl w:ilvl="0">
      <w:lvlJc w:val="left"/>
      <w:lvlText w:val="(%1)"/>
      <w:numFmt w:val="lowerLetter"/>
      <w:start w:val="2"/>
    </w:lvl>
    <w:lvl w:ilvl="1">
      <w:lvlJc w:val="left"/>
      <w:lvlText w:val="%2"/>
      <w:numFmt w:val="lowerLetter"/>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decimal"/>
      <w:start w:val="5"/>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5"/>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2019-12-07T12:39:09Z</dcterms:created>
  <dcterms:modified xsi:type="dcterms:W3CDTF">2019-12-07T12:39:09Z</dcterms:modified>
</cp:coreProperties>
</file>