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87"/>
        <w:spacing w:after="0"/>
        <w:rPr>
          <w:sz w:val="20"/>
          <w:szCs w:val="20"/>
          <w:color w:val="auto"/>
        </w:rPr>
      </w:pPr>
      <w:r>
        <w:rPr>
          <w:rFonts w:ascii="Arial" w:cs="Arial" w:eastAsia="Arial" w:hAnsi="Arial"/>
          <w:sz w:val="21"/>
          <w:szCs w:val="21"/>
          <w:b w:val="1"/>
          <w:bCs w:val="1"/>
          <w:color w:val="auto"/>
        </w:rPr>
        <w:t>SECURITIES AND EXCHANGE COMMISSION</w:t>
      </w:r>
    </w:p>
    <w:p>
      <w:pPr>
        <w:spacing w:after="0" w:line="6" w:lineRule="exact"/>
        <w:rPr>
          <w:sz w:val="24"/>
          <w:szCs w:val="24"/>
          <w:color w:val="auto"/>
        </w:rPr>
      </w:pPr>
    </w:p>
    <w:p>
      <w:pPr>
        <w:jc w:val="center"/>
        <w:ind w:right="-87"/>
        <w:spacing w:after="0"/>
        <w:rPr>
          <w:sz w:val="20"/>
          <w:szCs w:val="20"/>
          <w:color w:val="auto"/>
        </w:rPr>
      </w:pPr>
      <w:r>
        <w:rPr>
          <w:rFonts w:ascii="Arial" w:cs="Arial" w:eastAsia="Arial" w:hAnsi="Arial"/>
          <w:sz w:val="12"/>
          <w:szCs w:val="12"/>
          <w:b w:val="1"/>
          <w:bCs w:val="1"/>
          <w:color w:val="auto"/>
        </w:rPr>
        <w:t>WASHINGTON, D.C. 20549</w:t>
      </w:r>
    </w:p>
    <w:p>
      <w:pPr>
        <w:spacing w:after="0" w:line="130" w:lineRule="exact"/>
        <w:rPr>
          <w:sz w:val="24"/>
          <w:szCs w:val="24"/>
          <w:color w:val="auto"/>
        </w:rPr>
      </w:pPr>
    </w:p>
    <w:p>
      <w:pPr>
        <w:jc w:val="center"/>
        <w:ind w:right="-87"/>
        <w:spacing w:after="0"/>
        <w:rPr>
          <w:sz w:val="20"/>
          <w:szCs w:val="20"/>
          <w:color w:val="auto"/>
        </w:rPr>
      </w:pPr>
      <w:r>
        <w:rPr>
          <w:rFonts w:ascii="Arial" w:cs="Arial" w:eastAsia="Arial" w:hAnsi="Arial"/>
          <w:sz w:val="22"/>
          <w:szCs w:val="22"/>
          <w:b w:val="1"/>
          <w:bCs w:val="1"/>
          <w:color w:val="auto"/>
        </w:rPr>
        <w:t>FORM 8-K</w:t>
      </w:r>
    </w:p>
    <w:p>
      <w:pPr>
        <w:spacing w:after="0" w:line="152" w:lineRule="exact"/>
        <w:rPr>
          <w:sz w:val="24"/>
          <w:szCs w:val="24"/>
          <w:color w:val="auto"/>
        </w:rPr>
      </w:pPr>
    </w:p>
    <w:p>
      <w:pPr>
        <w:jc w:val="center"/>
        <w:ind w:right="-87"/>
        <w:spacing w:after="0"/>
        <w:rPr>
          <w:sz w:val="20"/>
          <w:szCs w:val="20"/>
          <w:color w:val="auto"/>
        </w:rPr>
      </w:pPr>
      <w:r>
        <w:rPr>
          <w:rFonts w:ascii="Arial" w:cs="Arial" w:eastAsia="Arial" w:hAnsi="Arial"/>
          <w:sz w:val="14"/>
          <w:szCs w:val="14"/>
          <w:b w:val="1"/>
          <w:bCs w:val="1"/>
          <w:color w:val="auto"/>
        </w:rPr>
        <w:t>CURRENT REPORT</w:t>
      </w:r>
    </w:p>
    <w:p>
      <w:pPr>
        <w:spacing w:after="0" w:line="154" w:lineRule="exact"/>
        <w:rPr>
          <w:sz w:val="24"/>
          <w:szCs w:val="24"/>
          <w:color w:val="auto"/>
        </w:rPr>
      </w:pPr>
    </w:p>
    <w:p>
      <w:pPr>
        <w:jc w:val="center"/>
        <w:ind w:right="-87"/>
        <w:spacing w:after="0"/>
        <w:rPr>
          <w:sz w:val="20"/>
          <w:szCs w:val="20"/>
          <w:color w:val="auto"/>
        </w:rPr>
      </w:pPr>
      <w:r>
        <w:rPr>
          <w:rFonts w:ascii="Arial" w:cs="Arial" w:eastAsia="Arial" w:hAnsi="Arial"/>
          <w:sz w:val="13"/>
          <w:szCs w:val="13"/>
          <w:b w:val="1"/>
          <w:bCs w:val="1"/>
          <w:color w:val="auto"/>
        </w:rPr>
        <w:t>Pursuant to Section 13 or 15(d) of the Securities Exchange Act of 1934</w:t>
      </w:r>
    </w:p>
    <w:p>
      <w:pPr>
        <w:spacing w:after="0" w:line="162" w:lineRule="exact"/>
        <w:rPr>
          <w:sz w:val="24"/>
          <w:szCs w:val="24"/>
          <w:color w:val="auto"/>
        </w:rPr>
      </w:pPr>
    </w:p>
    <w:p>
      <w:pPr>
        <w:jc w:val="center"/>
        <w:ind w:right="-87"/>
        <w:spacing w:after="0"/>
        <w:rPr>
          <w:sz w:val="20"/>
          <w:szCs w:val="20"/>
          <w:color w:val="auto"/>
        </w:rPr>
      </w:pPr>
      <w:r>
        <w:rPr>
          <w:rFonts w:ascii="Arial" w:cs="Arial" w:eastAsia="Arial" w:hAnsi="Arial"/>
          <w:sz w:val="12"/>
          <w:szCs w:val="12"/>
          <w:color w:val="auto"/>
        </w:rPr>
        <w:t xml:space="preserve">Date of Report (Date of earliest event reported): </w:t>
      </w:r>
      <w:r>
        <w:rPr>
          <w:rFonts w:ascii="Arial" w:cs="Arial" w:eastAsia="Arial" w:hAnsi="Arial"/>
          <w:sz w:val="12"/>
          <w:szCs w:val="12"/>
          <w:b w:val="1"/>
          <w:bCs w:val="1"/>
          <w:color w:val="auto"/>
        </w:rPr>
        <w:t>April 30, 2020</w:t>
      </w:r>
    </w:p>
    <w:p>
      <w:pPr>
        <w:spacing w:after="0" w:line="144" w:lineRule="exact"/>
        <w:rPr>
          <w:sz w:val="24"/>
          <w:szCs w:val="24"/>
          <w:color w:val="auto"/>
        </w:rPr>
      </w:pPr>
    </w:p>
    <w:p>
      <w:pPr>
        <w:jc w:val="center"/>
        <w:ind w:right="-87"/>
        <w:spacing w:after="0"/>
        <w:rPr>
          <w:sz w:val="20"/>
          <w:szCs w:val="20"/>
          <w:color w:val="auto"/>
        </w:rPr>
      </w:pPr>
      <w:r>
        <w:rPr>
          <w:rFonts w:ascii="Arial" w:cs="Arial" w:eastAsia="Arial" w:hAnsi="Arial"/>
          <w:sz w:val="22"/>
          <w:szCs w:val="22"/>
          <w:b w:val="1"/>
          <w:bCs w:val="1"/>
          <w:color w:val="auto"/>
        </w:rPr>
        <w:t>EMERGENT BIOSOLUTIONS INC.</w:t>
      </w:r>
    </w:p>
    <w:p>
      <w:pPr>
        <w:spacing w:after="0" w:line="19" w:lineRule="exact"/>
        <w:rPr>
          <w:sz w:val="24"/>
          <w:szCs w:val="24"/>
          <w:color w:val="auto"/>
        </w:rPr>
      </w:pPr>
    </w:p>
    <w:p>
      <w:pPr>
        <w:jc w:val="center"/>
        <w:ind w:right="-87"/>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208"/>
          </w:cols>
          <w:pgMar w:left="292" w:top="481" w:right="399" w:bottom="1440" w:gutter="0" w:footer="0" w:header="0"/>
        </w:sectPr>
      </w:pPr>
    </w:p>
    <w:p>
      <w:pPr>
        <w:spacing w:after="0" w:line="244" w:lineRule="exact"/>
        <w:rPr>
          <w:sz w:val="24"/>
          <w:szCs w:val="24"/>
          <w:color w:val="auto"/>
        </w:rPr>
      </w:pPr>
    </w:p>
    <w:p>
      <w:pPr>
        <w:ind w:left="1908"/>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ind w:right="2220"/>
        <w:spacing w:after="0"/>
        <w:rPr>
          <w:sz w:val="20"/>
          <w:szCs w:val="20"/>
          <w:color w:val="auto"/>
        </w:rPr>
      </w:pPr>
      <w:r>
        <w:rPr>
          <w:rFonts w:ascii="Arial" w:cs="Arial" w:eastAsia="Arial" w:hAnsi="Arial"/>
          <w:sz w:val="10"/>
          <w:szCs w:val="10"/>
          <w:b w:val="1"/>
          <w:bCs w:val="1"/>
          <w:color w:val="auto"/>
        </w:rPr>
        <w:t>001-33137</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14-1902018</w:t>
      </w:r>
    </w:p>
    <w:p>
      <w:pPr>
        <w:spacing w:after="0" w:line="69" w:lineRule="exact"/>
        <w:rPr>
          <w:sz w:val="24"/>
          <w:szCs w:val="24"/>
          <w:color w:val="auto"/>
        </w:rPr>
      </w:pPr>
    </w:p>
    <w:p>
      <w:pPr>
        <w:sectPr>
          <w:pgSz w:w="11900" w:h="16838" w:orient="portrait"/>
          <w:cols w:equalWidth="0" w:num="3">
            <w:col w:w="4688" w:space="720"/>
            <w:col w:w="2740" w:space="720"/>
            <w:col w:w="2340"/>
          </w:cols>
          <w:pgMar w:left="292" w:top="481" w:right="399" w:bottom="1440" w:gutter="0" w:footer="0" w:header="0"/>
          <w:type w:val="continuous"/>
        </w:sectPr>
      </w:pPr>
    </w:p>
    <w:p>
      <w:pPr>
        <w:jc w:val="center"/>
        <w:ind w:right="12"/>
        <w:spacing w:after="0"/>
        <w:rPr>
          <w:sz w:val="20"/>
          <w:szCs w:val="20"/>
          <w:color w:val="auto"/>
        </w:rPr>
      </w:pPr>
      <w:r>
        <w:rPr>
          <w:rFonts w:ascii="Arial" w:cs="Arial" w:eastAsia="Arial" w:hAnsi="Arial"/>
          <w:sz w:val="11"/>
          <w:szCs w:val="11"/>
          <w:color w:val="auto"/>
        </w:rPr>
        <w:t>(State or other jurisdiction</w:t>
      </w:r>
    </w:p>
    <w:p>
      <w:pPr>
        <w:spacing w:after="0" w:line="54" w:lineRule="exact"/>
        <w:rPr>
          <w:sz w:val="24"/>
          <w:szCs w:val="24"/>
          <w:color w:val="auto"/>
        </w:rPr>
      </w:pPr>
    </w:p>
    <w:p>
      <w:pPr>
        <w:jc w:val="center"/>
        <w:ind w:right="12"/>
        <w:spacing w:after="0"/>
        <w:rPr>
          <w:sz w:val="20"/>
          <w:szCs w:val="20"/>
          <w:color w:val="auto"/>
        </w:rPr>
      </w:pPr>
      <w:r>
        <w:rPr>
          <w:rFonts w:ascii="Arial" w:cs="Arial" w:eastAsia="Arial" w:hAnsi="Arial"/>
          <w:sz w:val="12"/>
          <w:szCs w:val="12"/>
          <w:color w:val="auto"/>
        </w:rPr>
        <w:t>of incorporation)</w:t>
      </w:r>
    </w:p>
    <w:p>
      <w:pPr>
        <w:spacing w:after="0" w:line="20" w:lineRule="exact"/>
        <w:rPr>
          <w:sz w:val="24"/>
          <w:szCs w:val="24"/>
          <w:color w:val="auto"/>
        </w:rPr>
      </w:pPr>
      <w:r>
        <w:rPr>
          <w:sz w:val="24"/>
          <w:szCs w:val="24"/>
          <w:color w:val="auto"/>
        </w:rPr>
        <w:br w:type="column"/>
      </w:r>
    </w:p>
    <w:p>
      <w:pPr>
        <w:jc w:val="center"/>
        <w:ind w:right="1680"/>
        <w:spacing w:after="0"/>
        <w:rPr>
          <w:sz w:val="20"/>
          <w:szCs w:val="20"/>
          <w:color w:val="auto"/>
        </w:rPr>
      </w:pPr>
      <w:r>
        <w:rPr>
          <w:rFonts w:ascii="Arial" w:cs="Arial" w:eastAsia="Arial" w:hAnsi="Arial"/>
          <w:sz w:val="11"/>
          <w:szCs w:val="11"/>
          <w:color w:val="auto"/>
        </w:rPr>
        <w:t>(Commission File Number)</w:t>
      </w:r>
    </w:p>
    <w:p>
      <w:pPr>
        <w:spacing w:after="0" w:line="20" w:lineRule="exact"/>
        <w:rPr>
          <w:sz w:val="24"/>
          <w:szCs w:val="24"/>
          <w:color w:val="auto"/>
        </w:rPr>
      </w:pPr>
      <w:r>
        <w:rPr>
          <w:sz w:val="24"/>
          <w:szCs w:val="24"/>
          <w:color w:val="auto"/>
        </w:rPr>
        <w:br w:type="column"/>
      </w:r>
    </w:p>
    <w:p>
      <w:pPr>
        <w:jc w:val="center"/>
        <w:ind w:right="1600"/>
        <w:spacing w:after="0"/>
        <w:rPr>
          <w:sz w:val="20"/>
          <w:szCs w:val="20"/>
          <w:color w:val="auto"/>
        </w:rPr>
      </w:pPr>
      <w:r>
        <w:rPr>
          <w:rFonts w:ascii="Arial" w:cs="Arial" w:eastAsia="Arial" w:hAnsi="Arial"/>
          <w:sz w:val="12"/>
          <w:szCs w:val="12"/>
          <w:color w:val="auto"/>
        </w:rPr>
        <w:t>(IRS Employer</w:t>
      </w:r>
    </w:p>
    <w:p>
      <w:pPr>
        <w:spacing w:after="0" w:line="42" w:lineRule="exact"/>
        <w:rPr>
          <w:sz w:val="24"/>
          <w:szCs w:val="24"/>
          <w:color w:val="auto"/>
        </w:rPr>
      </w:pPr>
    </w:p>
    <w:p>
      <w:pPr>
        <w:jc w:val="center"/>
        <w:ind w:right="1600"/>
        <w:spacing w:after="0"/>
        <w:rPr>
          <w:sz w:val="20"/>
          <w:szCs w:val="20"/>
          <w:color w:val="auto"/>
        </w:rPr>
      </w:pPr>
      <w:r>
        <w:rPr>
          <w:rFonts w:ascii="Arial" w:cs="Arial" w:eastAsia="Arial" w:hAnsi="Arial"/>
          <w:sz w:val="11"/>
          <w:szCs w:val="11"/>
          <w:color w:val="auto"/>
        </w:rPr>
        <w:t>Identification No.)</w:t>
      </w:r>
    </w:p>
    <w:p>
      <w:pPr>
        <w:spacing w:after="0" w:line="35" w:lineRule="exact"/>
        <w:rPr>
          <w:sz w:val="24"/>
          <w:szCs w:val="24"/>
          <w:color w:val="auto"/>
        </w:rPr>
      </w:pPr>
    </w:p>
    <w:p>
      <w:pPr>
        <w:sectPr>
          <w:pgSz w:w="11900" w:h="16838" w:orient="portrait"/>
          <w:cols w:equalWidth="0" w:num="3">
            <w:col w:w="4288" w:space="720"/>
            <w:col w:w="3000" w:space="720"/>
            <w:col w:w="2480"/>
          </w:cols>
          <w:pgMar w:left="292" w:top="481" w:right="399" w:bottom="1440" w:gutter="0" w:footer="0" w:header="0"/>
          <w:type w:val="continuous"/>
        </w:sectPr>
      </w:pPr>
    </w:p>
    <w:p>
      <w:pPr>
        <w:ind w:left="4648"/>
        <w:spacing w:after="0"/>
        <w:rPr>
          <w:sz w:val="20"/>
          <w:szCs w:val="20"/>
          <w:color w:val="auto"/>
        </w:rPr>
      </w:pPr>
      <w:r>
        <w:rPr>
          <w:rFonts w:ascii="Arial" w:cs="Arial" w:eastAsia="Arial" w:hAnsi="Arial"/>
          <w:sz w:val="14"/>
          <w:szCs w:val="14"/>
          <w:b w:val="1"/>
          <w:bCs w:val="1"/>
          <w:color w:val="auto"/>
        </w:rPr>
        <w:t>400 Professional Drive, Suite 400,</w:t>
      </w:r>
    </w:p>
    <w:p>
      <w:pPr>
        <w:spacing w:after="0" w:line="25" w:lineRule="exact"/>
        <w:rPr>
          <w:sz w:val="24"/>
          <w:szCs w:val="24"/>
          <w:color w:val="auto"/>
        </w:rPr>
      </w:pPr>
    </w:p>
    <w:p>
      <w:pPr>
        <w:ind w:left="4688"/>
        <w:spacing w:after="0"/>
        <w:rPr>
          <w:sz w:val="20"/>
          <w:szCs w:val="20"/>
          <w:color w:val="auto"/>
        </w:rPr>
      </w:pPr>
      <w:r>
        <w:rPr>
          <w:rFonts w:ascii="Arial" w:cs="Arial" w:eastAsia="Arial" w:hAnsi="Arial"/>
          <w:sz w:val="14"/>
          <w:szCs w:val="14"/>
          <w:b w:val="1"/>
          <w:bCs w:val="1"/>
          <w:color w:val="auto"/>
        </w:rPr>
        <w:t>Gaithersburg, Maryland 20879</w:t>
      </w:r>
    </w:p>
    <w:p>
      <w:pPr>
        <w:spacing w:after="0" w:line="58" w:lineRule="exact"/>
        <w:rPr>
          <w:sz w:val="24"/>
          <w:szCs w:val="24"/>
          <w:color w:val="auto"/>
        </w:rPr>
      </w:pPr>
    </w:p>
    <w:p>
      <w:pPr>
        <w:jc w:val="center"/>
        <w:ind w:right="-87"/>
        <w:spacing w:after="0"/>
        <w:rPr>
          <w:sz w:val="20"/>
          <w:szCs w:val="20"/>
          <w:color w:val="auto"/>
        </w:rPr>
      </w:pPr>
      <w:r>
        <w:rPr>
          <w:rFonts w:ascii="Arial" w:cs="Arial" w:eastAsia="Arial" w:hAnsi="Arial"/>
          <w:sz w:val="11"/>
          <w:szCs w:val="11"/>
          <w:color w:val="auto"/>
        </w:rPr>
        <w:t>(Address of principal executive offices, including zip code)</w:t>
      </w:r>
    </w:p>
    <w:p>
      <w:pPr>
        <w:spacing w:after="0" w:line="158" w:lineRule="exact"/>
        <w:rPr>
          <w:sz w:val="24"/>
          <w:szCs w:val="24"/>
          <w:color w:val="auto"/>
        </w:rPr>
      </w:pPr>
    </w:p>
    <w:p>
      <w:pPr>
        <w:jc w:val="center"/>
        <w:ind w:right="-87"/>
        <w:spacing w:after="0"/>
        <w:rPr>
          <w:sz w:val="20"/>
          <w:szCs w:val="20"/>
          <w:color w:val="auto"/>
        </w:rPr>
      </w:pPr>
      <w:r>
        <w:rPr>
          <w:rFonts w:ascii="Arial" w:cs="Arial" w:eastAsia="Arial" w:hAnsi="Arial"/>
          <w:sz w:val="12"/>
          <w:szCs w:val="12"/>
          <w:b w:val="1"/>
          <w:bCs w:val="1"/>
          <w:color w:val="auto"/>
        </w:rPr>
        <w:t>(240) 631-3200</w:t>
      </w:r>
    </w:p>
    <w:p>
      <w:pPr>
        <w:spacing w:after="0" w:line="19" w:lineRule="exact"/>
        <w:rPr>
          <w:sz w:val="24"/>
          <w:szCs w:val="24"/>
          <w:color w:val="auto"/>
        </w:rPr>
      </w:pPr>
    </w:p>
    <w:p>
      <w:pPr>
        <w:jc w:val="center"/>
        <w:ind w:right="-87"/>
        <w:spacing w:after="0"/>
        <w:rPr>
          <w:sz w:val="20"/>
          <w:szCs w:val="20"/>
          <w:color w:val="auto"/>
        </w:rPr>
      </w:pPr>
      <w:r>
        <w:rPr>
          <w:rFonts w:ascii="Arial" w:cs="Arial" w:eastAsia="Arial" w:hAnsi="Arial"/>
          <w:sz w:val="12"/>
          <w:szCs w:val="12"/>
          <w:color w:val="auto"/>
        </w:rPr>
        <w:t>(Registrant’s telephone number, including area code)</w:t>
      </w:r>
    </w:p>
    <w:p>
      <w:pPr>
        <w:sectPr>
          <w:pgSz w:w="11900" w:h="16838" w:orient="portrait"/>
          <w:cols w:equalWidth="0" w:num="1">
            <w:col w:w="11208"/>
          </w:cols>
          <w:pgMar w:left="292" w:top="481" w:right="399" w:bottom="1440" w:gutter="0" w:footer="0" w:header="0"/>
          <w:type w:val="continuous"/>
        </w:sectPr>
      </w:pPr>
    </w:p>
    <w:p>
      <w:pPr>
        <w:spacing w:after="0" w:line="137"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N/A</w:t>
      </w:r>
    </w:p>
    <w:p>
      <w:pPr>
        <w:spacing w:after="0" w:line="19"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41"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294" w:lineRule="exact"/>
        <w:rPr>
          <w:sz w:val="24"/>
          <w:szCs w:val="24"/>
          <w:color w:val="auto"/>
        </w:rPr>
      </w:pPr>
    </w:p>
    <w:p>
      <w:pPr>
        <w:ind w:left="8" w:right="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8"/>
        <w:spacing w:after="0" w:line="138" w:lineRule="exact"/>
        <w:tabs>
          <w:tab w:leader="none" w:pos="1448"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72" w:lineRule="exact"/>
        <w:rPr>
          <w:sz w:val="24"/>
          <w:szCs w:val="24"/>
          <w:color w:val="auto"/>
        </w:rPr>
      </w:pPr>
    </w:p>
    <w:p>
      <w:pPr>
        <w:ind w:left="8"/>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24" w:lineRule="exact"/>
        <w:rPr>
          <w:sz w:val="24"/>
          <w:szCs w:val="24"/>
          <w:color w:val="auto"/>
        </w:rPr>
      </w:pPr>
    </w:p>
    <w:p>
      <w:pPr>
        <w:ind w:left="8"/>
        <w:spacing w:after="0"/>
        <w:rPr>
          <w:sz w:val="20"/>
          <w:szCs w:val="20"/>
          <w:color w:val="auto"/>
        </w:rPr>
      </w:pPr>
      <w:r>
        <w:rPr>
          <w:rFonts w:ascii="Arial" w:cs="Arial" w:eastAsia="Arial" w:hAnsi="Arial"/>
          <w:sz w:val="12"/>
          <w:szCs w:val="12"/>
          <w:color w:val="auto"/>
        </w:rPr>
        <w:t>Securities registered pursuant to Section 12(b) of the Act:</w:t>
      </w:r>
    </w:p>
    <w:p>
      <w:pPr>
        <w:spacing w:after="0" w:line="229" w:lineRule="exact"/>
        <w:rPr>
          <w:sz w:val="24"/>
          <w:szCs w:val="24"/>
          <w:color w:val="auto"/>
        </w:rPr>
      </w:pPr>
    </w:p>
    <w:tbl>
      <w:tblPr>
        <w:tblLayout w:type="fixed"/>
        <w:tblInd w:w="238" w:type="dxa"/>
        <w:tblCellMar>
          <w:top w:w="0" w:type="dxa"/>
          <w:left w:w="0" w:type="dxa"/>
          <w:bottom w:w="0" w:type="dxa"/>
          <w:right w:w="0" w:type="dxa"/>
        </w:tblCellMar>
      </w:tblPr>
      <w:tr>
        <w:trPr>
          <w:trHeight w:val="180"/>
        </w:trPr>
        <w:tc>
          <w:tcPr>
            <w:tcW w:w="4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Title of each class</w:t>
            </w:r>
          </w:p>
        </w:tc>
        <w:tc>
          <w:tcPr>
            <w:tcW w:w="22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Trading Symbol(s)</w:t>
            </w:r>
          </w:p>
        </w:tc>
        <w:tc>
          <w:tcPr>
            <w:tcW w:w="41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Name of each exchange on which registered</w:t>
            </w:r>
          </w:p>
        </w:tc>
      </w:tr>
      <w:tr>
        <w:trPr>
          <w:trHeight w:val="169"/>
        </w:trPr>
        <w:tc>
          <w:tcPr>
            <w:tcW w:w="4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Common Stock, Par Value $0.001 per share</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EBS</w:t>
            </w:r>
          </w:p>
        </w:tc>
        <w:tc>
          <w:tcPr>
            <w:tcW w:w="4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New York Stock Exchange</w:t>
            </w:r>
          </w:p>
        </w:tc>
      </w:tr>
    </w:tbl>
    <w:p>
      <w:pPr>
        <w:sectPr>
          <w:pgSz w:w="11900" w:h="16838" w:orient="portrait"/>
          <w:cols w:equalWidth="0" w:num="1">
            <w:col w:w="11208"/>
          </w:cols>
          <w:pgMar w:left="292" w:top="481"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w:t>
      </w:r>
      <w:r>
        <w:rPr>
          <w:rFonts w:ascii="Arial" w:cs="Arial" w:eastAsia="Arial" w:hAnsi="Arial"/>
          <w:sz w:val="12"/>
          <w:szCs w:val="12"/>
          <w:color w:val="auto"/>
        </w:rPr>
        <w:t>.</w:t>
      </w:r>
    </w:p>
    <w:p>
      <w:pPr>
        <w:spacing w:after="0" w:line="262"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On April 30, 2020, Emergent BioSolutions Inc. (the “Company”) announced financial and operating results for the quarter ended March 31, 2020. The full text of the press release issued in connection with the announcement is attached as Exhibit 99.1 to this Current Report on Form 8-K.</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298" w:lineRule="exact"/>
        <w:rPr>
          <w:sz w:val="20"/>
          <w:szCs w:val="20"/>
          <w:color w:val="auto"/>
        </w:rPr>
      </w:pPr>
    </w:p>
    <w:p>
      <w:pPr>
        <w:ind w:right="360" w:firstLine="358"/>
        <w:spacing w:after="0" w:line="276" w:lineRule="auto"/>
        <w:rPr>
          <w:sz w:val="20"/>
          <w:szCs w:val="20"/>
          <w:color w:val="auto"/>
        </w:rPr>
      </w:pPr>
      <w:r>
        <w:rPr>
          <w:rFonts w:ascii="Arial" w:cs="Arial" w:eastAsia="Arial" w:hAnsi="Arial"/>
          <w:sz w:val="12"/>
          <w:szCs w:val="12"/>
          <w:color w:val="auto"/>
        </w:rPr>
        <w:t>The Company is furnishing under this Item 7.01 a copy of a slide deck presentation, which will be available on April 30, 2020 on the Company’s earnings webcast for the quarter ended March 31, 2020, a copy of which is attached as Exhibit 99.2 to this Current Report on Form 8-K.</w:t>
      </w: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The information in this section is “furnished” and not “filed” for purposes of Section 18 of the Securities Exchange</w:t>
      </w:r>
    </w:p>
    <w:p>
      <w:pPr>
        <w:spacing w:after="0" w:line="8" w:lineRule="exact"/>
        <w:rPr>
          <w:sz w:val="20"/>
          <w:szCs w:val="20"/>
          <w:color w:val="auto"/>
        </w:rPr>
      </w:pPr>
    </w:p>
    <w:p>
      <w:pPr>
        <w:ind w:right="300"/>
        <w:spacing w:after="0" w:line="242" w:lineRule="auto"/>
        <w:rPr>
          <w:sz w:val="20"/>
          <w:szCs w:val="20"/>
          <w:color w:val="auto"/>
        </w:rPr>
      </w:pPr>
      <w:r>
        <w:rPr>
          <w:rFonts w:ascii="Arial" w:cs="Arial" w:eastAsia="Arial" w:hAnsi="Arial"/>
          <w:sz w:val="11"/>
          <w:szCs w:val="11"/>
          <w:i w:val="1"/>
          <w:iCs w:val="1"/>
          <w:color w:val="auto"/>
        </w:rPr>
        <w:t>Act of 1934, or otherwise subject to the liabilities of that section. It may only be incorporated by reference in another filing under the Securities Exchange Act of 1934 or the Securities Act of 1933 only if and to the extent such subsequent filing specifically references the information incorporated by reference herein</w:t>
      </w:r>
      <w:r>
        <w:rPr>
          <w:rFonts w:ascii="Arial" w:cs="Arial" w:eastAsia="Arial" w:hAnsi="Arial"/>
          <w:sz w:val="11"/>
          <w:szCs w:val="11"/>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r>
        <w:rPr>
          <w:rFonts w:ascii="Arial" w:cs="Arial" w:eastAsia="Arial" w:hAnsi="Arial"/>
          <w:sz w:val="12"/>
          <w:szCs w:val="12"/>
          <w:color w:val="auto"/>
        </w:rPr>
        <w: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160" w:type="dxa"/>
            <w:vAlign w:val="bottom"/>
            <w:gridSpan w:val="2"/>
          </w:tcPr>
          <w:p>
            <w:pPr>
              <w:jc w:val="right"/>
              <w:ind w:right="1400"/>
              <w:spacing w:after="0"/>
              <w:rPr>
                <w:sz w:val="20"/>
                <w:szCs w:val="20"/>
                <w:color w:val="auto"/>
              </w:rPr>
            </w:pPr>
            <w:r>
              <w:rPr>
                <w:rFonts w:ascii="Arial" w:cs="Arial" w:eastAsia="Arial" w:hAnsi="Arial"/>
                <w:sz w:val="12"/>
                <w:szCs w:val="12"/>
                <w:color w:val="auto"/>
              </w:rPr>
              <w:t>(d)  Exhibits.</w:t>
            </w:r>
          </w:p>
        </w:tc>
        <w:tc>
          <w:tcPr>
            <w:tcW w:w="4760" w:type="dxa"/>
            <w:vAlign w:val="bottom"/>
          </w:tcPr>
          <w:p>
            <w:pPr>
              <w:spacing w:after="0"/>
              <w:rPr>
                <w:sz w:val="13"/>
                <w:szCs w:val="13"/>
                <w:color w:val="auto"/>
              </w:rPr>
            </w:pPr>
          </w:p>
        </w:tc>
      </w:tr>
      <w:tr>
        <w:trPr>
          <w:trHeight w:val="441"/>
        </w:trPr>
        <w:tc>
          <w:tcPr>
            <w:tcW w:w="500" w:type="dxa"/>
            <w:vAlign w:val="bottom"/>
          </w:tcPr>
          <w:p>
            <w:pPr>
              <w:spacing w:after="0"/>
              <w:rPr>
                <w:sz w:val="24"/>
                <w:szCs w:val="24"/>
                <w:color w:val="auto"/>
              </w:rPr>
            </w:pPr>
          </w:p>
        </w:tc>
        <w:tc>
          <w:tcPr>
            <w:tcW w:w="1660" w:type="dxa"/>
            <w:vAlign w:val="bottom"/>
            <w:tcBorders>
              <w:bottom w:val="single" w:sz="8" w:color="auto"/>
            </w:tcBorders>
          </w:tcPr>
          <w:p>
            <w:pPr>
              <w:jc w:val="right"/>
              <w:ind w:right="1000"/>
              <w:spacing w:after="0"/>
              <w:rPr>
                <w:sz w:val="20"/>
                <w:szCs w:val="20"/>
                <w:color w:val="auto"/>
              </w:rPr>
            </w:pPr>
            <w:r>
              <w:rPr>
                <w:rFonts w:ascii="Arial" w:cs="Arial" w:eastAsia="Arial" w:hAnsi="Arial"/>
                <w:sz w:val="12"/>
                <w:szCs w:val="12"/>
                <w:b w:val="1"/>
                <w:bCs w:val="1"/>
                <w:color w:val="auto"/>
                <w:w w:val="92"/>
              </w:rPr>
              <w:t>Exhibit No.</w:t>
            </w:r>
          </w:p>
        </w:tc>
        <w:tc>
          <w:tcPr>
            <w:tcW w:w="4760" w:type="dxa"/>
            <w:vAlign w:val="bottom"/>
          </w:tcPr>
          <w:p>
            <w:pPr>
              <w:ind w:left="4160"/>
              <w:spacing w:after="0"/>
              <w:rPr>
                <w:sz w:val="20"/>
                <w:szCs w:val="20"/>
                <w:color w:val="auto"/>
              </w:rPr>
            </w:pPr>
            <w:r>
              <w:rPr>
                <w:rFonts w:ascii="Arial" w:cs="Arial" w:eastAsia="Arial" w:hAnsi="Arial"/>
                <w:sz w:val="12"/>
                <w:szCs w:val="12"/>
                <w:b w:val="1"/>
                <w:bCs w:val="1"/>
                <w:color w:val="auto"/>
                <w:w w:val="87"/>
              </w:rPr>
              <w:t>Description</w:t>
            </w:r>
          </w:p>
        </w:tc>
      </w:tr>
      <w:tr>
        <w:trPr>
          <w:trHeight w:val="160"/>
        </w:trPr>
        <w:tc>
          <w:tcPr>
            <w:tcW w:w="2160" w:type="dxa"/>
            <w:vAlign w:val="bottom"/>
            <w:gridSpan w:val="2"/>
          </w:tcPr>
          <w:p>
            <w:pPr>
              <w:jc w:val="right"/>
              <w:ind w:right="680"/>
              <w:spacing w:after="0"/>
              <w:rPr>
                <w:sz w:val="20"/>
                <w:szCs w:val="20"/>
                <w:color w:val="auto"/>
              </w:rPr>
            </w:pPr>
            <w:r>
              <w:rPr>
                <w:rFonts w:ascii="Arial" w:cs="Arial" w:eastAsia="Arial" w:hAnsi="Arial"/>
                <w:sz w:val="12"/>
                <w:szCs w:val="12"/>
                <w:color w:val="auto"/>
              </w:rPr>
              <w:t>99.1</w:t>
            </w:r>
          </w:p>
        </w:tc>
        <w:tc>
          <w:tcPr>
            <w:tcW w:w="4760" w:type="dxa"/>
            <w:vAlign w:val="bottom"/>
          </w:tcPr>
          <w:p>
            <w:pPr>
              <w:ind w:left="32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Press release issued by the company on April 30, 2020.</w:t>
              </w:r>
            </w:hyperlink>
          </w:p>
        </w:tc>
      </w:tr>
      <w:tr>
        <w:trPr>
          <w:trHeight w:val="180"/>
        </w:trPr>
        <w:tc>
          <w:tcPr>
            <w:tcW w:w="2160" w:type="dxa"/>
            <w:vAlign w:val="bottom"/>
            <w:gridSpan w:val="2"/>
          </w:tcPr>
          <w:p>
            <w:pPr>
              <w:jc w:val="right"/>
              <w:ind w:right="680"/>
              <w:spacing w:after="0"/>
              <w:rPr>
                <w:sz w:val="20"/>
                <w:szCs w:val="20"/>
                <w:color w:val="auto"/>
              </w:rPr>
            </w:pPr>
            <w:r>
              <w:rPr>
                <w:rFonts w:ascii="Arial" w:cs="Arial" w:eastAsia="Arial" w:hAnsi="Arial"/>
                <w:sz w:val="12"/>
                <w:szCs w:val="12"/>
                <w:color w:val="auto"/>
              </w:rPr>
              <w:t>99.2</w:t>
            </w:r>
          </w:p>
        </w:tc>
        <w:tc>
          <w:tcPr>
            <w:tcW w:w="4760" w:type="dxa"/>
            <w:vAlign w:val="bottom"/>
          </w:tcPr>
          <w:p>
            <w:pPr>
              <w:ind w:left="320"/>
              <w:spacing w:after="0"/>
              <w:rPr>
                <w:rFonts w:ascii="Arial" w:cs="Arial" w:eastAsia="Arial" w:hAnsi="Arial"/>
                <w:sz w:val="12"/>
                <w:szCs w:val="12"/>
                <w:u w:val="single" w:color="auto"/>
                <w:color w:val="0000FF"/>
              </w:rPr>
            </w:pPr>
            <w:hyperlink w:anchor="page13">
              <w:r>
                <w:rPr>
                  <w:rFonts w:ascii="Arial" w:cs="Arial" w:eastAsia="Arial" w:hAnsi="Arial"/>
                  <w:sz w:val="12"/>
                  <w:szCs w:val="12"/>
                  <w:u w:val="single" w:color="auto"/>
                  <w:color w:val="0000FF"/>
                </w:rPr>
                <w:t>Set of slides that will accompany the April 30, 2020 earnings webcast.</w:t>
              </w:r>
            </w:hyperlink>
          </w:p>
        </w:tc>
      </w:tr>
    </w:tbl>
    <w:p>
      <w:pPr>
        <w:spacing w:after="0" w:line="27" w:lineRule="exact"/>
        <w:rPr>
          <w:sz w:val="20"/>
          <w:szCs w:val="20"/>
          <w:color w:val="auto"/>
        </w:rPr>
      </w:pPr>
    </w:p>
    <w:p>
      <w:pPr>
        <w:ind w:left="2480" w:right="640" w:hanging="1251"/>
        <w:spacing w:after="0" w:line="276" w:lineRule="auto"/>
        <w:tabs>
          <w:tab w:leader="none" w:pos="2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Emergent BioSolutions Inc. Current Report on Form 8-K, dated April 30, 2020, formatted in XBRL (Extensible Business Reporting Language): Cover Page. The instance document does not appear in the Interactive Data File because its XBRL tags are embedded within the Inline XBRL document.</w:t>
      </w:r>
    </w:p>
    <w:p>
      <w:pPr>
        <w:spacing w:after="0" w:line="7" w:lineRule="exact"/>
        <w:rPr>
          <w:sz w:val="20"/>
          <w:szCs w:val="20"/>
          <w:color w:val="auto"/>
        </w:rPr>
      </w:pPr>
    </w:p>
    <w:p>
      <w:pPr>
        <w:ind w:left="1220"/>
        <w:spacing w:after="0"/>
        <w:tabs>
          <w:tab w:leader="none" w:pos="246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Cover Page Interactive Data File (formatted as Inline XBRL and contained in Exhibit 101).</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398" w:lineRule="exact"/>
        <w:rPr>
          <w:sz w:val="20"/>
          <w:szCs w:val="20"/>
          <w:color w:val="auto"/>
        </w:rPr>
      </w:pPr>
    </w:p>
    <w:p>
      <w:pPr>
        <w:ind w:left="5780"/>
        <w:spacing w:after="0"/>
        <w:rPr>
          <w:sz w:val="20"/>
          <w:szCs w:val="20"/>
          <w:color w:val="auto"/>
        </w:rPr>
      </w:pPr>
      <w:r>
        <w:rPr>
          <w:rFonts w:ascii="Arial" w:cs="Arial" w:eastAsia="Arial" w:hAnsi="Arial"/>
          <w:sz w:val="12"/>
          <w:szCs w:val="12"/>
          <w:b w:val="1"/>
          <w:bCs w:val="1"/>
          <w:color w:val="auto"/>
        </w:rPr>
        <w:t>EMERGENT BIOSOLUTIONS INC.</w:t>
      </w:r>
    </w:p>
    <w:p>
      <w:pPr>
        <w:spacing w:after="0" w:line="226" w:lineRule="exact"/>
        <w:rPr>
          <w:sz w:val="20"/>
          <w:szCs w:val="20"/>
          <w:color w:val="auto"/>
        </w:rPr>
      </w:pPr>
    </w:p>
    <w:p>
      <w:pPr>
        <w:ind w:left="500"/>
        <w:spacing w:after="0"/>
        <w:tabs>
          <w:tab w:leader="none" w:pos="5760" w:val="left"/>
          <w:tab w:leader="none" w:pos="6260" w:val="left"/>
        </w:tabs>
        <w:rPr>
          <w:sz w:val="20"/>
          <w:szCs w:val="20"/>
          <w:color w:val="auto"/>
        </w:rPr>
      </w:pPr>
      <w:r>
        <w:rPr>
          <w:rFonts w:ascii="Arial" w:cs="Arial" w:eastAsia="Arial" w:hAnsi="Arial"/>
          <w:sz w:val="12"/>
          <w:szCs w:val="12"/>
          <w:color w:val="auto"/>
        </w:rPr>
        <w:t>Dated: April 30,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3978275</wp:posOffset>
            </wp:positionH>
            <wp:positionV relativeFrom="paragraph">
              <wp:posOffset>20955</wp:posOffset>
            </wp:positionV>
            <wp:extent cx="288607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6075" cy="5715"/>
                    </a:xfrm>
                    <a:prstGeom prst="rect">
                      <a:avLst/>
                    </a:prstGeom>
                    <a:noFill/>
                  </pic:spPr>
                </pic:pic>
              </a:graphicData>
            </a:graphic>
          </wp:anchor>
        </w:drawing>
      </w:r>
    </w:p>
    <w:p>
      <w:pPr>
        <w:spacing w:after="0" w:line="31" w:lineRule="exact"/>
        <w:rPr>
          <w:sz w:val="20"/>
          <w:szCs w:val="20"/>
          <w:color w:val="auto"/>
        </w:rPr>
      </w:pPr>
    </w:p>
    <w:p>
      <w:pPr>
        <w:ind w:left="6280"/>
        <w:spacing w:after="0"/>
        <w:rPr>
          <w:sz w:val="20"/>
          <w:szCs w:val="20"/>
          <w:color w:val="auto"/>
        </w:rPr>
      </w:pPr>
      <w:r>
        <w:rPr>
          <w:rFonts w:ascii="Arial" w:cs="Arial" w:eastAsia="Arial" w:hAnsi="Arial"/>
          <w:sz w:val="12"/>
          <w:szCs w:val="12"/>
          <w:color w:val="auto"/>
        </w:rPr>
        <w:t>Name: Richard S. Lindahl</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2"/>
          <w:szCs w:val="12"/>
          <w:color w:val="auto"/>
        </w:rPr>
        <w:t>Title: Executive Vice President, Chief Financial</w:t>
      </w:r>
    </w:p>
    <w:p>
      <w:pPr>
        <w:spacing w:after="0" w:line="6" w:lineRule="exact"/>
        <w:rPr>
          <w:sz w:val="20"/>
          <w:szCs w:val="20"/>
          <w:color w:val="auto"/>
        </w:rPr>
      </w:pPr>
    </w:p>
    <w:p>
      <w:pPr>
        <w:ind w:left="6700"/>
        <w:spacing w:after="0"/>
        <w:rPr>
          <w:sz w:val="20"/>
          <w:szCs w:val="20"/>
          <w:color w:val="auto"/>
        </w:rPr>
      </w:pPr>
      <w:r>
        <w:rPr>
          <w:rFonts w:ascii="Arial" w:cs="Arial" w:eastAsia="Arial" w:hAnsi="Arial"/>
          <w:sz w:val="12"/>
          <w:szCs w:val="12"/>
          <w:color w:val="auto"/>
        </w:rPr>
        <w:t>Officer and Treasurer</w:t>
      </w:r>
    </w:p>
    <w:p>
      <w:pPr>
        <w:sectPr>
          <w:pgSz w:w="11900" w:h="16838" w:orient="portrait"/>
          <w:cols w:equalWidth="0" w:num="1">
            <w:col w:w="11280"/>
          </w:cols>
          <w:pgMar w:left="300" w:top="451"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6351905</wp:posOffset>
            </wp:positionH>
            <wp:positionV relativeFrom="page">
              <wp:posOffset>180340</wp:posOffset>
            </wp:positionV>
            <wp:extent cx="1011555" cy="434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34340"/>
                    </a:xfrm>
                    <a:prstGeom prst="rect">
                      <a:avLst/>
                    </a:prstGeom>
                    <a:noFill/>
                  </pic:spPr>
                </pic:pic>
              </a:graphicData>
            </a:graphic>
          </wp:anchor>
        </w:drawing>
        <w:t>EMERGENT BIOSOLUTIONS REPORTS FINANCIAL RESULTS FOR FIRST QUARTER 2020</w:t>
      </w:r>
    </w:p>
    <w:p>
      <w:pPr>
        <w:spacing w:after="0" w:line="181"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Reaffirms full year 2020 financial forecast</w:t>
      </w:r>
    </w:p>
    <w:p>
      <w:pPr>
        <w:spacing w:after="0" w:line="28" w:lineRule="exact"/>
        <w:rPr>
          <w:rFonts w:ascii="Arial" w:cs="Arial" w:eastAsia="Arial" w:hAnsi="Arial"/>
          <w:sz w:val="14"/>
          <w:szCs w:val="14"/>
          <w:b w:val="1"/>
          <w:bCs w:val="1"/>
          <w:color w:val="auto"/>
        </w:rPr>
      </w:pPr>
    </w:p>
    <w:p>
      <w:pPr>
        <w:ind w:left="420" w:right="140" w:hanging="212"/>
        <w:spacing w:after="0" w:line="271" w:lineRule="auto"/>
        <w:tabs>
          <w:tab w:leader="none" w:pos="42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Executes multi-faceted response to COVID-19 drawing upon longstanding investments in capabilities to address public health threats, as well as expertise in vaccines, therapeutics, and contract development and manufacturing</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GAITHERSBURG, Md., April 30, 2020</w:t>
      </w:r>
      <w:r>
        <w:rPr>
          <w:rFonts w:ascii="Arial" w:cs="Arial" w:eastAsia="Arial" w:hAnsi="Arial"/>
          <w:sz w:val="12"/>
          <w:szCs w:val="12"/>
          <w:color w:val="auto"/>
        </w:rPr>
        <w:t>—Emergent BioSolutions Inc. (NYSE: EBS) reported financial results for the three months ended March 31, 2020.</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2"/>
          <w:szCs w:val="12"/>
          <w:color w:val="auto"/>
        </w:rPr>
        <w:t>"Emergent is uniquely positioned to respond to the unprecedented challenges of the COVID-19 pandemic," said Robert G. Kramer Sr., president and chief executive officer of Emergent BioSolutions. “We are deploying our decades of experience in vaccines and therapeutics development and manufacturing, our well-established platform technologies, and our significant development and manufacturing capabilities. Our goal is to create multiple innovative solutions to deliver on our commitments to our customers and patients, while continuing to safeguard our employees.”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HIGHLIGHTS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19518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5185" cy="600075"/>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shd w:val="clear" w:color="auto" w:fill="0F243E"/>
          </w:tcPr>
          <w:p>
            <w:pPr>
              <w:ind w:left="20"/>
              <w:spacing w:after="0"/>
              <w:rPr>
                <w:sz w:val="20"/>
                <w:szCs w:val="20"/>
                <w:color w:val="auto"/>
              </w:rPr>
            </w:pPr>
            <w:r>
              <w:rPr>
                <w:rFonts w:ascii="Arial" w:cs="Arial" w:eastAsia="Arial" w:hAnsi="Arial"/>
                <w:sz w:val="12"/>
                <w:szCs w:val="12"/>
                <w:color w:val="FFFFFF"/>
              </w:rPr>
              <w:t>(in millions)</w:t>
            </w:r>
          </w:p>
        </w:tc>
        <w:tc>
          <w:tcPr>
            <w:tcW w:w="180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Q1 2020</w:t>
            </w:r>
          </w:p>
        </w:tc>
        <w:tc>
          <w:tcPr>
            <w:tcW w:w="180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Q1 2019</w:t>
            </w:r>
          </w:p>
        </w:tc>
        <w:tc>
          <w:tcPr>
            <w:tcW w:w="1840" w:type="dxa"/>
            <w:vAlign w:val="bottom"/>
            <w:shd w:val="clear" w:color="auto" w:fill="0F243E"/>
          </w:tcPr>
          <w:p>
            <w:pPr>
              <w:ind w:left="640"/>
              <w:spacing w:after="0"/>
              <w:rPr>
                <w:sz w:val="20"/>
                <w:szCs w:val="20"/>
                <w:color w:val="auto"/>
              </w:rPr>
            </w:pPr>
            <w:r>
              <w:rPr>
                <w:rFonts w:ascii="Arial" w:cs="Arial" w:eastAsia="Arial" w:hAnsi="Arial"/>
                <w:sz w:val="12"/>
                <w:szCs w:val="12"/>
                <w:b w:val="1"/>
                <w:bCs w:val="1"/>
                <w:color w:val="FFFFFF"/>
              </w:rPr>
              <w:t>$ Change</w:t>
            </w:r>
          </w:p>
        </w:tc>
        <w:tc>
          <w:tcPr>
            <w:tcW w:w="1900" w:type="dxa"/>
            <w:vAlign w:val="bottom"/>
            <w:shd w:val="clear" w:color="auto" w:fill="0F243E"/>
          </w:tcPr>
          <w:p>
            <w:pPr>
              <w:ind w:left="660"/>
              <w:spacing w:after="0"/>
              <w:rPr>
                <w:sz w:val="20"/>
                <w:szCs w:val="20"/>
                <w:color w:val="auto"/>
              </w:rPr>
            </w:pPr>
            <w:r>
              <w:rPr>
                <w:rFonts w:ascii="Arial" w:cs="Arial" w:eastAsia="Arial" w:hAnsi="Arial"/>
                <w:sz w:val="12"/>
                <w:szCs w:val="12"/>
                <w:b w:val="1"/>
                <w:bCs w:val="1"/>
                <w:color w:val="FFFFFF"/>
              </w:rPr>
              <w:t>% Change</w:t>
            </w:r>
          </w:p>
        </w:tc>
      </w:tr>
      <w:tr>
        <w:trPr>
          <w:trHeight w:val="171"/>
        </w:trPr>
        <w:tc>
          <w:tcPr>
            <w:tcW w:w="3960" w:type="dxa"/>
            <w:vAlign w:val="bottom"/>
            <w:shd w:val="clear" w:color="auto" w:fill="CCCCCC"/>
          </w:tcPr>
          <w:p>
            <w:pPr>
              <w:ind w:left="20"/>
              <w:spacing w:after="0"/>
              <w:rPr>
                <w:sz w:val="20"/>
                <w:szCs w:val="20"/>
                <w:color w:val="auto"/>
              </w:rPr>
            </w:pPr>
            <w:r>
              <w:rPr>
                <w:rFonts w:ascii="Arial" w:cs="Arial" w:eastAsia="Arial" w:hAnsi="Arial"/>
                <w:sz w:val="12"/>
                <w:szCs w:val="12"/>
                <w:color w:val="auto"/>
              </w:rPr>
              <w:t>Total Revenues</w:t>
            </w:r>
          </w:p>
        </w:tc>
        <w:tc>
          <w:tcPr>
            <w:tcW w:w="180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$192.5</w:t>
            </w:r>
          </w:p>
        </w:tc>
        <w:tc>
          <w:tcPr>
            <w:tcW w:w="180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$190.6</w:t>
            </w:r>
          </w:p>
        </w:tc>
        <w:tc>
          <w:tcPr>
            <w:tcW w:w="18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$1.9</w:t>
            </w:r>
          </w:p>
        </w:tc>
        <w:tc>
          <w:tcPr>
            <w:tcW w:w="190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1.0%</w:t>
            </w:r>
          </w:p>
        </w:tc>
      </w:tr>
      <w:tr>
        <w:trPr>
          <w:trHeight w:val="189"/>
        </w:trPr>
        <w:tc>
          <w:tcPr>
            <w:tcW w:w="3960" w:type="dxa"/>
            <w:vAlign w:val="bottom"/>
            <w:shd w:val="clear" w:color="auto" w:fill="CCCCCC"/>
          </w:tcPr>
          <w:p>
            <w:pPr>
              <w:ind w:left="20"/>
              <w:spacing w:after="0"/>
              <w:rPr>
                <w:sz w:val="20"/>
                <w:szCs w:val="20"/>
                <w:color w:val="auto"/>
              </w:rPr>
            </w:pPr>
            <w:r>
              <w:rPr>
                <w:rFonts w:ascii="Arial" w:cs="Arial" w:eastAsia="Arial" w:hAnsi="Arial"/>
                <w:sz w:val="12"/>
                <w:szCs w:val="12"/>
                <w:color w:val="auto"/>
              </w:rPr>
              <w:t>Net Loss</w:t>
            </w:r>
          </w:p>
        </w:tc>
        <w:tc>
          <w:tcPr>
            <w:tcW w:w="180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$(12.5)</w:t>
            </w:r>
          </w:p>
        </w:tc>
        <w:tc>
          <w:tcPr>
            <w:tcW w:w="180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$(26.0)</w:t>
            </w:r>
          </w:p>
        </w:tc>
        <w:tc>
          <w:tcPr>
            <w:tcW w:w="18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$13.5</w:t>
            </w:r>
          </w:p>
        </w:tc>
        <w:tc>
          <w:tcPr>
            <w:tcW w:w="190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51.9%</w:t>
            </w:r>
          </w:p>
        </w:tc>
      </w:tr>
      <w:tr>
        <w:trPr>
          <w:trHeight w:val="189"/>
        </w:trPr>
        <w:tc>
          <w:tcPr>
            <w:tcW w:w="39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xml:space="preserve">Adjusted Net Income (Loss) </w:t>
            </w:r>
            <w:r>
              <w:rPr>
                <w:rFonts w:ascii="Arial" w:cs="Arial" w:eastAsia="Arial" w:hAnsi="Arial"/>
                <w:sz w:val="12"/>
                <w:szCs w:val="12"/>
                <w:i w:val="1"/>
                <w:iCs w:val="1"/>
                <w:color w:val="auto"/>
              </w:rPr>
              <w:t>(1)</w:t>
            </w:r>
          </w:p>
        </w:tc>
        <w:tc>
          <w:tcPr>
            <w:tcW w:w="180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$0.3</w:t>
            </w:r>
          </w:p>
        </w:tc>
        <w:tc>
          <w:tcPr>
            <w:tcW w:w="180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5"/>
              </w:rPr>
              <w:t>$(5.2)</w:t>
            </w:r>
          </w:p>
        </w:tc>
        <w:tc>
          <w:tcPr>
            <w:tcW w:w="18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$5.5</w:t>
            </w:r>
          </w:p>
        </w:tc>
        <w:tc>
          <w:tcPr>
            <w:tcW w:w="190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8"/>
              </w:rPr>
              <w:t>105.8%</w:t>
            </w:r>
          </w:p>
        </w:tc>
      </w:tr>
      <w:tr>
        <w:trPr>
          <w:trHeight w:val="198"/>
        </w:trPr>
        <w:tc>
          <w:tcPr>
            <w:tcW w:w="39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xml:space="preserve">Adjusted EBITDA </w:t>
            </w:r>
            <w:r>
              <w:rPr>
                <w:rFonts w:ascii="Arial" w:cs="Arial" w:eastAsia="Arial" w:hAnsi="Arial"/>
                <w:sz w:val="12"/>
                <w:szCs w:val="12"/>
                <w:i w:val="1"/>
                <w:iCs w:val="1"/>
                <w:color w:val="auto"/>
              </w:rPr>
              <w:t>(1)</w:t>
            </w:r>
          </w:p>
        </w:tc>
        <w:tc>
          <w:tcPr>
            <w:tcW w:w="180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$15.3</w:t>
            </w:r>
          </w:p>
        </w:tc>
        <w:tc>
          <w:tcPr>
            <w:tcW w:w="180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3"/>
              </w:rPr>
              <w:t>$8.4</w:t>
            </w:r>
          </w:p>
        </w:tc>
        <w:tc>
          <w:tcPr>
            <w:tcW w:w="18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$6.9</w:t>
            </w:r>
          </w:p>
        </w:tc>
        <w:tc>
          <w:tcPr>
            <w:tcW w:w="190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82.1%</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EMERGENT'S RESPONSE TO COVID-19</w:t>
      </w:r>
    </w:p>
    <w:p>
      <w:pPr>
        <w:spacing w:after="0" w:line="164" w:lineRule="exact"/>
        <w:rPr>
          <w:sz w:val="20"/>
          <w:szCs w:val="20"/>
          <w:color w:val="auto"/>
        </w:rPr>
      </w:pPr>
    </w:p>
    <w:p>
      <w:pPr>
        <w:ind w:left="420" w:right="20" w:hanging="212"/>
        <w:spacing w:after="0" w:line="261"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Signed a contract development and manufacturing (CDMO) agreement, valued at $135 million, to be U.S. manufacturing partner of Johnson &amp; Johnson's lead vaccine candidate for COVID-19. Negotiations continue on a long-term commercial supply agreement for large-scale drug substance manufacturing, anticipated to begin in 2021.</w:t>
      </w:r>
    </w:p>
    <w:p>
      <w:pPr>
        <w:spacing w:after="0" w:line="131" w:lineRule="exact"/>
        <w:rPr>
          <w:rFonts w:ascii="Arial" w:cs="Arial" w:eastAsia="Arial" w:hAnsi="Arial"/>
          <w:sz w:val="12"/>
          <w:szCs w:val="12"/>
          <w:color w:val="auto"/>
        </w:rPr>
      </w:pPr>
    </w:p>
    <w:p>
      <w:pPr>
        <w:ind w:left="420" w:right="20" w:hanging="212"/>
        <w:spacing w:after="0" w:line="254"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Initiated development of two investigational plasma-derived therapies. COVID-Human Immune Globulin (COVID-HIG), a human plasma-derived product candidate, for which the Company subsequently received $14.5 million in Health and Human Services (HHS) funding, is being developed as a potential treatment for COVID-19 in severe hospitalized and high-risk patients and will be included in at least one of the studies of the National Institute of Allergy and Infectious Diseases (NIAID), part of the National Institutes of Health, evaluating potential treatments for COVID-19. COVID-Equine Immune Globulin (COVID-EIG) is also being developed as an equine plasma-derived therapy candidate for potential treatment of severe disease in humans.</w:t>
      </w:r>
    </w:p>
    <w:p>
      <w:pPr>
        <w:spacing w:after="0" w:line="135"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Signed a CDMO agreement with Novavax, Inc. to provide development services, drug substance and drug product manufacturing for its experimental vaccine candidate for COVID-19, NVX-CoV2373.</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Signed a CDMO agreement with Vaxart, Inc. to provide development services and drug substance manufacturing to produce its experimental oral vaccine candidate for COVID-19.</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 of 11</w:t>
      </w:r>
    </w:p>
    <w:p>
      <w:pPr>
        <w:sectPr>
          <w:pgSz w:w="11900" w:h="16838" w:orient="portrait"/>
          <w:cols w:equalWidth="0" w:num="1">
            <w:col w:w="11300"/>
          </w:cols>
          <w:pgMar w:left="300" w:top="1242" w:right="299" w:bottom="1440" w:gutter="0" w:footer="0" w:header="0"/>
        </w:sectPr>
      </w:pPr>
    </w:p>
    <w:bookmarkStart w:id="3" w:name="page4"/>
    <w:bookmarkEnd w:id="3"/>
    <w:p>
      <w:pPr>
        <w:ind w:left="8"/>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6351905</wp:posOffset>
            </wp:positionH>
            <wp:positionV relativeFrom="page">
              <wp:posOffset>180340</wp:posOffset>
            </wp:positionV>
            <wp:extent cx="1011555" cy="422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22910"/>
                    </a:xfrm>
                    <a:prstGeom prst="rect">
                      <a:avLst/>
                    </a:prstGeom>
                    <a:noFill/>
                  </pic:spPr>
                </pic:pic>
              </a:graphicData>
            </a:graphic>
          </wp:anchor>
        </w:drawing>
        <w:t>Q1 2020 AND OTHER RECENT BUSINESS ACCOMPLISHMENTS</w:t>
      </w:r>
    </w:p>
    <w:p>
      <w:pPr>
        <w:spacing w:after="0" w:line="164" w:lineRule="exact"/>
        <w:rPr>
          <w:sz w:val="20"/>
          <w:szCs w:val="20"/>
          <w:color w:val="auto"/>
        </w:rPr>
      </w:pPr>
    </w:p>
    <w:p>
      <w:pPr>
        <w:ind w:left="428" w:right="180" w:hanging="212"/>
        <w:spacing w:after="0" w:line="256" w:lineRule="auto"/>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Received agreement from the European Medicines Agency (EMA) and the U.S. Food and Drug Administration (FDA) on the company’s proposed development plan to use Serum Neutralizing Antibodies (SNA) as surrogate endpoint to predict likely clinical benefit of CHIKV VLP, the company’s chikungunya virus virus-like particle (VLP) vaccine candidate, in a Phase 3 safety and immunogenicity study anticipated in late 2020.</w:t>
      </w:r>
    </w:p>
    <w:p>
      <w:pPr>
        <w:spacing w:after="0" w:line="134" w:lineRule="exact"/>
        <w:rPr>
          <w:rFonts w:ascii="Arial" w:cs="Arial" w:eastAsia="Arial" w:hAnsi="Arial"/>
          <w:sz w:val="12"/>
          <w:szCs w:val="12"/>
          <w:color w:val="auto"/>
        </w:rPr>
      </w:pPr>
    </w:p>
    <w:p>
      <w:pPr>
        <w:ind w:left="428" w:right="80" w:hanging="212"/>
        <w:spacing w:after="0" w:line="256" w:lineRule="auto"/>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Received positive opinion and subsequent approval from EMA of Vaxchora® Cholera Vaccine (recombinant, Live, Oral), making it the only single-dose oral cholera vaccine approved across all European Union member states, the UK, and the European Economic Area countries, indicated for active immunization against disease caused by </w:t>
      </w:r>
      <w:r>
        <w:rPr>
          <w:rFonts w:ascii="Arial" w:cs="Arial" w:eastAsia="Arial" w:hAnsi="Arial"/>
          <w:sz w:val="12"/>
          <w:szCs w:val="12"/>
          <w:i w:val="1"/>
          <w:iCs w:val="1"/>
          <w:color w:val="auto"/>
        </w:rPr>
        <w:t>Vibrio cholerae</w:t>
      </w:r>
      <w:r>
        <w:rPr>
          <w:rFonts w:ascii="Arial" w:cs="Arial" w:eastAsia="Arial" w:hAnsi="Arial"/>
          <w:sz w:val="12"/>
          <w:szCs w:val="12"/>
          <w:color w:val="auto"/>
        </w:rPr>
        <w:t xml:space="preserve"> serogroup 01 in adults and children from 6 years of age. Commercial launch is being planned for late 2020.</w:t>
      </w:r>
    </w:p>
    <w:p>
      <w:pPr>
        <w:spacing w:after="0" w:line="134" w:lineRule="exact"/>
        <w:rPr>
          <w:rFonts w:ascii="Arial" w:cs="Arial" w:eastAsia="Arial" w:hAnsi="Arial"/>
          <w:sz w:val="12"/>
          <w:szCs w:val="12"/>
          <w:color w:val="auto"/>
        </w:rPr>
      </w:pPr>
    </w:p>
    <w:p>
      <w:pPr>
        <w:ind w:left="428" w:hanging="212"/>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Signed a CDMO agreement with Novavax, Inc. to provide drug substance manufacturing of NanoFlu</w:t>
      </w:r>
      <w:r>
        <w:rPr>
          <w:rFonts w:ascii="Arial" w:cs="Arial" w:eastAsia="Arial" w:hAnsi="Arial"/>
          <w:sz w:val="9"/>
          <w:szCs w:val="9"/>
          <w:color w:val="auto"/>
        </w:rPr>
        <w:t>TM</w:t>
      </w:r>
      <w:r>
        <w:rPr>
          <w:rFonts w:ascii="Arial" w:cs="Arial" w:eastAsia="Arial" w:hAnsi="Arial"/>
          <w:sz w:val="12"/>
          <w:szCs w:val="12"/>
          <w:color w:val="auto"/>
        </w:rPr>
        <w:t>, its seasonal influenza vaccine candidate.</w:t>
      </w:r>
    </w:p>
    <w:p>
      <w:pPr>
        <w:spacing w:after="0" w:line="150" w:lineRule="exact"/>
        <w:rPr>
          <w:rFonts w:ascii="Arial" w:cs="Arial" w:eastAsia="Arial" w:hAnsi="Arial"/>
          <w:sz w:val="12"/>
          <w:szCs w:val="12"/>
          <w:color w:val="auto"/>
        </w:rPr>
      </w:pPr>
    </w:p>
    <w:p>
      <w:pPr>
        <w:ind w:left="428" w:right="60" w:hanging="212"/>
        <w:spacing w:after="0" w:line="261" w:lineRule="auto"/>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Announced the appointment of Dr. Karen Smith as chief medical officer with responsibility for leading and further establishing Emergent’s global integrated capability in clinical development, medical affairs, and regulatory affairs.</w:t>
      </w:r>
    </w:p>
    <w:p>
      <w:pPr>
        <w:spacing w:after="0" w:line="131" w:lineRule="exact"/>
        <w:rPr>
          <w:rFonts w:ascii="Arial" w:cs="Arial" w:eastAsia="Arial" w:hAnsi="Arial"/>
          <w:sz w:val="12"/>
          <w:szCs w:val="12"/>
          <w:color w:val="auto"/>
        </w:rPr>
      </w:pPr>
    </w:p>
    <w:p>
      <w:pPr>
        <w:ind w:left="428" w:right="380" w:hanging="212"/>
        <w:spacing w:after="0" w:line="261" w:lineRule="auto"/>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Submitted a data package to the FDA in support of extending the shelf life of NARCAN® (naloxone HCl) Nasal Spray from 24 to 36 months, with an expected review by FDA to take approximately six months.</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2020 FINANCIAL PERFORMANCE (unaudited)</w:t>
      </w:r>
    </w:p>
    <w:p>
      <w:pPr>
        <w:spacing w:after="0" w:line="150" w:lineRule="exact"/>
        <w:rPr>
          <w:sz w:val="20"/>
          <w:szCs w:val="20"/>
          <w:color w:val="auto"/>
        </w:rPr>
      </w:pPr>
    </w:p>
    <w:p>
      <w:pPr>
        <w:ind w:left="8" w:right="9160" w:hanging="8"/>
        <w:spacing w:after="0" w:line="500" w:lineRule="auto"/>
        <w:tabs>
          <w:tab w:leader="none" w:pos="155" w:val="left"/>
        </w:tabs>
        <w:numPr>
          <w:ilvl w:val="0"/>
          <w:numId w:val="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Quarter Ended March 31, 2020 (Q1) </w:t>
      </w:r>
      <w:r>
        <w:rPr>
          <w:rFonts w:ascii="Arial" w:cs="Arial" w:eastAsia="Arial" w:hAnsi="Arial"/>
          <w:sz w:val="12"/>
          <w:szCs w:val="12"/>
          <w:b w:val="1"/>
          <w:bCs w:val="1"/>
          <w:u w:val="single" w:color="auto"/>
          <w:color w:val="auto"/>
        </w:rPr>
        <w:t>Revenues</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Total Revenues</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Q1 2020, total revenues were $192.5 million, a slight increase over 2019</w:t>
      </w:r>
      <w:r>
        <w:rPr>
          <w:rFonts w:ascii="Arial" w:cs="Arial" w:eastAsia="Arial" w:hAnsi="Arial"/>
          <w:sz w:val="12"/>
          <w:szCs w:val="12"/>
          <w:b w:val="1"/>
          <w:bCs w:val="1"/>
          <w:color w:val="2C2C2C"/>
        </w:rPr>
        <w:t>.</w:t>
      </w:r>
      <w:r>
        <w:rPr>
          <w:rFonts w:ascii="Arial" w:cs="Arial" w:eastAsia="Arial" w:hAnsi="Arial"/>
          <w:sz w:val="12"/>
          <w:szCs w:val="12"/>
          <w:color w:val="auto"/>
        </w:rPr>
        <w:t xml:space="preserve"> </w:t>
      </w:r>
      <w:r>
        <w:rPr>
          <w:rFonts w:ascii="Arial" w:cs="Arial" w:eastAsia="Arial" w:hAnsi="Arial"/>
          <w:sz w:val="12"/>
          <w:szCs w:val="12"/>
          <w:color w:val="2C2C2C"/>
        </w:rPr>
        <w:t>Total revenues reflect a decline in product sales revenues partially offset by an increase in CDMO and contracts and grants revenues.</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Product Sales</w:t>
      </w:r>
    </w:p>
    <w:p>
      <w:pPr>
        <w:spacing w:after="0" w:line="92" w:lineRule="exact"/>
        <w:rPr>
          <w:sz w:val="20"/>
          <w:szCs w:val="20"/>
          <w:color w:val="auto"/>
        </w:rPr>
      </w:pPr>
    </w:p>
    <w:p>
      <w:pPr>
        <w:ind w:left="8" w:right="120"/>
        <w:spacing w:after="0" w:line="261" w:lineRule="auto"/>
        <w:rPr>
          <w:sz w:val="20"/>
          <w:szCs w:val="20"/>
          <w:color w:val="auto"/>
        </w:rPr>
      </w:pPr>
      <w:r>
        <w:rPr>
          <w:rFonts w:ascii="Arial" w:cs="Arial" w:eastAsia="Arial" w:hAnsi="Arial"/>
          <w:sz w:val="12"/>
          <w:szCs w:val="12"/>
          <w:color w:val="auto"/>
        </w:rPr>
        <w:t>For Q1 2020, product sales were $148.2 million, a decrease of $4.8 million or 3% as compared to 2019. The change primarily reflects increases in sales of Anthrax Vaccines and NARCAN Nasal Spray offset by a decrease in ACAM2000, as previously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83755" cy="948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3755" cy="948690"/>
                    </a:xfrm>
                    <a:prstGeom prst="rect">
                      <a:avLst/>
                    </a:prstGeom>
                    <a:noFill/>
                  </pic:spPr>
                </pic:pic>
              </a:graphicData>
            </a:graphic>
          </wp:anchor>
        </w:drawing>
      </w:r>
    </w:p>
    <w:p>
      <w:pPr>
        <w:spacing w:after="0" w:line="58" w:lineRule="exact"/>
        <w:rPr>
          <w:sz w:val="20"/>
          <w:szCs w:val="20"/>
          <w:color w:val="auto"/>
        </w:rPr>
      </w:pPr>
    </w:p>
    <w:tbl>
      <w:tblPr>
        <w:tblLayout w:type="fixed"/>
        <w:tblInd w:w="8" w:type="dxa"/>
        <w:tblCellMar>
          <w:top w:w="0" w:type="dxa"/>
          <w:left w:w="0" w:type="dxa"/>
          <w:bottom w:w="0" w:type="dxa"/>
          <w:right w:w="0" w:type="dxa"/>
        </w:tblCellMar>
      </w:tblPr>
      <w:tr>
        <w:trPr>
          <w:trHeight w:val="179"/>
        </w:trPr>
        <w:tc>
          <w:tcPr>
            <w:tcW w:w="3420" w:type="dxa"/>
            <w:vAlign w:val="bottom"/>
            <w:shd w:val="clear" w:color="auto" w:fill="0F243E"/>
          </w:tcPr>
          <w:p>
            <w:pPr>
              <w:spacing w:after="0"/>
              <w:rPr>
                <w:sz w:val="15"/>
                <w:szCs w:val="15"/>
                <w:color w:val="auto"/>
              </w:rPr>
            </w:pPr>
          </w:p>
        </w:tc>
        <w:tc>
          <w:tcPr>
            <w:tcW w:w="4060" w:type="dxa"/>
            <w:vAlign w:val="bottom"/>
            <w:shd w:val="clear" w:color="auto" w:fill="0F243E"/>
          </w:tcPr>
          <w:p>
            <w:pPr>
              <w:spacing w:after="0"/>
              <w:rPr>
                <w:sz w:val="15"/>
                <w:szCs w:val="15"/>
                <w:color w:val="auto"/>
              </w:rPr>
            </w:pPr>
          </w:p>
        </w:tc>
        <w:tc>
          <w:tcPr>
            <w:tcW w:w="2200" w:type="dxa"/>
            <w:vAlign w:val="bottom"/>
            <w:shd w:val="clear" w:color="auto" w:fill="0F243E"/>
          </w:tcPr>
          <w:p>
            <w:pPr>
              <w:jc w:val="right"/>
              <w:ind w:right="300"/>
              <w:spacing w:after="0"/>
              <w:rPr>
                <w:sz w:val="20"/>
                <w:szCs w:val="20"/>
                <w:color w:val="auto"/>
              </w:rPr>
            </w:pPr>
            <w:r>
              <w:rPr>
                <w:rFonts w:ascii="Arial" w:cs="Arial" w:eastAsia="Arial" w:hAnsi="Arial"/>
                <w:sz w:val="12"/>
                <w:szCs w:val="12"/>
                <w:b w:val="1"/>
                <w:bCs w:val="1"/>
                <w:color w:val="FFFFFF"/>
              </w:rPr>
              <w:t>Three Months Ended March 31,</w:t>
            </w:r>
          </w:p>
        </w:tc>
        <w:tc>
          <w:tcPr>
            <w:tcW w:w="1620" w:type="dxa"/>
            <w:vAlign w:val="bottom"/>
            <w:shd w:val="clear" w:color="auto" w:fill="0F243E"/>
          </w:tcPr>
          <w:p>
            <w:pPr>
              <w:spacing w:after="0"/>
              <w:rPr>
                <w:sz w:val="15"/>
                <w:szCs w:val="15"/>
                <w:color w:val="auto"/>
              </w:rPr>
            </w:pPr>
          </w:p>
        </w:tc>
      </w:tr>
      <w:tr>
        <w:trPr>
          <w:trHeight w:val="181"/>
        </w:trPr>
        <w:tc>
          <w:tcPr>
            <w:tcW w:w="3420" w:type="dxa"/>
            <w:vAlign w:val="bottom"/>
            <w:shd w:val="clear" w:color="auto" w:fill="0F243E"/>
          </w:tcPr>
          <w:p>
            <w:pPr>
              <w:ind w:left="20"/>
              <w:spacing w:after="0"/>
              <w:rPr>
                <w:sz w:val="20"/>
                <w:szCs w:val="20"/>
                <w:color w:val="auto"/>
              </w:rPr>
            </w:pPr>
            <w:r>
              <w:rPr>
                <w:rFonts w:ascii="Arial" w:cs="Arial" w:eastAsia="Arial" w:hAnsi="Arial"/>
                <w:sz w:val="12"/>
                <w:szCs w:val="12"/>
                <w:color w:val="FFFFFF"/>
              </w:rPr>
              <w:t>(in millions)</w:t>
            </w:r>
          </w:p>
        </w:tc>
        <w:tc>
          <w:tcPr>
            <w:tcW w:w="4060" w:type="dxa"/>
            <w:vAlign w:val="bottom"/>
            <w:shd w:val="clear" w:color="auto" w:fill="0F243E"/>
          </w:tcPr>
          <w:p>
            <w:pPr>
              <w:jc w:val="right"/>
              <w:ind w:right="781"/>
              <w:spacing w:after="0"/>
              <w:rPr>
                <w:sz w:val="20"/>
                <w:szCs w:val="20"/>
                <w:color w:val="auto"/>
              </w:rPr>
            </w:pPr>
            <w:r>
              <w:rPr>
                <w:rFonts w:ascii="Arial" w:cs="Arial" w:eastAsia="Arial" w:hAnsi="Arial"/>
                <w:sz w:val="12"/>
                <w:szCs w:val="12"/>
                <w:b w:val="1"/>
                <w:bCs w:val="1"/>
                <w:color w:val="FFFFFF"/>
              </w:rPr>
              <w:t>2020</w:t>
            </w:r>
          </w:p>
        </w:tc>
        <w:tc>
          <w:tcPr>
            <w:tcW w:w="2200" w:type="dxa"/>
            <w:vAlign w:val="bottom"/>
            <w:shd w:val="clear" w:color="auto" w:fill="0F243E"/>
          </w:tcPr>
          <w:p>
            <w:pPr>
              <w:jc w:val="right"/>
              <w:ind w:right="1060"/>
              <w:spacing w:after="0"/>
              <w:rPr>
                <w:sz w:val="20"/>
                <w:szCs w:val="20"/>
                <w:color w:val="auto"/>
              </w:rPr>
            </w:pPr>
            <w:r>
              <w:rPr>
                <w:rFonts w:ascii="Arial" w:cs="Arial" w:eastAsia="Arial" w:hAnsi="Arial"/>
                <w:sz w:val="12"/>
                <w:szCs w:val="12"/>
                <w:b w:val="1"/>
                <w:bCs w:val="1"/>
                <w:color w:val="FFFFFF"/>
              </w:rPr>
              <w:t>2019</w:t>
            </w:r>
          </w:p>
        </w:tc>
        <w:tc>
          <w:tcPr>
            <w:tcW w:w="1620" w:type="dxa"/>
            <w:vAlign w:val="bottom"/>
            <w:shd w:val="clear" w:color="auto" w:fill="0F243E"/>
          </w:tcPr>
          <w:p>
            <w:pPr>
              <w:jc w:val="center"/>
              <w:ind w:right="260"/>
              <w:spacing w:after="0"/>
              <w:rPr>
                <w:sz w:val="20"/>
                <w:szCs w:val="20"/>
                <w:color w:val="auto"/>
              </w:rPr>
            </w:pPr>
            <w:r>
              <w:rPr>
                <w:rFonts w:ascii="Arial" w:cs="Arial" w:eastAsia="Arial" w:hAnsi="Arial"/>
                <w:sz w:val="12"/>
                <w:szCs w:val="12"/>
                <w:b w:val="1"/>
                <w:bCs w:val="1"/>
                <w:color w:val="FFFFFF"/>
                <w:w w:val="99"/>
              </w:rPr>
              <w:t>% Change</w:t>
            </w:r>
          </w:p>
        </w:tc>
      </w:tr>
      <w:tr>
        <w:trPr>
          <w:trHeight w:val="171"/>
        </w:trPr>
        <w:tc>
          <w:tcPr>
            <w:tcW w:w="3420" w:type="dxa"/>
            <w:vAlign w:val="bottom"/>
            <w:shd w:val="clear" w:color="auto" w:fill="CCCCCC"/>
          </w:tcPr>
          <w:p>
            <w:pPr>
              <w:ind w:left="20"/>
              <w:spacing w:after="0"/>
              <w:rPr>
                <w:sz w:val="20"/>
                <w:szCs w:val="20"/>
                <w:color w:val="auto"/>
              </w:rPr>
            </w:pPr>
            <w:r>
              <w:rPr>
                <w:rFonts w:ascii="Arial" w:cs="Arial" w:eastAsia="Arial" w:hAnsi="Arial"/>
                <w:sz w:val="12"/>
                <w:szCs w:val="12"/>
                <w:b w:val="1"/>
                <w:bCs w:val="1"/>
                <w:color w:val="auto"/>
              </w:rPr>
              <w:t>Product Sales</w:t>
            </w:r>
          </w:p>
        </w:tc>
        <w:tc>
          <w:tcPr>
            <w:tcW w:w="4060" w:type="dxa"/>
            <w:vAlign w:val="bottom"/>
            <w:shd w:val="clear" w:color="auto" w:fill="CCCCCC"/>
          </w:tcPr>
          <w:p>
            <w:pPr>
              <w:spacing w:after="0"/>
              <w:rPr>
                <w:sz w:val="14"/>
                <w:szCs w:val="14"/>
                <w:color w:val="auto"/>
              </w:rPr>
            </w:pPr>
          </w:p>
        </w:tc>
        <w:tc>
          <w:tcPr>
            <w:tcW w:w="2200" w:type="dxa"/>
            <w:vAlign w:val="bottom"/>
            <w:shd w:val="clear" w:color="auto" w:fill="CCCCCC"/>
          </w:tcPr>
          <w:p>
            <w:pPr>
              <w:spacing w:after="0"/>
              <w:rPr>
                <w:sz w:val="14"/>
                <w:szCs w:val="14"/>
                <w:color w:val="auto"/>
              </w:rPr>
            </w:pPr>
          </w:p>
        </w:tc>
        <w:tc>
          <w:tcPr>
            <w:tcW w:w="1620" w:type="dxa"/>
            <w:vAlign w:val="bottom"/>
            <w:shd w:val="clear" w:color="auto" w:fill="CCCCCC"/>
          </w:tcPr>
          <w:p>
            <w:pPr>
              <w:spacing w:after="0"/>
              <w:rPr>
                <w:sz w:val="14"/>
                <w:szCs w:val="14"/>
                <w:color w:val="auto"/>
              </w:rPr>
            </w:pPr>
          </w:p>
        </w:tc>
      </w:tr>
      <w:tr>
        <w:trPr>
          <w:trHeight w:val="189"/>
        </w:trPr>
        <w:tc>
          <w:tcPr>
            <w:tcW w:w="3420" w:type="dxa"/>
            <w:vAlign w:val="bottom"/>
            <w:shd w:val="clear" w:color="auto" w:fill="CCCCCC"/>
          </w:tcPr>
          <w:p>
            <w:pPr>
              <w:ind w:left="180"/>
              <w:spacing w:after="0"/>
              <w:rPr>
                <w:sz w:val="20"/>
                <w:szCs w:val="20"/>
                <w:color w:val="auto"/>
              </w:rPr>
            </w:pPr>
            <w:r>
              <w:rPr>
                <w:rFonts w:ascii="Arial" w:cs="Arial" w:eastAsia="Arial" w:hAnsi="Arial"/>
                <w:sz w:val="12"/>
                <w:szCs w:val="12"/>
                <w:color w:val="auto"/>
              </w:rPr>
              <w:t>NARCAN Nasal Spray</w:t>
            </w:r>
          </w:p>
        </w:tc>
        <w:tc>
          <w:tcPr>
            <w:tcW w:w="4060" w:type="dxa"/>
            <w:vAlign w:val="bottom"/>
            <w:shd w:val="clear" w:color="auto" w:fill="CCCCCC"/>
          </w:tcPr>
          <w:p>
            <w:pPr>
              <w:jc w:val="right"/>
              <w:ind w:right="61"/>
              <w:spacing w:after="0"/>
              <w:rPr>
                <w:sz w:val="20"/>
                <w:szCs w:val="20"/>
                <w:color w:val="auto"/>
              </w:rPr>
            </w:pPr>
            <w:r>
              <w:rPr>
                <w:rFonts w:ascii="Arial" w:cs="Arial" w:eastAsia="Arial" w:hAnsi="Arial"/>
                <w:sz w:val="12"/>
                <w:szCs w:val="12"/>
                <w:color w:val="auto"/>
              </w:rPr>
              <w:t>$72.2</w:t>
            </w:r>
          </w:p>
        </w:tc>
        <w:tc>
          <w:tcPr>
            <w:tcW w:w="2200" w:type="dxa"/>
            <w:vAlign w:val="bottom"/>
            <w:shd w:val="clear" w:color="auto" w:fill="CCCCCC"/>
          </w:tcPr>
          <w:p>
            <w:pPr>
              <w:jc w:val="right"/>
              <w:ind w:right="340"/>
              <w:spacing w:after="0"/>
              <w:rPr>
                <w:sz w:val="20"/>
                <w:szCs w:val="20"/>
                <w:color w:val="auto"/>
              </w:rPr>
            </w:pPr>
            <w:r>
              <w:rPr>
                <w:rFonts w:ascii="Arial" w:cs="Arial" w:eastAsia="Arial" w:hAnsi="Arial"/>
                <w:sz w:val="12"/>
                <w:szCs w:val="12"/>
                <w:color w:val="auto"/>
              </w:rPr>
              <w:t>$65.5</w:t>
            </w:r>
          </w:p>
        </w:tc>
        <w:tc>
          <w:tcPr>
            <w:tcW w:w="1620" w:type="dxa"/>
            <w:vAlign w:val="bottom"/>
            <w:shd w:val="clear" w:color="auto" w:fill="CCCCCC"/>
          </w:tcPr>
          <w:p>
            <w:pPr>
              <w:jc w:val="center"/>
              <w:ind w:right="240"/>
              <w:spacing w:after="0"/>
              <w:rPr>
                <w:sz w:val="20"/>
                <w:szCs w:val="20"/>
                <w:color w:val="auto"/>
              </w:rPr>
            </w:pPr>
            <w:r>
              <w:rPr>
                <w:rFonts w:ascii="Arial" w:cs="Arial" w:eastAsia="Arial" w:hAnsi="Arial"/>
                <w:sz w:val="12"/>
                <w:szCs w:val="12"/>
                <w:color w:val="auto"/>
                <w:w w:val="99"/>
              </w:rPr>
              <w:t>10%</w:t>
            </w:r>
          </w:p>
        </w:tc>
      </w:tr>
      <w:tr>
        <w:trPr>
          <w:trHeight w:val="189"/>
        </w:trPr>
        <w:tc>
          <w:tcPr>
            <w:tcW w:w="3420" w:type="dxa"/>
            <w:vAlign w:val="bottom"/>
            <w:shd w:val="clear" w:color="auto" w:fill="CCCCCC"/>
          </w:tcPr>
          <w:p>
            <w:pPr>
              <w:ind w:left="180"/>
              <w:spacing w:after="0"/>
              <w:rPr>
                <w:sz w:val="20"/>
                <w:szCs w:val="20"/>
                <w:color w:val="auto"/>
              </w:rPr>
            </w:pPr>
            <w:r>
              <w:rPr>
                <w:rFonts w:ascii="Arial" w:cs="Arial" w:eastAsia="Arial" w:hAnsi="Arial"/>
                <w:sz w:val="12"/>
                <w:szCs w:val="12"/>
                <w:color w:val="auto"/>
              </w:rPr>
              <w:t>ACAM2000</w:t>
            </w:r>
          </w:p>
        </w:tc>
        <w:tc>
          <w:tcPr>
            <w:tcW w:w="4060" w:type="dxa"/>
            <w:vAlign w:val="bottom"/>
            <w:shd w:val="clear" w:color="auto" w:fill="CCCCCC"/>
          </w:tcPr>
          <w:p>
            <w:pPr>
              <w:jc w:val="right"/>
              <w:ind w:right="61"/>
              <w:spacing w:after="0"/>
              <w:rPr>
                <w:sz w:val="20"/>
                <w:szCs w:val="20"/>
                <w:color w:val="auto"/>
              </w:rPr>
            </w:pPr>
            <w:r>
              <w:rPr>
                <w:rFonts w:ascii="Arial" w:cs="Arial" w:eastAsia="Arial" w:hAnsi="Arial"/>
                <w:sz w:val="12"/>
                <w:szCs w:val="12"/>
                <w:color w:val="auto"/>
              </w:rPr>
              <w:t>$—</w:t>
            </w:r>
          </w:p>
        </w:tc>
        <w:tc>
          <w:tcPr>
            <w:tcW w:w="2200" w:type="dxa"/>
            <w:vAlign w:val="bottom"/>
            <w:shd w:val="clear" w:color="auto" w:fill="CCCCCC"/>
          </w:tcPr>
          <w:p>
            <w:pPr>
              <w:jc w:val="right"/>
              <w:ind w:right="340"/>
              <w:spacing w:after="0"/>
              <w:rPr>
                <w:sz w:val="20"/>
                <w:szCs w:val="20"/>
                <w:color w:val="auto"/>
              </w:rPr>
            </w:pPr>
            <w:r>
              <w:rPr>
                <w:rFonts w:ascii="Arial" w:cs="Arial" w:eastAsia="Arial" w:hAnsi="Arial"/>
                <w:sz w:val="12"/>
                <w:szCs w:val="12"/>
                <w:color w:val="auto"/>
              </w:rPr>
              <w:t>$45.6</w:t>
            </w:r>
          </w:p>
        </w:tc>
        <w:tc>
          <w:tcPr>
            <w:tcW w:w="1620" w:type="dxa"/>
            <w:vAlign w:val="bottom"/>
            <w:shd w:val="clear" w:color="auto" w:fill="CCCCCC"/>
          </w:tcPr>
          <w:p>
            <w:pPr>
              <w:jc w:val="center"/>
              <w:ind w:right="240"/>
              <w:spacing w:after="0"/>
              <w:rPr>
                <w:sz w:val="20"/>
                <w:szCs w:val="20"/>
                <w:color w:val="auto"/>
              </w:rPr>
            </w:pPr>
            <w:r>
              <w:rPr>
                <w:rFonts w:ascii="Arial" w:cs="Arial" w:eastAsia="Arial" w:hAnsi="Arial"/>
                <w:sz w:val="12"/>
                <w:szCs w:val="12"/>
                <w:color w:val="auto"/>
              </w:rPr>
              <w:t>(100)%</w:t>
            </w:r>
          </w:p>
        </w:tc>
      </w:tr>
      <w:tr>
        <w:trPr>
          <w:trHeight w:val="189"/>
        </w:trPr>
        <w:tc>
          <w:tcPr>
            <w:tcW w:w="3420" w:type="dxa"/>
            <w:vAlign w:val="bottom"/>
            <w:shd w:val="clear" w:color="auto" w:fill="CCCCCC"/>
          </w:tcPr>
          <w:p>
            <w:pPr>
              <w:ind w:left="180"/>
              <w:spacing w:after="0"/>
              <w:rPr>
                <w:sz w:val="20"/>
                <w:szCs w:val="20"/>
                <w:color w:val="auto"/>
              </w:rPr>
            </w:pPr>
            <w:r>
              <w:rPr>
                <w:rFonts w:ascii="Arial" w:cs="Arial" w:eastAsia="Arial" w:hAnsi="Arial"/>
                <w:sz w:val="12"/>
                <w:szCs w:val="12"/>
                <w:color w:val="auto"/>
              </w:rPr>
              <w:t>Anthrax vaccines</w:t>
            </w:r>
          </w:p>
        </w:tc>
        <w:tc>
          <w:tcPr>
            <w:tcW w:w="4060" w:type="dxa"/>
            <w:vAlign w:val="bottom"/>
            <w:shd w:val="clear" w:color="auto" w:fill="CCCCCC"/>
          </w:tcPr>
          <w:p>
            <w:pPr>
              <w:jc w:val="right"/>
              <w:ind w:right="61"/>
              <w:spacing w:after="0"/>
              <w:rPr>
                <w:sz w:val="20"/>
                <w:szCs w:val="20"/>
                <w:color w:val="auto"/>
              </w:rPr>
            </w:pPr>
            <w:r>
              <w:rPr>
                <w:rFonts w:ascii="Arial" w:cs="Arial" w:eastAsia="Arial" w:hAnsi="Arial"/>
                <w:sz w:val="12"/>
                <w:szCs w:val="12"/>
                <w:color w:val="auto"/>
              </w:rPr>
              <w:t>$51.9</w:t>
            </w:r>
          </w:p>
        </w:tc>
        <w:tc>
          <w:tcPr>
            <w:tcW w:w="2200" w:type="dxa"/>
            <w:vAlign w:val="bottom"/>
            <w:shd w:val="clear" w:color="auto" w:fill="CCCCCC"/>
          </w:tcPr>
          <w:p>
            <w:pPr>
              <w:jc w:val="right"/>
              <w:ind w:right="340"/>
              <w:spacing w:after="0"/>
              <w:rPr>
                <w:sz w:val="20"/>
                <w:szCs w:val="20"/>
                <w:color w:val="auto"/>
              </w:rPr>
            </w:pPr>
            <w:r>
              <w:rPr>
                <w:rFonts w:ascii="Arial" w:cs="Arial" w:eastAsia="Arial" w:hAnsi="Arial"/>
                <w:sz w:val="12"/>
                <w:szCs w:val="12"/>
                <w:color w:val="auto"/>
              </w:rPr>
              <w:t>$11.7</w:t>
            </w:r>
          </w:p>
        </w:tc>
        <w:tc>
          <w:tcPr>
            <w:tcW w:w="1620" w:type="dxa"/>
            <w:vAlign w:val="bottom"/>
            <w:shd w:val="clear" w:color="auto" w:fill="CCCCCC"/>
          </w:tcPr>
          <w:p>
            <w:pPr>
              <w:jc w:val="center"/>
              <w:ind w:right="240"/>
              <w:spacing w:after="0"/>
              <w:rPr>
                <w:sz w:val="20"/>
                <w:szCs w:val="20"/>
                <w:color w:val="auto"/>
              </w:rPr>
            </w:pPr>
            <w:r>
              <w:rPr>
                <w:rFonts w:ascii="Arial" w:cs="Arial" w:eastAsia="Arial" w:hAnsi="Arial"/>
                <w:sz w:val="12"/>
                <w:szCs w:val="12"/>
                <w:color w:val="auto"/>
              </w:rPr>
              <w:t>NM</w:t>
            </w:r>
          </w:p>
        </w:tc>
      </w:tr>
      <w:tr>
        <w:trPr>
          <w:trHeight w:val="189"/>
        </w:trPr>
        <w:tc>
          <w:tcPr>
            <w:tcW w:w="3420" w:type="dxa"/>
            <w:vAlign w:val="bottom"/>
            <w:shd w:val="clear" w:color="auto" w:fill="CCCCCC"/>
          </w:tcPr>
          <w:p>
            <w:pPr>
              <w:ind w:left="180"/>
              <w:spacing w:after="0"/>
              <w:rPr>
                <w:sz w:val="20"/>
                <w:szCs w:val="20"/>
                <w:color w:val="auto"/>
              </w:rPr>
            </w:pPr>
            <w:r>
              <w:rPr>
                <w:rFonts w:ascii="Arial" w:cs="Arial" w:eastAsia="Arial" w:hAnsi="Arial"/>
                <w:sz w:val="12"/>
                <w:szCs w:val="12"/>
                <w:color w:val="auto"/>
              </w:rPr>
              <w:t>Other</w:t>
            </w:r>
          </w:p>
        </w:tc>
        <w:tc>
          <w:tcPr>
            <w:tcW w:w="4060" w:type="dxa"/>
            <w:vAlign w:val="bottom"/>
            <w:shd w:val="clear" w:color="auto" w:fill="CCCCCC"/>
          </w:tcPr>
          <w:p>
            <w:pPr>
              <w:jc w:val="right"/>
              <w:ind w:right="61"/>
              <w:spacing w:after="0"/>
              <w:rPr>
                <w:sz w:val="20"/>
                <w:szCs w:val="20"/>
                <w:color w:val="auto"/>
              </w:rPr>
            </w:pPr>
            <w:r>
              <w:rPr>
                <w:rFonts w:ascii="Arial" w:cs="Arial" w:eastAsia="Arial" w:hAnsi="Arial"/>
                <w:sz w:val="12"/>
                <w:szCs w:val="12"/>
                <w:color w:val="auto"/>
              </w:rPr>
              <w:t>$24.1</w:t>
            </w:r>
          </w:p>
        </w:tc>
        <w:tc>
          <w:tcPr>
            <w:tcW w:w="2200" w:type="dxa"/>
            <w:vAlign w:val="bottom"/>
            <w:shd w:val="clear" w:color="auto" w:fill="CCCCCC"/>
          </w:tcPr>
          <w:p>
            <w:pPr>
              <w:jc w:val="right"/>
              <w:ind w:right="340"/>
              <w:spacing w:after="0"/>
              <w:rPr>
                <w:sz w:val="20"/>
                <w:szCs w:val="20"/>
                <w:color w:val="auto"/>
              </w:rPr>
            </w:pPr>
            <w:r>
              <w:rPr>
                <w:rFonts w:ascii="Arial" w:cs="Arial" w:eastAsia="Arial" w:hAnsi="Arial"/>
                <w:sz w:val="12"/>
                <w:szCs w:val="12"/>
                <w:color w:val="auto"/>
              </w:rPr>
              <w:t>$30.2</w:t>
            </w:r>
          </w:p>
        </w:tc>
        <w:tc>
          <w:tcPr>
            <w:tcW w:w="1620" w:type="dxa"/>
            <w:vAlign w:val="bottom"/>
            <w:shd w:val="clear" w:color="auto" w:fill="CCCCCC"/>
          </w:tcPr>
          <w:p>
            <w:pPr>
              <w:jc w:val="center"/>
              <w:ind w:right="240"/>
              <w:spacing w:after="0"/>
              <w:rPr>
                <w:sz w:val="20"/>
                <w:szCs w:val="20"/>
                <w:color w:val="auto"/>
              </w:rPr>
            </w:pPr>
            <w:r>
              <w:rPr>
                <w:rFonts w:ascii="Arial" w:cs="Arial" w:eastAsia="Arial" w:hAnsi="Arial"/>
                <w:sz w:val="12"/>
                <w:szCs w:val="12"/>
                <w:color w:val="auto"/>
                <w:w w:val="99"/>
              </w:rPr>
              <w:t>(20)%</w:t>
            </w:r>
          </w:p>
        </w:tc>
      </w:tr>
      <w:tr>
        <w:trPr>
          <w:trHeight w:val="198"/>
        </w:trPr>
        <w:tc>
          <w:tcPr>
            <w:tcW w:w="3420" w:type="dxa"/>
            <w:vAlign w:val="bottom"/>
            <w:shd w:val="clear" w:color="auto" w:fill="CCCCCC"/>
          </w:tcPr>
          <w:p>
            <w:pPr>
              <w:ind w:left="20"/>
              <w:spacing w:after="0"/>
              <w:rPr>
                <w:sz w:val="20"/>
                <w:szCs w:val="20"/>
                <w:color w:val="auto"/>
              </w:rPr>
            </w:pPr>
            <w:r>
              <w:rPr>
                <w:rFonts w:ascii="Arial" w:cs="Arial" w:eastAsia="Arial" w:hAnsi="Arial"/>
                <w:sz w:val="12"/>
                <w:szCs w:val="12"/>
                <w:b w:val="1"/>
                <w:bCs w:val="1"/>
                <w:color w:val="auto"/>
              </w:rPr>
              <w:t>Total Product Sales</w:t>
            </w:r>
          </w:p>
        </w:tc>
        <w:tc>
          <w:tcPr>
            <w:tcW w:w="4060" w:type="dxa"/>
            <w:vAlign w:val="bottom"/>
            <w:shd w:val="clear" w:color="auto" w:fill="CCCCCC"/>
          </w:tcPr>
          <w:p>
            <w:pPr>
              <w:jc w:val="right"/>
              <w:ind w:right="61"/>
              <w:spacing w:after="0"/>
              <w:rPr>
                <w:sz w:val="20"/>
                <w:szCs w:val="20"/>
                <w:color w:val="auto"/>
              </w:rPr>
            </w:pPr>
            <w:r>
              <w:rPr>
                <w:rFonts w:ascii="Arial" w:cs="Arial" w:eastAsia="Arial" w:hAnsi="Arial"/>
                <w:sz w:val="12"/>
                <w:szCs w:val="12"/>
                <w:color w:val="auto"/>
              </w:rPr>
              <w:t>$148.2</w:t>
            </w:r>
          </w:p>
        </w:tc>
        <w:tc>
          <w:tcPr>
            <w:tcW w:w="2200" w:type="dxa"/>
            <w:vAlign w:val="bottom"/>
            <w:shd w:val="clear" w:color="auto" w:fill="CCCCCC"/>
          </w:tcPr>
          <w:p>
            <w:pPr>
              <w:jc w:val="right"/>
              <w:ind w:right="340"/>
              <w:spacing w:after="0"/>
              <w:rPr>
                <w:sz w:val="20"/>
                <w:szCs w:val="20"/>
                <w:color w:val="auto"/>
              </w:rPr>
            </w:pPr>
            <w:r>
              <w:rPr>
                <w:rFonts w:ascii="Arial" w:cs="Arial" w:eastAsia="Arial" w:hAnsi="Arial"/>
                <w:sz w:val="12"/>
                <w:szCs w:val="12"/>
                <w:color w:val="auto"/>
              </w:rPr>
              <w:t>$153.0</w:t>
            </w:r>
          </w:p>
        </w:tc>
        <w:tc>
          <w:tcPr>
            <w:tcW w:w="1620" w:type="dxa"/>
            <w:vAlign w:val="bottom"/>
            <w:shd w:val="clear" w:color="auto" w:fill="CCCCCC"/>
          </w:tcPr>
          <w:p>
            <w:pPr>
              <w:jc w:val="center"/>
              <w:ind w:right="240"/>
              <w:spacing w:after="0"/>
              <w:rPr>
                <w:sz w:val="20"/>
                <w:szCs w:val="20"/>
                <w:color w:val="auto"/>
              </w:rPr>
            </w:pPr>
            <w:r>
              <w:rPr>
                <w:rFonts w:ascii="Arial" w:cs="Arial" w:eastAsia="Arial" w:hAnsi="Arial"/>
                <w:sz w:val="12"/>
                <w:szCs w:val="12"/>
                <w:color w:val="auto"/>
                <w:w w:val="94"/>
              </w:rPr>
              <w:t>(3)%</w:t>
            </w:r>
          </w:p>
        </w:tc>
      </w:tr>
      <w:tr>
        <w:trPr>
          <w:trHeight w:val="428"/>
        </w:trPr>
        <w:tc>
          <w:tcPr>
            <w:tcW w:w="3420" w:type="dxa"/>
            <w:vAlign w:val="bottom"/>
          </w:tcPr>
          <w:p>
            <w:pPr>
              <w:spacing w:after="0"/>
              <w:rPr>
                <w:sz w:val="24"/>
                <w:szCs w:val="24"/>
                <w:color w:val="auto"/>
              </w:rPr>
            </w:pPr>
          </w:p>
        </w:tc>
        <w:tc>
          <w:tcPr>
            <w:tcW w:w="4060" w:type="dxa"/>
            <w:vAlign w:val="bottom"/>
          </w:tcPr>
          <w:p>
            <w:pPr>
              <w:jc w:val="right"/>
              <w:ind w:right="1621"/>
              <w:spacing w:after="0"/>
              <w:rPr>
                <w:sz w:val="20"/>
                <w:szCs w:val="20"/>
                <w:color w:val="auto"/>
              </w:rPr>
            </w:pPr>
            <w:r>
              <w:rPr>
                <w:rFonts w:ascii="Arial" w:cs="Arial" w:eastAsia="Arial" w:hAnsi="Arial"/>
                <w:sz w:val="11"/>
                <w:szCs w:val="11"/>
                <w:color w:val="auto"/>
              </w:rPr>
              <w:t>2 of 11</w:t>
            </w:r>
          </w:p>
        </w:tc>
        <w:tc>
          <w:tcPr>
            <w:tcW w:w="22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308"/>
          </w:cols>
          <w:pgMar w:left="292" w:top="1079"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6351905</wp:posOffset>
            </wp:positionH>
            <wp:positionV relativeFrom="page">
              <wp:posOffset>180340</wp:posOffset>
            </wp:positionV>
            <wp:extent cx="1011555" cy="422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22910"/>
                    </a:xfrm>
                    <a:prstGeom prst="rect">
                      <a:avLst/>
                    </a:prstGeom>
                    <a:noFill/>
                  </pic:spPr>
                </pic:pic>
              </a:graphicData>
            </a:graphic>
          </wp:anchor>
        </w:drawing>
        <w:t>Contract Development and Manufacturing</w:t>
      </w:r>
    </w:p>
    <w:p>
      <w:pPr>
        <w:spacing w:after="0" w:line="92"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 xml:space="preserve">For Q1 2020, revenue from the Company’s contract development and manufacturing operations was $21.7 million, an increase of $5.8 million or 36% as compared to 2019. The increase primarily reflects </w:t>
      </w:r>
      <w:r>
        <w:rPr>
          <w:rFonts w:ascii="Arial" w:cs="Arial" w:eastAsia="Arial" w:hAnsi="Arial"/>
          <w:sz w:val="12"/>
          <w:szCs w:val="12"/>
          <w:color w:val="2C2C2C"/>
        </w:rPr>
        <w:t>increased</w:t>
      </w:r>
      <w:r>
        <w:rPr>
          <w:rFonts w:ascii="Arial" w:cs="Arial" w:eastAsia="Arial" w:hAnsi="Arial"/>
          <w:sz w:val="12"/>
          <w:szCs w:val="12"/>
          <w:color w:val="auto"/>
        </w:rPr>
        <w:t xml:space="preserve"> </w:t>
      </w:r>
      <w:r>
        <w:rPr>
          <w:rFonts w:ascii="Arial" w:cs="Arial" w:eastAsia="Arial" w:hAnsi="Arial"/>
          <w:sz w:val="12"/>
          <w:szCs w:val="12"/>
          <w:color w:val="2C2C2C"/>
        </w:rPr>
        <w:t>demand across development services, drug substance and drug product offerings.</w:t>
      </w: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Contracts and Grants</w:t>
      </w:r>
    </w:p>
    <w:p>
      <w:pPr>
        <w:spacing w:after="0" w:line="92" w:lineRule="exact"/>
        <w:rPr>
          <w:sz w:val="20"/>
          <w:szCs w:val="20"/>
          <w:color w:val="auto"/>
        </w:rPr>
      </w:pPr>
    </w:p>
    <w:p>
      <w:pPr>
        <w:ind w:right="100"/>
        <w:spacing w:after="0" w:line="261" w:lineRule="auto"/>
        <w:rPr>
          <w:sz w:val="20"/>
          <w:szCs w:val="20"/>
          <w:color w:val="auto"/>
        </w:rPr>
      </w:pPr>
      <w:r>
        <w:rPr>
          <w:rFonts w:ascii="Arial" w:cs="Arial" w:eastAsia="Arial" w:hAnsi="Arial"/>
          <w:sz w:val="12"/>
          <w:szCs w:val="12"/>
          <w:color w:val="auto"/>
        </w:rPr>
        <w:t>For Q1 2020, revenue from the Company’s development-based contracts and grants was $22.6 million, an increase of $0.9 million as compared to 2019. The increase primarily reflects revenues associated with a grant received related to our PC2A (diazepam) auto-injector drug-device product candidate</w:t>
      </w:r>
      <w:r>
        <w:rPr>
          <w:rFonts w:ascii="Arial" w:cs="Arial" w:eastAsia="Arial" w:hAnsi="Arial"/>
          <w:sz w:val="12"/>
          <w:szCs w:val="12"/>
          <w:color w:val="2C2C2C"/>
        </w:rPr>
        <w: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Operating Expenses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Product Sales and Contract Development and Manufacturing</w:t>
      </w:r>
    </w:p>
    <w:p>
      <w:pPr>
        <w:spacing w:after="0" w:line="92" w:lineRule="exact"/>
        <w:rPr>
          <w:sz w:val="20"/>
          <w:szCs w:val="20"/>
          <w:color w:val="auto"/>
        </w:rPr>
      </w:pPr>
    </w:p>
    <w:p>
      <w:pPr>
        <w:ind w:right="160"/>
        <w:spacing w:after="0" w:line="261" w:lineRule="auto"/>
        <w:rPr>
          <w:sz w:val="20"/>
          <w:szCs w:val="20"/>
          <w:color w:val="auto"/>
        </w:rPr>
      </w:pPr>
      <w:r>
        <w:rPr>
          <w:rFonts w:ascii="Arial" w:cs="Arial" w:eastAsia="Arial" w:hAnsi="Arial"/>
          <w:sz w:val="12"/>
          <w:szCs w:val="12"/>
          <w:color w:val="auto"/>
        </w:rPr>
        <w:t>For Q1 2020, cost of product sales and contract manufacturing was $76.9 million, a decrease of $14.9 million or 16% as compared to 2019. The decrease pr</w:t>
      </w:r>
      <w:r>
        <w:rPr>
          <w:rFonts w:ascii="Arial" w:cs="Arial" w:eastAsia="Arial" w:hAnsi="Arial"/>
          <w:sz w:val="12"/>
          <w:szCs w:val="12"/>
          <w:color w:val="2C2C2C"/>
        </w:rPr>
        <w:t>imarily reflects a decrease in sales of ACAM2000 and</w:t>
      </w:r>
      <w:r>
        <w:rPr>
          <w:rFonts w:ascii="Arial" w:cs="Arial" w:eastAsia="Arial" w:hAnsi="Arial"/>
          <w:sz w:val="12"/>
          <w:szCs w:val="12"/>
          <w:color w:val="auto"/>
        </w:rPr>
        <w:t xml:space="preserve"> </w:t>
      </w:r>
      <w:r>
        <w:rPr>
          <w:rFonts w:ascii="Arial" w:cs="Arial" w:eastAsia="Arial" w:hAnsi="Arial"/>
          <w:sz w:val="12"/>
          <w:szCs w:val="12"/>
          <w:color w:val="2C2C2C"/>
        </w:rPr>
        <w:t>raxibacumab.</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(Gross and Net)</w:t>
      </w:r>
    </w:p>
    <w:p>
      <w:pPr>
        <w:spacing w:after="0" w:line="164" w:lineRule="exact"/>
        <w:rPr>
          <w:sz w:val="20"/>
          <w:szCs w:val="20"/>
          <w:color w:val="auto"/>
        </w:rPr>
      </w:pPr>
    </w:p>
    <w:p>
      <w:pPr>
        <w:ind w:right="180"/>
        <w:spacing w:after="0" w:line="261" w:lineRule="auto"/>
        <w:rPr>
          <w:sz w:val="20"/>
          <w:szCs w:val="20"/>
          <w:color w:val="auto"/>
        </w:rPr>
      </w:pPr>
      <w:r>
        <w:rPr>
          <w:rFonts w:ascii="Arial" w:cs="Arial" w:eastAsia="Arial" w:hAnsi="Arial"/>
          <w:sz w:val="12"/>
          <w:szCs w:val="12"/>
          <w:color w:val="auto"/>
        </w:rPr>
        <w:t xml:space="preserve">For Q1 2020, gross R&amp;D expenses were $42.7 million, a decrease of $3.4 million or 7% as compared to 2019. The decrease primarily reflects a </w:t>
      </w:r>
      <w:r>
        <w:rPr>
          <w:rFonts w:ascii="Arial" w:cs="Arial" w:eastAsia="Arial" w:hAnsi="Arial"/>
          <w:sz w:val="12"/>
          <w:szCs w:val="12"/>
          <w:color w:val="2C2C2C"/>
        </w:rPr>
        <w:t>decline of costs associated with the Company's FLU-IGIV product</w:t>
      </w:r>
      <w:r>
        <w:rPr>
          <w:rFonts w:ascii="Arial" w:cs="Arial" w:eastAsia="Arial" w:hAnsi="Arial"/>
          <w:sz w:val="12"/>
          <w:szCs w:val="12"/>
          <w:color w:val="auto"/>
        </w:rPr>
        <w:t xml:space="preserve"> </w:t>
      </w:r>
      <w:r>
        <w:rPr>
          <w:rFonts w:ascii="Arial" w:cs="Arial" w:eastAsia="Arial" w:hAnsi="Arial"/>
          <w:sz w:val="12"/>
          <w:szCs w:val="12"/>
          <w:color w:val="2C2C2C"/>
        </w:rPr>
        <w:t>candidate. During 2019, the Company was incurring costs associated with phase 2 clinical trials for FLU-IGIV.</w:t>
      </w:r>
    </w:p>
    <w:p>
      <w:pPr>
        <w:spacing w:after="0" w:line="96" w:lineRule="exact"/>
        <w:rPr>
          <w:sz w:val="20"/>
          <w:szCs w:val="20"/>
          <w:color w:val="auto"/>
        </w:rPr>
      </w:pPr>
    </w:p>
    <w:p>
      <w:pPr>
        <w:ind w:right="260"/>
        <w:spacing w:after="0" w:line="250" w:lineRule="auto"/>
        <w:rPr>
          <w:sz w:val="20"/>
          <w:szCs w:val="20"/>
          <w:color w:val="auto"/>
        </w:rPr>
      </w:pPr>
      <w:r>
        <w:rPr>
          <w:rFonts w:ascii="Arial" w:cs="Arial" w:eastAsia="Arial" w:hAnsi="Arial"/>
          <w:sz w:val="12"/>
          <w:szCs w:val="12"/>
          <w:color w:val="auto"/>
        </w:rPr>
        <w:t>For Q1 2020, net R&amp;D expense, which reflects investments made in development programs that are not currently funded in whole or in part by third-party partners and is calculated as gross research and development expenses minus contracts and grants revenue, was 20.1 million, a decrease of $4.3 million or 18% as compared to 2019. The decrease is also attributable to a decline of costs associated with the Company's FLU-IGIV product candidate. The Q1</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2020 and Q1 2019 net R&amp;D expense was 12% of adjusted revenue (total revenue less contracts &amp; grants).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80" w:type="dxa"/>
            <w:vAlign w:val="bottom"/>
            <w:shd w:val="clear" w:color="auto" w:fill="0F243E"/>
          </w:tcPr>
          <w:p>
            <w:pPr>
              <w:spacing w:after="0"/>
              <w:rPr>
                <w:sz w:val="15"/>
                <w:szCs w:val="15"/>
                <w:color w:val="auto"/>
              </w:rPr>
            </w:pPr>
          </w:p>
        </w:tc>
        <w:tc>
          <w:tcPr>
            <w:tcW w:w="100" w:type="dxa"/>
            <w:vAlign w:val="bottom"/>
            <w:shd w:val="clear" w:color="auto" w:fill="0F243E"/>
          </w:tcPr>
          <w:p>
            <w:pPr>
              <w:spacing w:after="0"/>
              <w:rPr>
                <w:sz w:val="15"/>
                <w:szCs w:val="15"/>
                <w:color w:val="auto"/>
              </w:rPr>
            </w:pPr>
          </w:p>
        </w:tc>
        <w:tc>
          <w:tcPr>
            <w:tcW w:w="1600" w:type="dxa"/>
            <w:vAlign w:val="bottom"/>
            <w:shd w:val="clear" w:color="auto" w:fill="0F243E"/>
          </w:tcPr>
          <w:p>
            <w:pPr>
              <w:spacing w:after="0"/>
              <w:rPr>
                <w:sz w:val="15"/>
                <w:szCs w:val="15"/>
                <w:color w:val="auto"/>
              </w:rPr>
            </w:pPr>
          </w:p>
        </w:tc>
        <w:tc>
          <w:tcPr>
            <w:tcW w:w="2100" w:type="dxa"/>
            <w:vAlign w:val="bottom"/>
            <w:shd w:val="clear" w:color="auto" w:fill="0F243E"/>
          </w:tcPr>
          <w:p>
            <w:pPr>
              <w:jc w:val="right"/>
              <w:ind w:right="240"/>
              <w:spacing w:after="0"/>
              <w:rPr>
                <w:sz w:val="20"/>
                <w:szCs w:val="20"/>
                <w:color w:val="auto"/>
              </w:rPr>
            </w:pPr>
            <w:r>
              <w:rPr>
                <w:rFonts w:ascii="Arial" w:cs="Arial" w:eastAsia="Arial" w:hAnsi="Arial"/>
                <w:sz w:val="12"/>
                <w:szCs w:val="12"/>
                <w:b w:val="1"/>
                <w:bCs w:val="1"/>
                <w:color w:val="FFFFFF"/>
              </w:rPr>
              <w:t>Three Months Ended March 31,</w:t>
            </w:r>
          </w:p>
        </w:tc>
        <w:tc>
          <w:tcPr>
            <w:tcW w:w="1420" w:type="dxa"/>
            <w:vAlign w:val="bottom"/>
            <w:shd w:val="clear" w:color="auto" w:fill="0F243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80" w:type="dxa"/>
            <w:vAlign w:val="bottom"/>
            <w:shd w:val="clear" w:color="auto" w:fill="0F243E"/>
          </w:tcPr>
          <w:p>
            <w:pPr>
              <w:ind w:left="20"/>
              <w:spacing w:after="0"/>
              <w:rPr>
                <w:sz w:val="20"/>
                <w:szCs w:val="20"/>
                <w:color w:val="auto"/>
              </w:rPr>
            </w:pPr>
            <w:r>
              <w:rPr>
                <w:rFonts w:ascii="Arial" w:cs="Arial" w:eastAsia="Arial" w:hAnsi="Arial"/>
                <w:sz w:val="12"/>
                <w:szCs w:val="12"/>
                <w:color w:val="FFFFFF"/>
              </w:rPr>
              <w:t>(in millions)</w:t>
            </w:r>
          </w:p>
        </w:tc>
        <w:tc>
          <w:tcPr>
            <w:tcW w:w="1700" w:type="dxa"/>
            <w:vAlign w:val="bottom"/>
            <w:gridSpan w:val="2"/>
            <w:shd w:val="clear" w:color="auto" w:fill="0F243E"/>
          </w:tcPr>
          <w:p>
            <w:pPr>
              <w:jc w:val="right"/>
              <w:ind w:right="620"/>
              <w:spacing w:after="0"/>
              <w:rPr>
                <w:sz w:val="20"/>
                <w:szCs w:val="20"/>
                <w:color w:val="auto"/>
              </w:rPr>
            </w:pPr>
            <w:r>
              <w:rPr>
                <w:rFonts w:ascii="Arial" w:cs="Arial" w:eastAsia="Arial" w:hAnsi="Arial"/>
                <w:sz w:val="12"/>
                <w:szCs w:val="12"/>
                <w:b w:val="1"/>
                <w:bCs w:val="1"/>
                <w:color w:val="FFFFFF"/>
              </w:rPr>
              <w:t>2020</w:t>
            </w:r>
          </w:p>
        </w:tc>
        <w:tc>
          <w:tcPr>
            <w:tcW w:w="2100" w:type="dxa"/>
            <w:vAlign w:val="bottom"/>
            <w:shd w:val="clear" w:color="auto" w:fill="0F243E"/>
          </w:tcPr>
          <w:p>
            <w:pPr>
              <w:jc w:val="right"/>
              <w:ind w:right="940"/>
              <w:spacing w:after="0"/>
              <w:rPr>
                <w:sz w:val="20"/>
                <w:szCs w:val="20"/>
                <w:color w:val="auto"/>
              </w:rPr>
            </w:pPr>
            <w:r>
              <w:rPr>
                <w:rFonts w:ascii="Arial" w:cs="Arial" w:eastAsia="Arial" w:hAnsi="Arial"/>
                <w:sz w:val="12"/>
                <w:szCs w:val="12"/>
                <w:b w:val="1"/>
                <w:bCs w:val="1"/>
                <w:color w:val="FFFFFF"/>
              </w:rPr>
              <w:t>2019</w:t>
            </w:r>
          </w:p>
        </w:tc>
        <w:tc>
          <w:tcPr>
            <w:tcW w:w="1420" w:type="dxa"/>
            <w:vAlign w:val="bottom"/>
            <w:shd w:val="clear" w:color="auto" w:fill="0F243E"/>
          </w:tcPr>
          <w:p>
            <w:pPr>
              <w:jc w:val="center"/>
              <w:ind w:right="220"/>
              <w:spacing w:after="0"/>
              <w:rPr>
                <w:sz w:val="20"/>
                <w:szCs w:val="20"/>
                <w:color w:val="auto"/>
              </w:rPr>
            </w:pPr>
            <w:r>
              <w:rPr>
                <w:rFonts w:ascii="Arial" w:cs="Arial" w:eastAsia="Arial" w:hAnsi="Arial"/>
                <w:sz w:val="12"/>
                <w:szCs w:val="12"/>
                <w:b w:val="1"/>
                <w:bCs w:val="1"/>
                <w:color w:val="FFFFFF"/>
                <w:w w:val="99"/>
              </w:rPr>
              <w:t>% Change</w:t>
            </w:r>
          </w:p>
        </w:tc>
        <w:tc>
          <w:tcPr>
            <w:tcW w:w="0" w:type="dxa"/>
            <w:vAlign w:val="bottom"/>
          </w:tcPr>
          <w:p>
            <w:pPr>
              <w:spacing w:after="0"/>
              <w:rPr>
                <w:sz w:val="1"/>
                <w:szCs w:val="1"/>
                <w:color w:val="auto"/>
              </w:rPr>
            </w:pPr>
          </w:p>
        </w:tc>
      </w:tr>
      <w:tr>
        <w:trPr>
          <w:trHeight w:val="171"/>
        </w:trPr>
        <w:tc>
          <w:tcPr>
            <w:tcW w:w="6080" w:type="dxa"/>
            <w:vAlign w:val="bottom"/>
            <w:shd w:val="clear" w:color="auto" w:fill="CCCCCC"/>
          </w:tcPr>
          <w:p>
            <w:pPr>
              <w:ind w:left="20"/>
              <w:spacing w:after="0"/>
              <w:rPr>
                <w:sz w:val="20"/>
                <w:szCs w:val="20"/>
                <w:color w:val="auto"/>
              </w:rPr>
            </w:pPr>
            <w:r>
              <w:rPr>
                <w:rFonts w:ascii="Arial" w:cs="Arial" w:eastAsia="Arial" w:hAnsi="Arial"/>
                <w:sz w:val="12"/>
                <w:szCs w:val="12"/>
                <w:color w:val="auto"/>
              </w:rPr>
              <w:t>Research and Development Expenses</w:t>
            </w:r>
          </w:p>
        </w:tc>
        <w:tc>
          <w:tcPr>
            <w:tcW w:w="1700" w:type="dxa"/>
            <w:vAlign w:val="bottom"/>
            <w:gridSpan w:val="2"/>
            <w:shd w:val="clear" w:color="auto" w:fill="CCCCCC"/>
          </w:tcPr>
          <w:p>
            <w:pPr>
              <w:jc w:val="right"/>
              <w:ind w:right="80"/>
              <w:spacing w:after="0"/>
              <w:rPr>
                <w:sz w:val="20"/>
                <w:szCs w:val="20"/>
                <w:color w:val="auto"/>
              </w:rPr>
            </w:pPr>
            <w:r>
              <w:rPr>
                <w:rFonts w:ascii="Arial" w:cs="Arial" w:eastAsia="Arial" w:hAnsi="Arial"/>
                <w:sz w:val="12"/>
                <w:szCs w:val="12"/>
                <w:color w:val="auto"/>
              </w:rPr>
              <w:t>$42.7</w:t>
            </w:r>
          </w:p>
        </w:tc>
        <w:tc>
          <w:tcPr>
            <w:tcW w:w="2100" w:type="dxa"/>
            <w:vAlign w:val="bottom"/>
            <w:shd w:val="clear" w:color="auto" w:fill="CCCCCC"/>
          </w:tcPr>
          <w:p>
            <w:pPr>
              <w:jc w:val="right"/>
              <w:ind w:right="420"/>
              <w:spacing w:after="0"/>
              <w:rPr>
                <w:sz w:val="20"/>
                <w:szCs w:val="20"/>
                <w:color w:val="auto"/>
              </w:rPr>
            </w:pPr>
            <w:r>
              <w:rPr>
                <w:rFonts w:ascii="Arial" w:cs="Arial" w:eastAsia="Arial" w:hAnsi="Arial"/>
                <w:sz w:val="12"/>
                <w:szCs w:val="12"/>
                <w:color w:val="auto"/>
              </w:rPr>
              <w:t>$46.1</w:t>
            </w:r>
          </w:p>
        </w:tc>
        <w:tc>
          <w:tcPr>
            <w:tcW w:w="1420" w:type="dxa"/>
            <w:vAlign w:val="bottom"/>
            <w:shd w:val="clear" w:color="auto" w:fill="CCCCCC"/>
          </w:tcPr>
          <w:p>
            <w:pPr>
              <w:jc w:val="right"/>
              <w:ind w:right="64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89"/>
        </w:trPr>
        <w:tc>
          <w:tcPr>
            <w:tcW w:w="6080" w:type="dxa"/>
            <w:vAlign w:val="bottom"/>
            <w:shd w:val="clear" w:color="auto" w:fill="CCCCCC"/>
          </w:tcPr>
          <w:p>
            <w:pPr>
              <w:ind w:left="20"/>
              <w:spacing w:after="0"/>
              <w:rPr>
                <w:sz w:val="20"/>
                <w:szCs w:val="20"/>
                <w:color w:val="auto"/>
              </w:rPr>
            </w:pPr>
            <w:r>
              <w:rPr>
                <w:rFonts w:ascii="Arial" w:cs="Arial" w:eastAsia="Arial" w:hAnsi="Arial"/>
                <w:sz w:val="12"/>
                <w:szCs w:val="12"/>
                <w:color w:val="auto"/>
              </w:rPr>
              <w:t>Adjustments:</w:t>
            </w:r>
          </w:p>
        </w:tc>
        <w:tc>
          <w:tcPr>
            <w:tcW w:w="100" w:type="dxa"/>
            <w:vAlign w:val="bottom"/>
            <w:shd w:val="clear" w:color="auto" w:fill="CCCCCC"/>
          </w:tcPr>
          <w:p>
            <w:pPr>
              <w:spacing w:after="0"/>
              <w:rPr>
                <w:sz w:val="16"/>
                <w:szCs w:val="16"/>
                <w:color w:val="auto"/>
              </w:rPr>
            </w:pPr>
          </w:p>
        </w:tc>
        <w:tc>
          <w:tcPr>
            <w:tcW w:w="1600" w:type="dxa"/>
            <w:vAlign w:val="bottom"/>
            <w:shd w:val="clear" w:color="auto" w:fill="CCCCCC"/>
          </w:tcPr>
          <w:p>
            <w:pPr>
              <w:spacing w:after="0"/>
              <w:rPr>
                <w:sz w:val="16"/>
                <w:szCs w:val="16"/>
                <w:color w:val="auto"/>
              </w:rPr>
            </w:pPr>
          </w:p>
        </w:tc>
        <w:tc>
          <w:tcPr>
            <w:tcW w:w="2100" w:type="dxa"/>
            <w:vAlign w:val="bottom"/>
            <w:shd w:val="clear" w:color="auto" w:fill="CCCCCC"/>
          </w:tcPr>
          <w:p>
            <w:pPr>
              <w:spacing w:after="0"/>
              <w:rPr>
                <w:sz w:val="16"/>
                <w:szCs w:val="16"/>
                <w:color w:val="auto"/>
              </w:rPr>
            </w:pPr>
          </w:p>
        </w:tc>
        <w:tc>
          <w:tcPr>
            <w:tcW w:w="1420" w:type="dxa"/>
            <w:vAlign w:val="bottom"/>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080" w:type="dxa"/>
            <w:vAlign w:val="bottom"/>
            <w:shd w:val="clear" w:color="auto" w:fill="CCCCCC"/>
          </w:tcPr>
          <w:p>
            <w:pPr>
              <w:ind w:left="180"/>
              <w:spacing w:after="0"/>
              <w:rPr>
                <w:sz w:val="20"/>
                <w:szCs w:val="20"/>
                <w:color w:val="auto"/>
              </w:rPr>
            </w:pPr>
            <w:r>
              <w:rPr>
                <w:rFonts w:ascii="Arial" w:cs="Arial" w:eastAsia="Arial" w:hAnsi="Arial"/>
                <w:sz w:val="12"/>
                <w:szCs w:val="12"/>
                <w:color w:val="auto"/>
              </w:rPr>
              <w:t>Less Contracts and Grants Revenue</w:t>
            </w:r>
          </w:p>
        </w:tc>
        <w:tc>
          <w:tcPr>
            <w:tcW w:w="1700" w:type="dxa"/>
            <w:vAlign w:val="bottom"/>
            <w:gridSpan w:val="2"/>
            <w:shd w:val="clear" w:color="auto" w:fill="CCCCCC"/>
          </w:tcPr>
          <w:p>
            <w:pPr>
              <w:jc w:val="right"/>
              <w:ind w:right="80"/>
              <w:spacing w:after="0"/>
              <w:rPr>
                <w:sz w:val="20"/>
                <w:szCs w:val="20"/>
                <w:color w:val="auto"/>
              </w:rPr>
            </w:pPr>
            <w:r>
              <w:rPr>
                <w:rFonts w:ascii="Arial" w:cs="Arial" w:eastAsia="Arial" w:hAnsi="Arial"/>
                <w:sz w:val="12"/>
                <w:szCs w:val="12"/>
                <w:color w:val="auto"/>
              </w:rPr>
              <w:t>$22.6</w:t>
            </w:r>
          </w:p>
        </w:tc>
        <w:tc>
          <w:tcPr>
            <w:tcW w:w="2100" w:type="dxa"/>
            <w:vAlign w:val="bottom"/>
            <w:shd w:val="clear" w:color="auto" w:fill="CCCCCC"/>
          </w:tcPr>
          <w:p>
            <w:pPr>
              <w:jc w:val="right"/>
              <w:ind w:right="420"/>
              <w:spacing w:after="0"/>
              <w:rPr>
                <w:sz w:val="20"/>
                <w:szCs w:val="20"/>
                <w:color w:val="auto"/>
              </w:rPr>
            </w:pPr>
            <w:r>
              <w:rPr>
                <w:rFonts w:ascii="Arial" w:cs="Arial" w:eastAsia="Arial" w:hAnsi="Arial"/>
                <w:sz w:val="12"/>
                <w:szCs w:val="12"/>
                <w:color w:val="auto"/>
              </w:rPr>
              <w:t>$21.7</w:t>
            </w:r>
          </w:p>
        </w:tc>
        <w:tc>
          <w:tcPr>
            <w:tcW w:w="1420" w:type="dxa"/>
            <w:vAlign w:val="bottom"/>
            <w:shd w:val="clear" w:color="auto" w:fill="CCCCCC"/>
          </w:tcPr>
          <w:p>
            <w:pPr>
              <w:jc w:val="right"/>
              <w:ind w:right="70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89"/>
        </w:trPr>
        <w:tc>
          <w:tcPr>
            <w:tcW w:w="6080" w:type="dxa"/>
            <w:vAlign w:val="bottom"/>
            <w:shd w:val="clear" w:color="auto" w:fill="CCCCCC"/>
          </w:tcPr>
          <w:p>
            <w:pPr>
              <w:ind w:left="20"/>
              <w:spacing w:after="0"/>
              <w:rPr>
                <w:sz w:val="20"/>
                <w:szCs w:val="20"/>
                <w:color w:val="auto"/>
              </w:rPr>
            </w:pPr>
            <w:r>
              <w:rPr>
                <w:rFonts w:ascii="Arial" w:cs="Arial" w:eastAsia="Arial" w:hAnsi="Arial"/>
                <w:sz w:val="12"/>
                <w:szCs w:val="12"/>
                <w:color w:val="auto"/>
              </w:rPr>
              <w:t>Net Research and Development Expenses</w:t>
            </w:r>
          </w:p>
        </w:tc>
        <w:tc>
          <w:tcPr>
            <w:tcW w:w="100" w:type="dxa"/>
            <w:vAlign w:val="bottom"/>
            <w:shd w:val="clear" w:color="auto" w:fill="CCCCCC"/>
          </w:tcPr>
          <w:p>
            <w:pPr>
              <w:spacing w:after="0"/>
              <w:rPr>
                <w:sz w:val="16"/>
                <w:szCs w:val="16"/>
                <w:color w:val="auto"/>
              </w:rPr>
            </w:pPr>
          </w:p>
        </w:tc>
        <w:tc>
          <w:tcPr>
            <w:tcW w:w="1600" w:type="dxa"/>
            <w:vAlign w:val="bottom"/>
            <w:shd w:val="clear" w:color="auto" w:fill="CCCCCC"/>
          </w:tcPr>
          <w:p>
            <w:pPr>
              <w:jc w:val="right"/>
              <w:ind w:right="80"/>
              <w:spacing w:after="0"/>
              <w:rPr>
                <w:sz w:val="20"/>
                <w:szCs w:val="20"/>
                <w:color w:val="auto"/>
              </w:rPr>
            </w:pPr>
            <w:r>
              <w:rPr>
                <w:rFonts w:ascii="Arial" w:cs="Arial" w:eastAsia="Arial" w:hAnsi="Arial"/>
                <w:sz w:val="12"/>
                <w:szCs w:val="12"/>
                <w:color w:val="auto"/>
              </w:rPr>
              <w:t>$20.1</w:t>
            </w:r>
          </w:p>
        </w:tc>
        <w:tc>
          <w:tcPr>
            <w:tcW w:w="2100" w:type="dxa"/>
            <w:vAlign w:val="bottom"/>
            <w:shd w:val="clear" w:color="auto" w:fill="CCCCCC"/>
          </w:tcPr>
          <w:p>
            <w:pPr>
              <w:jc w:val="right"/>
              <w:ind w:right="420"/>
              <w:spacing w:after="0"/>
              <w:rPr>
                <w:sz w:val="20"/>
                <w:szCs w:val="20"/>
                <w:color w:val="auto"/>
              </w:rPr>
            </w:pPr>
            <w:r>
              <w:rPr>
                <w:rFonts w:ascii="Arial" w:cs="Arial" w:eastAsia="Arial" w:hAnsi="Arial"/>
                <w:sz w:val="12"/>
                <w:szCs w:val="12"/>
                <w:color w:val="auto"/>
              </w:rPr>
              <w:t>$24.4</w:t>
            </w:r>
          </w:p>
        </w:tc>
        <w:tc>
          <w:tcPr>
            <w:tcW w:w="1420" w:type="dxa"/>
            <w:vAlign w:val="bottom"/>
            <w:shd w:val="clear" w:color="auto" w:fill="CCCCCC"/>
          </w:tcPr>
          <w:p>
            <w:pPr>
              <w:jc w:val="center"/>
              <w:ind w:right="200"/>
              <w:spacing w:after="0"/>
              <w:rPr>
                <w:sz w:val="20"/>
                <w:szCs w:val="20"/>
                <w:color w:val="auto"/>
              </w:rPr>
            </w:pPr>
            <w:r>
              <w:rPr>
                <w:rFonts w:ascii="Arial" w:cs="Arial" w:eastAsia="Arial" w:hAnsi="Arial"/>
                <w:sz w:val="12"/>
                <w:szCs w:val="12"/>
                <w:color w:val="auto"/>
                <w:w w:val="99"/>
              </w:rPr>
              <w:t>(18)%</w:t>
            </w:r>
          </w:p>
        </w:tc>
        <w:tc>
          <w:tcPr>
            <w:tcW w:w="0" w:type="dxa"/>
            <w:vAlign w:val="bottom"/>
          </w:tcPr>
          <w:p>
            <w:pPr>
              <w:spacing w:after="0"/>
              <w:rPr>
                <w:sz w:val="1"/>
                <w:szCs w:val="1"/>
                <w:color w:val="auto"/>
              </w:rPr>
            </w:pPr>
          </w:p>
        </w:tc>
      </w:tr>
      <w:tr>
        <w:trPr>
          <w:trHeight w:val="179"/>
        </w:trPr>
        <w:tc>
          <w:tcPr>
            <w:tcW w:w="6080" w:type="dxa"/>
            <w:vAlign w:val="bottom"/>
            <w:shd w:val="clear" w:color="auto" w:fill="CCCCCC"/>
          </w:tcPr>
          <w:p>
            <w:pPr>
              <w:ind w:left="20"/>
              <w:spacing w:after="0"/>
              <w:rPr>
                <w:sz w:val="20"/>
                <w:szCs w:val="20"/>
                <w:color w:val="auto"/>
              </w:rPr>
            </w:pPr>
            <w:r>
              <w:rPr>
                <w:rFonts w:ascii="Arial" w:cs="Arial" w:eastAsia="Arial" w:hAnsi="Arial"/>
                <w:sz w:val="12"/>
                <w:szCs w:val="12"/>
                <w:color w:val="auto"/>
              </w:rPr>
              <w:t>Adjusted Revenue</w:t>
            </w:r>
          </w:p>
        </w:tc>
        <w:tc>
          <w:tcPr>
            <w:tcW w:w="100" w:type="dxa"/>
            <w:vAlign w:val="bottom"/>
            <w:shd w:val="clear" w:color="auto" w:fill="CCCCCC"/>
          </w:tcPr>
          <w:p>
            <w:pPr>
              <w:spacing w:after="0"/>
              <w:rPr>
                <w:sz w:val="15"/>
                <w:szCs w:val="15"/>
                <w:color w:val="auto"/>
              </w:rPr>
            </w:pPr>
          </w:p>
        </w:tc>
        <w:tc>
          <w:tcPr>
            <w:tcW w:w="1600" w:type="dxa"/>
            <w:vAlign w:val="bottom"/>
            <w:vMerge w:val="restart"/>
            <w:shd w:val="clear" w:color="auto" w:fill="CCCCCC"/>
          </w:tcPr>
          <w:p>
            <w:pPr>
              <w:jc w:val="right"/>
              <w:ind w:right="80"/>
              <w:spacing w:after="0"/>
              <w:rPr>
                <w:sz w:val="20"/>
                <w:szCs w:val="20"/>
                <w:color w:val="auto"/>
              </w:rPr>
            </w:pPr>
            <w:r>
              <w:rPr>
                <w:rFonts w:ascii="Arial" w:cs="Arial" w:eastAsia="Arial" w:hAnsi="Arial"/>
                <w:sz w:val="12"/>
                <w:szCs w:val="12"/>
                <w:color w:val="auto"/>
              </w:rPr>
              <w:t>$169.9</w:t>
            </w:r>
          </w:p>
        </w:tc>
        <w:tc>
          <w:tcPr>
            <w:tcW w:w="2100" w:type="dxa"/>
            <w:vAlign w:val="bottom"/>
            <w:vMerge w:val="restart"/>
            <w:shd w:val="clear" w:color="auto" w:fill="CCCCCC"/>
          </w:tcPr>
          <w:p>
            <w:pPr>
              <w:jc w:val="right"/>
              <w:ind w:right="420"/>
              <w:spacing w:after="0"/>
              <w:rPr>
                <w:sz w:val="20"/>
                <w:szCs w:val="20"/>
                <w:color w:val="auto"/>
              </w:rPr>
            </w:pPr>
            <w:r>
              <w:rPr>
                <w:rFonts w:ascii="Arial" w:cs="Arial" w:eastAsia="Arial" w:hAnsi="Arial"/>
                <w:sz w:val="12"/>
                <w:szCs w:val="12"/>
                <w:color w:val="auto"/>
              </w:rPr>
              <w:t>$168.9</w:t>
            </w:r>
          </w:p>
        </w:tc>
        <w:tc>
          <w:tcPr>
            <w:tcW w:w="1420" w:type="dxa"/>
            <w:vAlign w:val="bottom"/>
            <w:vMerge w:val="restart"/>
            <w:shd w:val="clear" w:color="auto" w:fill="CCCCCC"/>
          </w:tcPr>
          <w:p>
            <w:pPr>
              <w:jc w:val="right"/>
              <w:ind w:right="70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73"/>
        </w:trPr>
        <w:tc>
          <w:tcPr>
            <w:tcW w:w="6080" w:type="dxa"/>
            <w:vAlign w:val="bottom"/>
            <w:vMerge w:val="restart"/>
            <w:shd w:val="clear" w:color="auto" w:fill="CCCCCC"/>
          </w:tcPr>
          <w:p>
            <w:pPr>
              <w:ind w:left="20"/>
              <w:spacing w:after="0"/>
              <w:rPr>
                <w:sz w:val="20"/>
                <w:szCs w:val="20"/>
                <w:color w:val="auto"/>
              </w:rPr>
            </w:pPr>
            <w:r>
              <w:rPr>
                <w:rFonts w:ascii="Arial" w:cs="Arial" w:eastAsia="Arial" w:hAnsi="Arial"/>
                <w:sz w:val="12"/>
                <w:szCs w:val="12"/>
                <w:color w:val="auto"/>
              </w:rPr>
              <w:t>(Total Revenue less Contracts and Grants Revenue)</w:t>
            </w:r>
          </w:p>
        </w:tc>
        <w:tc>
          <w:tcPr>
            <w:tcW w:w="100" w:type="dxa"/>
            <w:vAlign w:val="bottom"/>
            <w:shd w:val="clear" w:color="auto" w:fill="CCCCCC"/>
          </w:tcPr>
          <w:p>
            <w:pPr>
              <w:spacing w:after="0"/>
              <w:rPr>
                <w:sz w:val="6"/>
                <w:szCs w:val="6"/>
                <w:color w:val="auto"/>
              </w:rPr>
            </w:pPr>
          </w:p>
        </w:tc>
        <w:tc>
          <w:tcPr>
            <w:tcW w:w="1600" w:type="dxa"/>
            <w:vAlign w:val="bottom"/>
            <w:vMerge w:val="continue"/>
            <w:shd w:val="clear" w:color="auto" w:fill="CCCCCC"/>
          </w:tcPr>
          <w:p>
            <w:pPr>
              <w:spacing w:after="0"/>
              <w:rPr>
                <w:sz w:val="6"/>
                <w:szCs w:val="6"/>
                <w:color w:val="auto"/>
              </w:rPr>
            </w:pPr>
          </w:p>
        </w:tc>
        <w:tc>
          <w:tcPr>
            <w:tcW w:w="2100" w:type="dxa"/>
            <w:vAlign w:val="bottom"/>
            <w:vMerge w:val="continue"/>
            <w:shd w:val="clear" w:color="auto" w:fill="CCCCCC"/>
          </w:tcPr>
          <w:p>
            <w:pPr>
              <w:spacing w:after="0"/>
              <w:rPr>
                <w:sz w:val="6"/>
                <w:szCs w:val="6"/>
                <w:color w:val="auto"/>
              </w:rPr>
            </w:pPr>
          </w:p>
        </w:tc>
        <w:tc>
          <w:tcPr>
            <w:tcW w:w="1420" w:type="dxa"/>
            <w:vAlign w:val="bottom"/>
            <w:vMerge w:val="continue"/>
            <w:shd w:val="clear" w:color="auto" w:fill="CCCCCC"/>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6080" w:type="dxa"/>
            <w:vAlign w:val="bottom"/>
            <w:vMerge w:val="continue"/>
            <w:shd w:val="clear" w:color="auto" w:fill="CCCCCC"/>
          </w:tcPr>
          <w:p>
            <w:pPr>
              <w:spacing w:after="0"/>
              <w:rPr>
                <w:sz w:val="6"/>
                <w:szCs w:val="6"/>
                <w:color w:val="auto"/>
              </w:rPr>
            </w:pPr>
          </w:p>
        </w:tc>
        <w:tc>
          <w:tcPr>
            <w:tcW w:w="100" w:type="dxa"/>
            <w:vAlign w:val="bottom"/>
            <w:shd w:val="clear" w:color="auto" w:fill="CCCCCC"/>
          </w:tcPr>
          <w:p>
            <w:pPr>
              <w:spacing w:after="0"/>
              <w:rPr>
                <w:sz w:val="6"/>
                <w:szCs w:val="6"/>
                <w:color w:val="auto"/>
              </w:rPr>
            </w:pPr>
          </w:p>
        </w:tc>
        <w:tc>
          <w:tcPr>
            <w:tcW w:w="1600" w:type="dxa"/>
            <w:vAlign w:val="bottom"/>
            <w:shd w:val="clear" w:color="auto" w:fill="CCCCCC"/>
          </w:tcPr>
          <w:p>
            <w:pPr>
              <w:spacing w:after="0"/>
              <w:rPr>
                <w:sz w:val="6"/>
                <w:szCs w:val="6"/>
                <w:color w:val="auto"/>
              </w:rPr>
            </w:pPr>
          </w:p>
        </w:tc>
        <w:tc>
          <w:tcPr>
            <w:tcW w:w="2100" w:type="dxa"/>
            <w:vAlign w:val="bottom"/>
            <w:shd w:val="clear" w:color="auto" w:fill="CCCCCC"/>
          </w:tcPr>
          <w:p>
            <w:pPr>
              <w:spacing w:after="0"/>
              <w:rPr>
                <w:sz w:val="6"/>
                <w:szCs w:val="6"/>
                <w:color w:val="auto"/>
              </w:rPr>
            </w:pPr>
          </w:p>
        </w:tc>
        <w:tc>
          <w:tcPr>
            <w:tcW w:w="1420" w:type="dxa"/>
            <w:vAlign w:val="bottom"/>
            <w:shd w:val="clear" w:color="auto" w:fill="CCCCCC"/>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CCCC"/>
          </w:tcPr>
          <w:p>
            <w:pPr>
              <w:ind w:left="20"/>
              <w:spacing w:after="0"/>
              <w:rPr>
                <w:sz w:val="20"/>
                <w:szCs w:val="20"/>
                <w:color w:val="auto"/>
              </w:rPr>
            </w:pPr>
            <w:r>
              <w:rPr>
                <w:rFonts w:ascii="Arial" w:cs="Arial" w:eastAsia="Arial" w:hAnsi="Arial"/>
                <w:sz w:val="12"/>
                <w:szCs w:val="12"/>
                <w:color w:val="auto"/>
              </w:rPr>
              <w:t>Net R&amp;D as % of Adjusted Revenue (Net R&amp;D Margin)</w:t>
            </w:r>
          </w:p>
        </w:tc>
        <w:tc>
          <w:tcPr>
            <w:tcW w:w="1700" w:type="dxa"/>
            <w:vAlign w:val="bottom"/>
            <w:gridSpan w:val="2"/>
            <w:shd w:val="clear" w:color="auto" w:fill="CCCCCC"/>
          </w:tcPr>
          <w:p>
            <w:pPr>
              <w:jc w:val="right"/>
              <w:spacing w:after="0"/>
              <w:rPr>
                <w:sz w:val="20"/>
                <w:szCs w:val="20"/>
                <w:color w:val="auto"/>
              </w:rPr>
            </w:pPr>
            <w:r>
              <w:rPr>
                <w:rFonts w:ascii="Arial" w:cs="Arial" w:eastAsia="Arial" w:hAnsi="Arial"/>
                <w:sz w:val="12"/>
                <w:szCs w:val="12"/>
                <w:color w:val="auto"/>
              </w:rPr>
              <w:t>12%</w:t>
            </w:r>
          </w:p>
        </w:tc>
        <w:tc>
          <w:tcPr>
            <w:tcW w:w="2100" w:type="dxa"/>
            <w:vAlign w:val="bottom"/>
            <w:shd w:val="clear" w:color="auto" w:fill="CCCCCC"/>
          </w:tcPr>
          <w:p>
            <w:pPr>
              <w:jc w:val="right"/>
              <w:ind w:right="300"/>
              <w:spacing w:after="0"/>
              <w:rPr>
                <w:sz w:val="20"/>
                <w:szCs w:val="20"/>
                <w:color w:val="auto"/>
              </w:rPr>
            </w:pPr>
            <w:r>
              <w:rPr>
                <w:rFonts w:ascii="Arial" w:cs="Arial" w:eastAsia="Arial" w:hAnsi="Arial"/>
                <w:sz w:val="12"/>
                <w:szCs w:val="12"/>
                <w:color w:val="auto"/>
              </w:rPr>
              <w:t>14%</w:t>
            </w:r>
          </w:p>
        </w:tc>
        <w:tc>
          <w:tcPr>
            <w:tcW w:w="1420" w:type="dxa"/>
            <w:vAlign w:val="bottom"/>
            <w:shd w:val="clear" w:color="auto" w:fill="CCCCCC"/>
          </w:tcPr>
          <w:p>
            <w:pPr>
              <w:jc w:val="center"/>
              <w:ind w:right="200"/>
              <w:spacing w:after="0"/>
              <w:rPr>
                <w:sz w:val="20"/>
                <w:szCs w:val="20"/>
                <w:color w:val="auto"/>
              </w:rPr>
            </w:pPr>
            <w:r>
              <w:rPr>
                <w:rFonts w:ascii="Arial" w:cs="Arial" w:eastAsia="Arial" w:hAnsi="Arial"/>
                <w:sz w:val="12"/>
                <w:szCs w:val="12"/>
                <w:color w:val="auto"/>
                <w:w w:val="95"/>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-1016635</wp:posOffset>
            </wp:positionV>
            <wp:extent cx="7183755" cy="1022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3755" cy="102298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Selling, General and Administrative</w:t>
      </w:r>
    </w:p>
    <w:p>
      <w:pPr>
        <w:spacing w:after="0" w:line="164" w:lineRule="exact"/>
        <w:rPr>
          <w:sz w:val="20"/>
          <w:szCs w:val="20"/>
          <w:color w:val="auto"/>
        </w:rPr>
      </w:pPr>
    </w:p>
    <w:p>
      <w:pPr>
        <w:ind w:right="400"/>
        <w:spacing w:after="0" w:line="261" w:lineRule="auto"/>
        <w:rPr>
          <w:sz w:val="20"/>
          <w:szCs w:val="20"/>
          <w:color w:val="auto"/>
        </w:rPr>
      </w:pPr>
      <w:r>
        <w:rPr>
          <w:rFonts w:ascii="Arial" w:cs="Arial" w:eastAsia="Arial" w:hAnsi="Arial"/>
          <w:sz w:val="12"/>
          <w:szCs w:val="12"/>
          <w:color w:val="auto"/>
        </w:rPr>
        <w:t xml:space="preserve">For Q1 2020, selling, general and administrative expenses were $69.7 million, an increase of $4.3 million or 7% as compared to 2019. The increase primarily reflects additional expenses related </w:t>
      </w:r>
      <w:r>
        <w:rPr>
          <w:rFonts w:ascii="Arial" w:cs="Arial" w:eastAsia="Arial" w:hAnsi="Arial"/>
          <w:sz w:val="12"/>
          <w:szCs w:val="12"/>
          <w:color w:val="2C2C2C"/>
        </w:rPr>
        <w:t>to staffing to</w:t>
      </w:r>
      <w:r>
        <w:rPr>
          <w:rFonts w:ascii="Arial" w:cs="Arial" w:eastAsia="Arial" w:hAnsi="Arial"/>
          <w:sz w:val="12"/>
          <w:szCs w:val="12"/>
          <w:color w:val="auto"/>
        </w:rPr>
        <w:t xml:space="preserve"> </w:t>
      </w:r>
      <w:r>
        <w:rPr>
          <w:rFonts w:ascii="Arial" w:cs="Arial" w:eastAsia="Arial" w:hAnsi="Arial"/>
          <w:sz w:val="12"/>
          <w:szCs w:val="12"/>
          <w:color w:val="2C2C2C"/>
        </w:rPr>
        <w:t>support the Company's growth.</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3 of 11</w:t>
      </w:r>
    </w:p>
    <w:p>
      <w:pPr>
        <w:sectPr>
          <w:pgSz w:w="11900" w:h="16838" w:orient="portrait"/>
          <w:cols w:equalWidth="0" w:num="1">
            <w:col w:w="11300"/>
          </w:cols>
          <w:pgMar w:left="300" w:top="1079" w:right="29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6351905</wp:posOffset>
            </wp:positionH>
            <wp:positionV relativeFrom="page">
              <wp:posOffset>180340</wp:posOffset>
            </wp:positionV>
            <wp:extent cx="1011555" cy="422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22910"/>
                    </a:xfrm>
                    <a:prstGeom prst="rect">
                      <a:avLst/>
                    </a:prstGeom>
                    <a:noFill/>
                  </pic:spPr>
                </pic:pic>
              </a:graphicData>
            </a:graphic>
          </wp:anchor>
        </w:drawing>
        <w:t>Amortization of Intangible Assets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For Q1 2020, amortization of intangible assets was $14.8 million was consistent with amortization of intangible assets of $14.5 million in Q1 2019.</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For Q1 2020, the income tax benefit in the amount of $8.8 million was consistent with the benefit during the Q1 2019 as a percentage of net loss during the periods.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Loss &amp; Adjusted Net Income (Loss)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For Q1 2020, the Company recorded net loss of $12.5 million, or $0.24 per diluted share, versus net loss of $26.0 million, or $0.51 per diluted share, in 2019.</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Q1 2020, the Company recorded adjusted net income of $0.3 million, or $.01 per diluted share, versus adjusted net loss of $5.2 million, or $.10 per diluted share, in 2019. </w:t>
      </w:r>
      <w:r>
        <w:rPr>
          <w:rFonts w:ascii="Arial" w:cs="Arial" w:eastAsia="Arial" w:hAnsi="Arial"/>
          <w:sz w:val="12"/>
          <w:szCs w:val="12"/>
          <w:i w:val="1"/>
          <w:iCs w:val="1"/>
          <w:color w:val="auto"/>
        </w:rPr>
        <w:t>(1)</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Adjusted EBITDA</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Q1 2020, the Company recorded adjusted EBITDA of $15.3 million versus $8.4 million in 2019. </w:t>
      </w:r>
      <w:r>
        <w:rPr>
          <w:rFonts w:ascii="Arial" w:cs="Arial" w:eastAsia="Arial" w:hAnsi="Arial"/>
          <w:sz w:val="12"/>
          <w:szCs w:val="12"/>
          <w:i w:val="1"/>
          <w:iCs w:val="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2020 FINANCIAL FORECAST</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color w:val="auto"/>
        </w:rPr>
        <w:t>For full year 2020, the Company reaffirms its expectation of the following forecasted financial metrics previously provided on February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7138035"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54864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60" w:type="dxa"/>
            <w:vAlign w:val="bottom"/>
            <w:vMerge w:val="restart"/>
            <w:shd w:val="clear" w:color="auto" w:fill="0F243E"/>
          </w:tcPr>
          <w:p>
            <w:pPr>
              <w:ind w:left="20"/>
              <w:spacing w:after="0"/>
              <w:rPr>
                <w:sz w:val="20"/>
                <w:szCs w:val="20"/>
                <w:color w:val="auto"/>
              </w:rPr>
            </w:pPr>
            <w:r>
              <w:rPr>
                <w:rFonts w:ascii="Arial" w:cs="Arial" w:eastAsia="Arial" w:hAnsi="Arial"/>
                <w:sz w:val="12"/>
                <w:szCs w:val="12"/>
                <w:color w:val="FFFFFF"/>
              </w:rPr>
              <w:t>(in millions)</w:t>
            </w:r>
          </w:p>
        </w:tc>
        <w:tc>
          <w:tcPr>
            <w:tcW w:w="6940" w:type="dxa"/>
            <w:vAlign w:val="bottom"/>
            <w:gridSpan w:val="2"/>
            <w:shd w:val="clear" w:color="auto" w:fill="0F243E"/>
          </w:tcPr>
          <w:p>
            <w:pPr>
              <w:jc w:val="center"/>
              <w:spacing w:after="0"/>
              <w:rPr>
                <w:sz w:val="20"/>
                <w:szCs w:val="20"/>
                <w:color w:val="auto"/>
              </w:rPr>
            </w:pPr>
            <w:r>
              <w:rPr>
                <w:rFonts w:ascii="Arial" w:cs="Arial" w:eastAsia="Arial" w:hAnsi="Arial"/>
                <w:sz w:val="12"/>
                <w:szCs w:val="12"/>
                <w:b w:val="1"/>
                <w:bCs w:val="1"/>
                <w:color w:val="FFFFFF"/>
                <w:w w:val="98"/>
              </w:rPr>
              <w:t>FULL YEAR 2020</w:t>
            </w:r>
          </w:p>
        </w:tc>
        <w:tc>
          <w:tcPr>
            <w:tcW w:w="0" w:type="dxa"/>
            <w:vAlign w:val="bottom"/>
          </w:tcPr>
          <w:p>
            <w:pPr>
              <w:spacing w:after="0"/>
              <w:rPr>
                <w:sz w:val="1"/>
                <w:szCs w:val="1"/>
                <w:color w:val="auto"/>
              </w:rPr>
            </w:pPr>
          </w:p>
        </w:tc>
      </w:tr>
      <w:tr>
        <w:trPr>
          <w:trHeight w:val="162"/>
        </w:trPr>
        <w:tc>
          <w:tcPr>
            <w:tcW w:w="4260" w:type="dxa"/>
            <w:vAlign w:val="bottom"/>
            <w:vMerge w:val="continue"/>
            <w:shd w:val="clear" w:color="auto" w:fill="0F243E"/>
          </w:tcPr>
          <w:p>
            <w:pPr>
              <w:spacing w:after="0"/>
              <w:rPr>
                <w:sz w:val="14"/>
                <w:szCs w:val="14"/>
                <w:color w:val="auto"/>
              </w:rPr>
            </w:pPr>
          </w:p>
        </w:tc>
        <w:tc>
          <w:tcPr>
            <w:tcW w:w="6940" w:type="dxa"/>
            <w:vAlign w:val="bottom"/>
            <w:gridSpan w:val="2"/>
            <w:shd w:val="clear" w:color="auto" w:fill="0F243E"/>
          </w:tcPr>
          <w:p>
            <w:pPr>
              <w:jc w:val="center"/>
              <w:spacing w:after="0"/>
              <w:rPr>
                <w:sz w:val="20"/>
                <w:szCs w:val="20"/>
                <w:color w:val="auto"/>
              </w:rPr>
            </w:pPr>
            <w:r>
              <w:rPr>
                <w:rFonts w:ascii="Arial" w:cs="Arial" w:eastAsia="Arial" w:hAnsi="Arial"/>
                <w:sz w:val="11"/>
                <w:szCs w:val="11"/>
                <w:i w:val="1"/>
                <w:iCs w:val="1"/>
                <w:color w:val="FFFFFF"/>
                <w:w w:val="99"/>
              </w:rPr>
              <w:t>(As of 4/30/2020)</w:t>
            </w:r>
          </w:p>
        </w:tc>
        <w:tc>
          <w:tcPr>
            <w:tcW w:w="0" w:type="dxa"/>
            <w:vAlign w:val="bottom"/>
          </w:tcPr>
          <w:p>
            <w:pPr>
              <w:spacing w:after="0"/>
              <w:rPr>
                <w:sz w:val="1"/>
                <w:szCs w:val="1"/>
                <w:color w:val="auto"/>
              </w:rPr>
            </w:pPr>
          </w:p>
        </w:tc>
      </w:tr>
      <w:tr>
        <w:trPr>
          <w:trHeight w:val="171"/>
        </w:trPr>
        <w:tc>
          <w:tcPr>
            <w:tcW w:w="4260" w:type="dxa"/>
            <w:vAlign w:val="bottom"/>
            <w:shd w:val="clear" w:color="auto" w:fill="CCCCCC"/>
          </w:tcPr>
          <w:p>
            <w:pPr>
              <w:ind w:left="20"/>
              <w:spacing w:after="0"/>
              <w:rPr>
                <w:sz w:val="20"/>
                <w:szCs w:val="20"/>
                <w:color w:val="auto"/>
              </w:rPr>
            </w:pPr>
            <w:r>
              <w:rPr>
                <w:rFonts w:ascii="Arial" w:cs="Arial" w:eastAsia="Arial" w:hAnsi="Arial"/>
                <w:sz w:val="12"/>
                <w:szCs w:val="12"/>
                <w:b w:val="1"/>
                <w:bCs w:val="1"/>
                <w:color w:val="auto"/>
              </w:rPr>
              <w:t>Total Revenues</w:t>
            </w:r>
          </w:p>
        </w:tc>
        <w:tc>
          <w:tcPr>
            <w:tcW w:w="3420" w:type="dxa"/>
            <w:vAlign w:val="bottom"/>
            <w:shd w:val="clear" w:color="auto" w:fill="CCCCCC"/>
          </w:tcPr>
          <w:p>
            <w:pPr>
              <w:jc w:val="right"/>
              <w:spacing w:after="0"/>
              <w:rPr>
                <w:sz w:val="20"/>
                <w:szCs w:val="20"/>
                <w:color w:val="auto"/>
              </w:rPr>
            </w:pPr>
            <w:r>
              <w:rPr>
                <w:rFonts w:ascii="Arial" w:cs="Arial" w:eastAsia="Arial" w:hAnsi="Arial"/>
                <w:sz w:val="12"/>
                <w:szCs w:val="12"/>
                <w:b w:val="1"/>
                <w:bCs w:val="1"/>
                <w:color w:val="auto"/>
              </w:rPr>
              <w:t>$1,175</w:t>
            </w:r>
          </w:p>
        </w:tc>
        <w:tc>
          <w:tcPr>
            <w:tcW w:w="3520" w:type="dxa"/>
            <w:vAlign w:val="bottom"/>
            <w:shd w:val="clear" w:color="auto" w:fill="CCCCCC"/>
          </w:tcPr>
          <w:p>
            <w:pPr>
              <w:ind w:left="20"/>
              <w:spacing w:after="0"/>
              <w:rPr>
                <w:sz w:val="20"/>
                <w:szCs w:val="20"/>
                <w:color w:val="auto"/>
              </w:rPr>
            </w:pPr>
            <w:r>
              <w:rPr>
                <w:rFonts w:ascii="Arial" w:cs="Arial" w:eastAsia="Arial" w:hAnsi="Arial"/>
                <w:sz w:val="12"/>
                <w:szCs w:val="12"/>
                <w:b w:val="1"/>
                <w:bCs w:val="1"/>
                <w:color w:val="auto"/>
              </w:rPr>
              <w:t>-- $1,275</w:t>
            </w:r>
          </w:p>
        </w:tc>
        <w:tc>
          <w:tcPr>
            <w:tcW w:w="0" w:type="dxa"/>
            <w:vAlign w:val="bottom"/>
          </w:tcPr>
          <w:p>
            <w:pPr>
              <w:spacing w:after="0"/>
              <w:rPr>
                <w:sz w:val="1"/>
                <w:szCs w:val="1"/>
                <w:color w:val="auto"/>
              </w:rPr>
            </w:pPr>
          </w:p>
        </w:tc>
      </w:tr>
      <w:tr>
        <w:trPr>
          <w:trHeight w:val="180"/>
        </w:trPr>
        <w:tc>
          <w:tcPr>
            <w:tcW w:w="4260" w:type="dxa"/>
            <w:vAlign w:val="bottom"/>
            <w:shd w:val="clear" w:color="auto" w:fill="CCCCCC"/>
          </w:tcPr>
          <w:p>
            <w:pPr>
              <w:ind w:left="20"/>
              <w:spacing w:after="0"/>
              <w:rPr>
                <w:sz w:val="20"/>
                <w:szCs w:val="20"/>
                <w:color w:val="auto"/>
              </w:rPr>
            </w:pPr>
            <w:r>
              <w:rPr>
                <w:rFonts w:ascii="Arial" w:cs="Arial" w:eastAsia="Arial" w:hAnsi="Arial"/>
                <w:sz w:val="12"/>
                <w:szCs w:val="12"/>
                <w:b w:val="1"/>
                <w:bCs w:val="1"/>
                <w:color w:val="auto"/>
              </w:rPr>
              <w:t xml:space="preserve">Adjusted Net Income </w:t>
            </w:r>
            <w:r>
              <w:rPr>
                <w:rFonts w:ascii="Arial" w:cs="Arial" w:eastAsia="Arial" w:hAnsi="Arial"/>
                <w:sz w:val="12"/>
                <w:szCs w:val="12"/>
                <w:i w:val="1"/>
                <w:iCs w:val="1"/>
                <w:color w:val="auto"/>
              </w:rPr>
              <w:t>(1)</w:t>
            </w:r>
          </w:p>
        </w:tc>
        <w:tc>
          <w:tcPr>
            <w:tcW w:w="3420" w:type="dxa"/>
            <w:vAlign w:val="bottom"/>
            <w:shd w:val="clear" w:color="auto" w:fill="CCCCCC"/>
          </w:tcPr>
          <w:p>
            <w:pPr>
              <w:jc w:val="right"/>
              <w:spacing w:after="0"/>
              <w:rPr>
                <w:sz w:val="20"/>
                <w:szCs w:val="20"/>
                <w:color w:val="auto"/>
              </w:rPr>
            </w:pPr>
            <w:r>
              <w:rPr>
                <w:rFonts w:ascii="Arial" w:cs="Arial" w:eastAsia="Arial" w:hAnsi="Arial"/>
                <w:sz w:val="12"/>
                <w:szCs w:val="12"/>
                <w:b w:val="1"/>
                <w:bCs w:val="1"/>
                <w:color w:val="auto"/>
              </w:rPr>
              <w:t>$160</w:t>
            </w:r>
          </w:p>
        </w:tc>
        <w:tc>
          <w:tcPr>
            <w:tcW w:w="3520" w:type="dxa"/>
            <w:vAlign w:val="bottom"/>
            <w:shd w:val="clear" w:color="auto" w:fill="CCCCCC"/>
          </w:tcPr>
          <w:p>
            <w:pPr>
              <w:ind w:left="20"/>
              <w:spacing w:after="0"/>
              <w:rPr>
                <w:sz w:val="20"/>
                <w:szCs w:val="20"/>
                <w:color w:val="auto"/>
              </w:rPr>
            </w:pPr>
            <w:r>
              <w:rPr>
                <w:rFonts w:ascii="Arial" w:cs="Arial" w:eastAsia="Arial" w:hAnsi="Arial"/>
                <w:sz w:val="12"/>
                <w:szCs w:val="12"/>
                <w:b w:val="1"/>
                <w:bCs w:val="1"/>
                <w:color w:val="auto"/>
              </w:rPr>
              <w:t>-- $210</w:t>
            </w:r>
          </w:p>
        </w:tc>
        <w:tc>
          <w:tcPr>
            <w:tcW w:w="0" w:type="dxa"/>
            <w:vAlign w:val="bottom"/>
          </w:tcPr>
          <w:p>
            <w:pPr>
              <w:spacing w:after="0"/>
              <w:rPr>
                <w:sz w:val="1"/>
                <w:szCs w:val="1"/>
                <w:color w:val="auto"/>
              </w:rPr>
            </w:pPr>
          </w:p>
        </w:tc>
      </w:tr>
      <w:tr>
        <w:trPr>
          <w:trHeight w:val="189"/>
        </w:trPr>
        <w:tc>
          <w:tcPr>
            <w:tcW w:w="4260" w:type="dxa"/>
            <w:vAlign w:val="bottom"/>
            <w:shd w:val="clear" w:color="auto" w:fill="CCCCCC"/>
          </w:tcPr>
          <w:p>
            <w:pPr>
              <w:ind w:left="20"/>
              <w:spacing w:after="0"/>
              <w:rPr>
                <w:sz w:val="20"/>
                <w:szCs w:val="20"/>
                <w:color w:val="auto"/>
              </w:rPr>
            </w:pPr>
            <w:r>
              <w:rPr>
                <w:rFonts w:ascii="Arial" w:cs="Arial" w:eastAsia="Arial" w:hAnsi="Arial"/>
                <w:sz w:val="12"/>
                <w:szCs w:val="12"/>
                <w:b w:val="1"/>
                <w:bCs w:val="1"/>
                <w:color w:val="auto"/>
              </w:rPr>
              <w:t xml:space="preserve">Adjusted EBITDA </w:t>
            </w:r>
            <w:r>
              <w:rPr>
                <w:rFonts w:ascii="Arial" w:cs="Arial" w:eastAsia="Arial" w:hAnsi="Arial"/>
                <w:sz w:val="12"/>
                <w:szCs w:val="12"/>
                <w:i w:val="1"/>
                <w:iCs w:val="1"/>
                <w:color w:val="auto"/>
              </w:rPr>
              <w:t>(1)</w:t>
            </w:r>
          </w:p>
        </w:tc>
        <w:tc>
          <w:tcPr>
            <w:tcW w:w="3420" w:type="dxa"/>
            <w:vAlign w:val="bottom"/>
            <w:shd w:val="clear" w:color="auto" w:fill="CCCCCC"/>
          </w:tcPr>
          <w:p>
            <w:pPr>
              <w:jc w:val="right"/>
              <w:spacing w:after="0"/>
              <w:rPr>
                <w:sz w:val="20"/>
                <w:szCs w:val="20"/>
                <w:color w:val="auto"/>
              </w:rPr>
            </w:pPr>
            <w:r>
              <w:rPr>
                <w:rFonts w:ascii="Arial" w:cs="Arial" w:eastAsia="Arial" w:hAnsi="Arial"/>
                <w:sz w:val="12"/>
                <w:szCs w:val="12"/>
                <w:b w:val="1"/>
                <w:bCs w:val="1"/>
                <w:color w:val="auto"/>
              </w:rPr>
              <w:t>$300</w:t>
            </w:r>
          </w:p>
        </w:tc>
        <w:tc>
          <w:tcPr>
            <w:tcW w:w="3520" w:type="dxa"/>
            <w:vAlign w:val="bottom"/>
            <w:shd w:val="clear" w:color="auto" w:fill="CCCCCC"/>
          </w:tcPr>
          <w:p>
            <w:pPr>
              <w:ind w:left="20"/>
              <w:spacing w:after="0"/>
              <w:rPr>
                <w:sz w:val="20"/>
                <w:szCs w:val="20"/>
                <w:color w:val="auto"/>
              </w:rPr>
            </w:pPr>
            <w:r>
              <w:rPr>
                <w:rFonts w:ascii="Arial" w:cs="Arial" w:eastAsia="Arial" w:hAnsi="Arial"/>
                <w:sz w:val="12"/>
                <w:szCs w:val="12"/>
                <w:b w:val="1"/>
                <w:bCs w:val="1"/>
                <w:color w:val="auto"/>
              </w:rPr>
              <w:t>-- $360</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Company’s financial forecast for 2020 includes the anticipated impact of the following items:</w:t>
      </w:r>
    </w:p>
    <w:p>
      <w:pPr>
        <w:spacing w:after="0" w:line="6"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A full year of product sales, including the following ranges for key components of the product portfolio:</w:t>
      </w:r>
    </w:p>
    <w:p>
      <w:pPr>
        <w:spacing w:after="0" w:line="6" w:lineRule="exact"/>
        <w:rPr>
          <w:rFonts w:ascii="Arial" w:cs="Arial" w:eastAsia="Arial" w:hAnsi="Arial"/>
          <w:sz w:val="12"/>
          <w:szCs w:val="12"/>
          <w:color w:val="auto"/>
        </w:rPr>
      </w:pPr>
    </w:p>
    <w:p>
      <w:pPr>
        <w:ind w:left="860" w:hanging="220"/>
        <w:spacing w:after="0"/>
        <w:tabs>
          <w:tab w:leader="none" w:pos="860" w:val="left"/>
        </w:tabs>
        <w:numPr>
          <w:ilvl w:val="1"/>
          <w:numId w:val="7"/>
        </w:numPr>
        <w:rPr>
          <w:rFonts w:ascii="Arial" w:cs="Arial" w:eastAsia="Arial" w:hAnsi="Arial"/>
          <w:sz w:val="12"/>
          <w:szCs w:val="12"/>
          <w:color w:val="auto"/>
        </w:rPr>
      </w:pPr>
      <w:r>
        <w:rPr>
          <w:rFonts w:ascii="Arial" w:cs="Arial" w:eastAsia="Arial" w:hAnsi="Arial"/>
          <w:sz w:val="12"/>
          <w:szCs w:val="12"/>
          <w:color w:val="auto"/>
        </w:rPr>
        <w:t>NARCAN Nasal Spray: $285 million - $315 million;</w:t>
      </w:r>
    </w:p>
    <w:p>
      <w:pPr>
        <w:spacing w:after="0" w:line="6" w:lineRule="exact"/>
        <w:rPr>
          <w:rFonts w:ascii="Arial" w:cs="Arial" w:eastAsia="Arial" w:hAnsi="Arial"/>
          <w:sz w:val="12"/>
          <w:szCs w:val="12"/>
          <w:color w:val="auto"/>
        </w:rPr>
      </w:pPr>
    </w:p>
    <w:p>
      <w:pPr>
        <w:ind w:left="860" w:hanging="220"/>
        <w:spacing w:after="0"/>
        <w:tabs>
          <w:tab w:leader="none" w:pos="860" w:val="left"/>
        </w:tabs>
        <w:numPr>
          <w:ilvl w:val="1"/>
          <w:numId w:val="7"/>
        </w:numPr>
        <w:rPr>
          <w:rFonts w:ascii="Arial" w:cs="Arial" w:eastAsia="Arial" w:hAnsi="Arial"/>
          <w:sz w:val="12"/>
          <w:szCs w:val="12"/>
          <w:color w:val="auto"/>
        </w:rPr>
      </w:pPr>
      <w:r>
        <w:rPr>
          <w:rFonts w:ascii="Arial" w:cs="Arial" w:eastAsia="Arial" w:hAnsi="Arial"/>
          <w:sz w:val="12"/>
          <w:szCs w:val="12"/>
          <w:color w:val="auto"/>
        </w:rPr>
        <w:t>Anthrax Vaccines: $270 million - $300 million;</w:t>
      </w:r>
    </w:p>
    <w:p>
      <w:pPr>
        <w:spacing w:after="0" w:line="6" w:lineRule="exact"/>
        <w:rPr>
          <w:rFonts w:ascii="Arial" w:cs="Arial" w:eastAsia="Arial" w:hAnsi="Arial"/>
          <w:sz w:val="12"/>
          <w:szCs w:val="12"/>
          <w:color w:val="auto"/>
        </w:rPr>
      </w:pPr>
    </w:p>
    <w:p>
      <w:pPr>
        <w:ind w:left="860" w:hanging="220"/>
        <w:spacing w:after="0"/>
        <w:tabs>
          <w:tab w:leader="none" w:pos="860" w:val="left"/>
        </w:tabs>
        <w:numPr>
          <w:ilvl w:val="1"/>
          <w:numId w:val="7"/>
        </w:numPr>
        <w:rPr>
          <w:rFonts w:ascii="Arial" w:cs="Arial" w:eastAsia="Arial" w:hAnsi="Arial"/>
          <w:sz w:val="12"/>
          <w:szCs w:val="12"/>
          <w:color w:val="auto"/>
        </w:rPr>
      </w:pPr>
      <w:r>
        <w:rPr>
          <w:rFonts w:ascii="Arial" w:cs="Arial" w:eastAsia="Arial" w:hAnsi="Arial"/>
          <w:sz w:val="12"/>
          <w:szCs w:val="12"/>
          <w:color w:val="auto"/>
        </w:rPr>
        <w:t>ACAM2000: $180 million - $200 million;</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Contract development and manufacturing revenue of $125 million - $145 million;</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Deliveries of raxibacumab to the Strategic National Stockpile (SNS) under the anticipated follow-on procurement contract with HHS;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Domestic and international sales of the other medical countermeasures that comprise Other Product sales;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Continued improvement of gross margin (a combination of product sales and CDMO services) in a range of 200 - 400 basis points annually, driven by improved product mix;</w:t>
      </w:r>
    </w:p>
    <w:p>
      <w:pPr>
        <w:spacing w:after="0" w:line="6" w:lineRule="exact"/>
        <w:rPr>
          <w:rFonts w:ascii="Arial" w:cs="Arial" w:eastAsia="Arial" w:hAnsi="Arial"/>
          <w:sz w:val="12"/>
          <w:szCs w:val="12"/>
          <w:color w:val="auto"/>
        </w:rPr>
      </w:pPr>
    </w:p>
    <w:p>
      <w:pPr>
        <w:ind w:left="420" w:right="380" w:hanging="212"/>
        <w:spacing w:after="0" w:line="261"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Continued investment in internally funded development projects most notably the anticipated Phase 3 studies for the CHIKV VLP and FLU-IGIV product candidates as well as the Phase 1/2 study for COVID-EIG, among other R&amp;D projects.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Emergent has assessed the risks to its business associated with the COVID-19 pandemic and has adopted measures to mitigate those risks as they are understood today, and accordingly is providing this outlook for 2020. Despite the lack of expected material disruption to the company’s business, the management team continues to assess the business and operational implications associated with the pandemic and market conditions on its employees, patients and customers.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 of 11</w:t>
      </w:r>
    </w:p>
    <w:p>
      <w:pPr>
        <w:sectPr>
          <w:pgSz w:w="11900" w:h="16838" w:orient="portrait"/>
          <w:cols w:equalWidth="0" w:num="1">
            <w:col w:w="11280"/>
          </w:cols>
          <w:pgMar w:left="300" w:top="1079" w:right="319" w:bottom="1440" w:gutter="0" w:footer="0" w:header="0"/>
        </w:sectPr>
      </w:pPr>
    </w:p>
    <w:bookmarkStart w:id="6" w:name="page7"/>
    <w:bookmarkEnd w:id="6"/>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6351905</wp:posOffset>
            </wp:positionH>
            <wp:positionV relativeFrom="page">
              <wp:posOffset>180340</wp:posOffset>
            </wp:positionV>
            <wp:extent cx="1011555" cy="422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22910"/>
                    </a:xfrm>
                    <a:prstGeom prst="rect">
                      <a:avLst/>
                    </a:prstGeom>
                    <a:noFill/>
                  </pic:spPr>
                </pic:pic>
              </a:graphicData>
            </a:graphic>
          </wp:anchor>
        </w:drawing>
        <w:t>The outlook for 2020 does not include estimates for potential new corporate development or other M&amp;A transactions.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Q2 2020 REVENUE FORECAST</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For Q2 2020, the Company forecast for total revenues is $270 million - $300 million.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FOOTNOTES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(1) See "Reconciliation of Net Loss to Adjusted Net Loss and Adjusted EBITDA" for a definition of terms and the reconciliation tables.</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CONFERENCE CALL, PRESENTATION SUPPLEMENT, AND WEBCAST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Company management will host a conference call at 5:00 pm (Eastern Time) today, April 30, 2020, to discuss these financial results. The conference call and presentation supplement can be accessed from the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Company's website or through the following:</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2"/>
          <w:szCs w:val="12"/>
          <w:u w:val="single" w:color="auto"/>
          <w:color w:val="auto"/>
        </w:rPr>
        <w:t>Live Teleconference Information:</w:t>
      </w:r>
    </w:p>
    <w:p>
      <w:pPr>
        <w:ind w:left="340"/>
        <w:spacing w:after="0" w:line="234" w:lineRule="auto"/>
        <w:rPr>
          <w:sz w:val="20"/>
          <w:szCs w:val="20"/>
          <w:color w:val="auto"/>
        </w:rPr>
      </w:pPr>
      <w:r>
        <w:rPr>
          <w:rFonts w:ascii="Arial" w:cs="Arial" w:eastAsia="Arial" w:hAnsi="Arial"/>
          <w:sz w:val="12"/>
          <w:szCs w:val="12"/>
          <w:color w:val="auto"/>
        </w:rPr>
        <w:t>Dial in: [US] (855) 766-6521; [International] (262) 912-6157</w:t>
      </w:r>
    </w:p>
    <w:p>
      <w:pPr>
        <w:ind w:left="340"/>
        <w:spacing w:after="0"/>
        <w:rPr>
          <w:sz w:val="20"/>
          <w:szCs w:val="20"/>
          <w:color w:val="auto"/>
        </w:rPr>
      </w:pPr>
      <w:r>
        <w:rPr>
          <w:rFonts w:ascii="Arial" w:cs="Arial" w:eastAsia="Arial" w:hAnsi="Arial"/>
          <w:sz w:val="12"/>
          <w:szCs w:val="12"/>
          <w:color w:val="auto"/>
        </w:rPr>
        <w:t>Conference ID: 3784302</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2"/>
          <w:szCs w:val="12"/>
          <w:u w:val="single" w:color="auto"/>
          <w:color w:val="auto"/>
        </w:rPr>
        <w:t>Live Webcast Information:</w:t>
      </w:r>
    </w:p>
    <w:p>
      <w:pPr>
        <w:ind w:left="340"/>
        <w:spacing w:after="0"/>
        <w:rPr>
          <w:sz w:val="20"/>
          <w:szCs w:val="20"/>
          <w:color w:val="auto"/>
        </w:rPr>
      </w:pPr>
      <w:r>
        <w:rPr>
          <w:rFonts w:ascii="Arial" w:cs="Arial" w:eastAsia="Arial" w:hAnsi="Arial"/>
          <w:sz w:val="12"/>
          <w:szCs w:val="12"/>
          <w:color w:val="auto"/>
        </w:rPr>
        <w:t xml:space="preserve">Visit </w:t>
      </w:r>
      <w:r>
        <w:rPr>
          <w:rFonts w:ascii="Arial" w:cs="Arial" w:eastAsia="Arial" w:hAnsi="Arial"/>
          <w:sz w:val="12"/>
          <w:szCs w:val="12"/>
          <w:b w:val="1"/>
          <w:bCs w:val="1"/>
          <w:color w:val="auto"/>
        </w:rPr>
        <w:t>https://edge.media-server.com/mmc/p/juw3z8b3</w:t>
      </w:r>
      <w:r>
        <w:rPr>
          <w:rFonts w:ascii="Arial" w:cs="Arial" w:eastAsia="Arial" w:hAnsi="Arial"/>
          <w:sz w:val="12"/>
          <w:szCs w:val="12"/>
          <w:color w:val="auto"/>
        </w:rPr>
        <w:t xml:space="preserve"> for the live webcast feed.</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A replay of the call can be accessed at www.emergentbiosolutions.com under “Investors.”</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EMERGENT BIOSOLUTIONS INC.</w:t>
      </w:r>
    </w:p>
    <w:p>
      <w:pPr>
        <w:spacing w:after="0" w:line="93" w:lineRule="exact"/>
        <w:rPr>
          <w:sz w:val="20"/>
          <w:szCs w:val="20"/>
          <w:color w:val="auto"/>
        </w:rPr>
      </w:pPr>
    </w:p>
    <w:p>
      <w:pPr>
        <w:ind w:right="180"/>
        <w:spacing w:after="0" w:line="254" w:lineRule="auto"/>
        <w:rPr>
          <w:sz w:val="20"/>
          <w:szCs w:val="20"/>
          <w:color w:val="auto"/>
        </w:rPr>
      </w:pPr>
      <w:r>
        <w:rPr>
          <w:rFonts w:ascii="Arial" w:cs="Arial" w:eastAsia="Arial" w:hAnsi="Arial"/>
          <w:sz w:val="12"/>
          <w:szCs w:val="12"/>
          <w:color w:val="auto"/>
        </w:rPr>
        <w:t>Emergent BioSolutions is a global life sciences company whose mission is to protect and enhance life. Through our specialty products and contract development and manufacturing services, we are dedicated to providing solutions that address public health threats. Through social responsibility, we aim to build healthier and safer communities. We aspire to deliver peace of mind to our patients and customers so they can focus on what’s most important in their lives. In working together, we envision protecting or enhancing 1 billion lives by 2030. For more information visit www.emergentbiosolutions.com. Find us on LinkedIn and follow us on Twitter @emergentbiosolu and Instagram @life_at_emergent.</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SAFE HARBOR STATEMENT</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2"/>
          <w:szCs w:val="12"/>
          <w:color w:val="auto"/>
        </w:rPr>
        <w:t>This press release includes forward-looking statements within the meaning of the Private Securities Litigation Reform Act of 1995. Any statements, other than statements of historical fact, including, without limitation, our financial guidance and related projections and statements regarding our ability to meet such projections in the anticipated timeframe, if at all; the ability to advance potential solutions to combat the novel strain of coronavirus (SARS-CoV-2) causing COVID-19 disease; statements regarding total contract value; continued product sales of key components of the product portfolio at specified levels; deliveries of raxibacumab to the SNS under the anticipated follow-on procurement contract with the ASPR; domestic and international sales of the other medical countermeasures at specified levels; contract development and manufacturing revenues at specified levels; extending the shelf life of NARCAN® Nasal Spray; the results of clinical trials; continued improvement of gross margin (a combination of product sales and CDMO services); as well as continued investment in internally funded development projects and any other statements containing the words “will,” “believes,” “expects,” “anticipates,” “intends,” “plans,” “targets,” “forecasts,” “estimates” and similar expressions in conjunction with, among other things, discussions of the Company's outlook, financial performance or financial condition, financial and operation goals, strategic goals, growth strategy, product sales, government development or procurement contracts or awards, government appropriations, manufacturing capabilities, and the timing of certain regulatory approvals or expenditures are forward-looking statements.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statements speak only as of the date of this press release, and, except as required by law, we do not undertake to update any forward-looking statement to reflect new information, events or circumstances.</w:t>
      </w:r>
    </w:p>
    <w:p>
      <w:pPr>
        <w:spacing w:after="0" w:line="3"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There are a number of important factors that could cause our actual results to differ materially from those indicated by such forward-looking statements, including the impact of global economic conditions and public health crises and epidemics, such as the impact from the global pandemic that arose from the novel strain of coronavirus (SARS-CoV-2) causing COVID-19 disease that recently originated and quickly spread globally, on the markets, our operations, and employees as well as those of our customers and suppliers; availability of U.S. government funding for procurement for our products; our ability to perform under our contracts with the U.S. government, including the timing of and specifications relating to deliveries; the continued exercise of discretion by BARDA to procure additional doses of AV7909 (anthrax vaccine adsorbed (AVA), adjuvanted) prior to approval by the FDA; our ability to secure licensure of AV7909 from the FDA within the anticipated timeframe, if at all; our ability to secure follow-on procurement contracts for our solutions to public health threats that are under procurement contracts that have expired or will be expiring; our ability and the ability of our collaborators to enforce patents related to NARCAN Nasal Spray against potential generic entrants; our ability to identify and acquire companies, businesses, products or product candidates that satisfy our selection criteria; our ability and the ability of our contractors and suppliers to maintain compliance with Current Good Manufacturing Practices and other regulatory obligations; our ability to comply with the operating and financial covenants required by our senior secured credit facilities; our ability to obtain and maintain regulatory approvals for our product candidates and the timing of any such approvals; the safety and effectiveness of the current COVID-19 product candidates we are working on; the procurement of products by U.S. government entities under regulatory exemptions prior to approval by the FDA and corresponding procurement by government entities outside of the United States under regulatory exemptions prior to approval by the corresponding regulatory authorities in the applicable country; the success of our commercialization, marketing and manufacturing capabilities and strategy; and the accuracy of our estimates regarding future revenues, expenses, and capital requirements and needs for additional financing.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Securities and Exchange Commission when evaluating our forward-looking statements.</w:t>
      </w:r>
    </w:p>
    <w:p>
      <w:pPr>
        <w:sectPr>
          <w:pgSz w:w="11900" w:h="16838" w:orient="portrait"/>
          <w:cols w:equalWidth="0" w:num="1">
            <w:col w:w="11300"/>
          </w:cols>
          <w:pgMar w:left="300" w:top="1237" w:right="299" w:bottom="1440" w:gutter="0" w:footer="0" w:header="0"/>
        </w:sect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Investor Contact</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Robert Burrows</w:t>
      </w:r>
    </w:p>
    <w:p>
      <w:pPr>
        <w:ind w:left="20"/>
        <w:spacing w:after="0" w:line="234" w:lineRule="auto"/>
        <w:rPr>
          <w:sz w:val="20"/>
          <w:szCs w:val="20"/>
          <w:color w:val="auto"/>
        </w:rPr>
      </w:pPr>
      <w:r>
        <w:rPr>
          <w:rFonts w:ascii="Arial" w:cs="Arial" w:eastAsia="Arial" w:hAnsi="Arial"/>
          <w:sz w:val="12"/>
          <w:szCs w:val="12"/>
          <w:color w:val="auto"/>
        </w:rPr>
        <w:t>Vice President, Investor Relations</w:t>
      </w:r>
    </w:p>
    <w:p>
      <w:pPr>
        <w:ind w:left="20"/>
        <w:spacing w:after="0"/>
        <w:rPr>
          <w:sz w:val="20"/>
          <w:szCs w:val="20"/>
          <w:color w:val="auto"/>
        </w:rPr>
      </w:pPr>
      <w:r>
        <w:rPr>
          <w:rFonts w:ascii="Arial" w:cs="Arial" w:eastAsia="Arial" w:hAnsi="Arial"/>
          <w:sz w:val="11"/>
          <w:szCs w:val="11"/>
          <w:color w:val="auto"/>
        </w:rPr>
        <w:t>(o) 240/631-3280; (m) 240/413-1917</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2"/>
          <w:szCs w:val="12"/>
          <w:color w:val="auto"/>
        </w:rPr>
        <w:t>burrowsr@ebsi.com</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2"/>
          <w:szCs w:val="12"/>
          <w:color w:val="auto"/>
        </w:rPr>
        <w:t>Media Contact</w:t>
      </w:r>
    </w:p>
    <w:p>
      <w:pPr>
        <w:spacing w:after="0" w:line="234" w:lineRule="auto"/>
        <w:rPr>
          <w:sz w:val="20"/>
          <w:szCs w:val="20"/>
          <w:color w:val="auto"/>
        </w:rPr>
      </w:pPr>
      <w:r>
        <w:rPr>
          <w:rFonts w:ascii="Arial" w:cs="Arial" w:eastAsia="Arial" w:hAnsi="Arial"/>
          <w:sz w:val="12"/>
          <w:szCs w:val="12"/>
          <w:color w:val="auto"/>
        </w:rPr>
        <w:t>Miko B. Neri</w:t>
      </w:r>
    </w:p>
    <w:p>
      <w:pPr>
        <w:spacing w:after="0"/>
        <w:rPr>
          <w:sz w:val="20"/>
          <w:szCs w:val="20"/>
          <w:color w:val="auto"/>
        </w:rPr>
      </w:pPr>
      <w:r>
        <w:rPr>
          <w:rFonts w:ascii="Arial" w:cs="Arial" w:eastAsia="Arial" w:hAnsi="Arial"/>
          <w:sz w:val="11"/>
          <w:szCs w:val="11"/>
          <w:color w:val="auto"/>
        </w:rPr>
        <w:t>Senior Director, Corporate Communications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(o) 240/631-3392</w:t>
      </w:r>
    </w:p>
    <w:p>
      <w:pPr>
        <w:spacing w:after="0"/>
        <w:rPr>
          <w:sz w:val="20"/>
          <w:szCs w:val="20"/>
          <w:color w:val="auto"/>
        </w:rPr>
      </w:pPr>
      <w:r>
        <w:rPr>
          <w:rFonts w:ascii="Arial" w:cs="Arial" w:eastAsia="Arial" w:hAnsi="Arial"/>
          <w:sz w:val="12"/>
          <w:szCs w:val="12"/>
          <w:color w:val="auto"/>
        </w:rPr>
        <w:t>NeriM@ebsi.com</w:t>
      </w:r>
    </w:p>
    <w:p>
      <w:pPr>
        <w:spacing w:after="0" w:line="154" w:lineRule="exact"/>
        <w:rPr>
          <w:sz w:val="20"/>
          <w:szCs w:val="20"/>
          <w:color w:val="auto"/>
        </w:rPr>
      </w:pPr>
    </w:p>
    <w:p>
      <w:pPr>
        <w:sectPr>
          <w:pgSz w:w="11900" w:h="16838" w:orient="portrait"/>
          <w:cols w:equalWidth="0" w:num="2">
            <w:col w:w="4940" w:space="720"/>
            <w:col w:w="5640"/>
          </w:cols>
          <w:pgMar w:left="300" w:top="1237" w:right="299" w:bottom="1440" w:gutter="0" w:footer="0" w:header="0"/>
          <w:type w:val="continuous"/>
        </w:sectPr>
      </w:pPr>
    </w:p>
    <w:p>
      <w:pPr>
        <w:jc w:val="center"/>
        <w:spacing w:after="0"/>
        <w:rPr>
          <w:sz w:val="20"/>
          <w:szCs w:val="20"/>
          <w:color w:val="auto"/>
        </w:rPr>
      </w:pPr>
      <w:r>
        <w:rPr>
          <w:rFonts w:ascii="Arial" w:cs="Arial" w:eastAsia="Arial" w:hAnsi="Arial"/>
          <w:sz w:val="9"/>
          <w:szCs w:val="9"/>
          <w:color w:val="auto"/>
        </w:rPr>
        <w:t>5 of 11</w:t>
      </w:r>
    </w:p>
    <w:p>
      <w:pPr>
        <w:sectPr>
          <w:pgSz w:w="11900" w:h="16838" w:orient="portrait"/>
          <w:cols w:equalWidth="0" w:num="1">
            <w:col w:w="11300"/>
          </w:cols>
          <w:pgMar w:left="300" w:top="1237" w:right="299" w:bottom="1440" w:gutter="0" w:footer="0" w:header="0"/>
          <w:type w:val="continuous"/>
        </w:sectPr>
      </w:pPr>
    </w:p>
    <w:bookmarkStart w:id="7" w:name="page8"/>
    <w:bookmarkEnd w:id="7"/>
    <w:p>
      <w:pPr>
        <w:jc w:val="center"/>
        <w:ind w:right="40"/>
        <w:spacing w:after="0"/>
        <w:rPr>
          <w:sz w:val="20"/>
          <w:szCs w:val="20"/>
          <w:color w:val="auto"/>
        </w:rPr>
      </w:pPr>
      <w:r>
        <w:rPr>
          <w:rFonts w:ascii="Arial" w:cs="Arial" w:eastAsia="Arial" w:hAnsi="Arial"/>
          <w:sz w:val="10"/>
          <w:szCs w:val="10"/>
          <w:b w:val="1"/>
          <w:bCs w:val="1"/>
          <w:color w:val="auto"/>
        </w:rPr>
        <w:t>Emergent BioSolutions Inc.</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0"/>
          <w:szCs w:val="10"/>
          <w:b w:val="1"/>
          <w:bCs w:val="1"/>
          <w:color w:val="auto"/>
        </w:rPr>
        <w:t>Consolidated Balance Sheets</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0"/>
          <w:szCs w:val="10"/>
          <w:b w:val="1"/>
          <w:bCs w:val="1"/>
          <w:color w:val="auto"/>
        </w:rPr>
        <w:t>(unaudited, in millions, except per share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540" w:type="dxa"/>
            <w:vAlign w:val="bottom"/>
          </w:tcPr>
          <w:p>
            <w:pPr>
              <w:spacing w:after="0"/>
              <w:rPr>
                <w:sz w:val="11"/>
                <w:szCs w:val="11"/>
                <w:color w:val="auto"/>
              </w:rPr>
            </w:pPr>
          </w:p>
        </w:tc>
        <w:tc>
          <w:tcPr>
            <w:tcW w:w="1740" w:type="dxa"/>
            <w:vAlign w:val="bottom"/>
          </w:tcPr>
          <w:p>
            <w:pPr>
              <w:jc w:val="right"/>
              <w:ind w:right="172"/>
              <w:spacing w:after="0"/>
              <w:rPr>
                <w:sz w:val="20"/>
                <w:szCs w:val="20"/>
                <w:color w:val="auto"/>
              </w:rPr>
            </w:pPr>
            <w:r>
              <w:rPr>
                <w:rFonts w:ascii="Arial" w:cs="Arial" w:eastAsia="Arial" w:hAnsi="Arial"/>
                <w:sz w:val="10"/>
                <w:szCs w:val="10"/>
                <w:b w:val="1"/>
                <w:bCs w:val="1"/>
                <w:color w:val="auto"/>
              </w:rPr>
              <w:t>March 31, 2020</w:t>
            </w: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00" w:type="dxa"/>
            <w:vAlign w:val="bottom"/>
          </w:tcPr>
          <w:p>
            <w:pPr>
              <w:jc w:val="right"/>
              <w:ind w:right="712"/>
              <w:spacing w:after="0"/>
              <w:rPr>
                <w:sz w:val="20"/>
                <w:szCs w:val="20"/>
                <w:color w:val="auto"/>
              </w:rPr>
            </w:pPr>
            <w:r>
              <w:rPr>
                <w:rFonts w:ascii="Arial" w:cs="Arial" w:eastAsia="Arial" w:hAnsi="Arial"/>
                <w:sz w:val="10"/>
                <w:szCs w:val="10"/>
                <w:b w:val="1"/>
                <w:bCs w:val="1"/>
                <w:color w:val="auto"/>
              </w:rPr>
              <w:t>December 31, 2019</w:t>
            </w:r>
          </w:p>
        </w:tc>
        <w:tc>
          <w:tcPr>
            <w:tcW w:w="0" w:type="dxa"/>
            <w:vAlign w:val="bottom"/>
          </w:tcPr>
          <w:p>
            <w:pPr>
              <w:spacing w:after="0"/>
              <w:rPr>
                <w:sz w:val="1"/>
                <w:szCs w:val="1"/>
                <w:color w:val="auto"/>
              </w:rPr>
            </w:pPr>
          </w:p>
        </w:tc>
      </w:tr>
      <w:tr>
        <w:trPr>
          <w:trHeight w:val="26"/>
        </w:trPr>
        <w:tc>
          <w:tcPr>
            <w:tcW w:w="6540" w:type="dxa"/>
            <w:vAlign w:val="bottom"/>
            <w:vMerge w:val="restart"/>
          </w:tcPr>
          <w:p>
            <w:pPr>
              <w:spacing w:after="0"/>
              <w:rPr>
                <w:sz w:val="20"/>
                <w:szCs w:val="20"/>
                <w:color w:val="auto"/>
              </w:rPr>
            </w:pPr>
            <w:r>
              <w:rPr>
                <w:rFonts w:ascii="Arial" w:cs="Arial" w:eastAsia="Arial" w:hAnsi="Arial"/>
                <w:sz w:val="10"/>
                <w:szCs w:val="10"/>
                <w:b w:val="1"/>
                <w:bCs w:val="1"/>
                <w:color w:val="auto"/>
              </w:rPr>
              <w:t>ASSETS</w:t>
            </w:r>
          </w:p>
        </w:tc>
        <w:tc>
          <w:tcPr>
            <w:tcW w:w="1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6540" w:type="dxa"/>
            <w:vAlign w:val="bottom"/>
            <w:vMerge w:val="continue"/>
          </w:tcPr>
          <w:p>
            <w:pPr>
              <w:spacing w:after="0"/>
              <w:rPr>
                <w:sz w:val="11"/>
                <w:szCs w:val="11"/>
                <w:color w:val="auto"/>
              </w:rPr>
            </w:pPr>
          </w:p>
        </w:tc>
        <w:tc>
          <w:tcPr>
            <w:tcW w:w="1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6540" w:type="dxa"/>
            <w:vAlign w:val="bottom"/>
          </w:tcPr>
          <w:p>
            <w:pPr>
              <w:spacing w:after="0"/>
              <w:rPr>
                <w:sz w:val="20"/>
                <w:szCs w:val="20"/>
                <w:color w:val="auto"/>
              </w:rPr>
            </w:pPr>
            <w:r>
              <w:rPr>
                <w:rFonts w:ascii="Arial" w:cs="Arial" w:eastAsia="Arial" w:hAnsi="Arial"/>
                <w:sz w:val="10"/>
                <w:szCs w:val="10"/>
                <w:color w:val="auto"/>
              </w:rPr>
              <w:t>Current assets:</w:t>
            </w:r>
          </w:p>
        </w:tc>
        <w:tc>
          <w:tcPr>
            <w:tcW w:w="1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6540" w:type="dxa"/>
            <w:vAlign w:val="bottom"/>
          </w:tcPr>
          <w:p>
            <w:pPr>
              <w:ind w:left="80"/>
              <w:spacing w:after="0"/>
              <w:rPr>
                <w:sz w:val="20"/>
                <w:szCs w:val="20"/>
                <w:color w:val="auto"/>
              </w:rPr>
            </w:pPr>
            <w:r>
              <w:rPr>
                <w:rFonts w:ascii="Arial" w:cs="Arial" w:eastAsia="Arial" w:hAnsi="Arial"/>
                <w:sz w:val="10"/>
                <w:szCs w:val="10"/>
                <w:color w:val="auto"/>
              </w:rPr>
              <w:t>Cash and cash equivalents</w:t>
            </w:r>
          </w:p>
        </w:tc>
        <w:tc>
          <w:tcPr>
            <w:tcW w:w="1740" w:type="dxa"/>
            <w:vAlign w:val="bottom"/>
          </w:tcPr>
          <w:p>
            <w:pPr>
              <w:jc w:val="right"/>
              <w:ind w:right="1492"/>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181.5</w:t>
            </w:r>
          </w:p>
        </w:tc>
        <w:tc>
          <w:tcPr>
            <w:tcW w:w="460" w:type="dxa"/>
            <w:vAlign w:val="bottom"/>
          </w:tcPr>
          <w:p>
            <w:pPr>
              <w:spacing w:after="0"/>
              <w:rPr>
                <w:sz w:val="12"/>
                <w:szCs w:val="12"/>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167.8</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Restricted cash</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0.2</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0.2</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Accounts receivable, net</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162.5</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270.7</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Inventories</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248.1</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222.5</w:t>
            </w:r>
          </w:p>
        </w:tc>
        <w:tc>
          <w:tcPr>
            <w:tcW w:w="0" w:type="dxa"/>
            <w:vAlign w:val="bottom"/>
          </w:tcPr>
          <w:p>
            <w:pPr>
              <w:spacing w:after="0"/>
              <w:rPr>
                <w:sz w:val="1"/>
                <w:szCs w:val="1"/>
                <w:color w:val="auto"/>
              </w:rPr>
            </w:pPr>
          </w:p>
        </w:tc>
      </w:tr>
      <w:tr>
        <w:trPr>
          <w:trHeight w:val="180"/>
        </w:trPr>
        <w:tc>
          <w:tcPr>
            <w:tcW w:w="6540" w:type="dxa"/>
            <w:vAlign w:val="bottom"/>
          </w:tcPr>
          <w:p>
            <w:pPr>
              <w:ind w:left="80"/>
              <w:spacing w:after="0"/>
              <w:rPr>
                <w:sz w:val="20"/>
                <w:szCs w:val="20"/>
                <w:color w:val="auto"/>
              </w:rPr>
            </w:pPr>
            <w:r>
              <w:rPr>
                <w:rFonts w:ascii="Arial" w:cs="Arial" w:eastAsia="Arial" w:hAnsi="Arial"/>
                <w:sz w:val="10"/>
                <w:szCs w:val="10"/>
                <w:color w:val="auto"/>
              </w:rPr>
              <w:t>Income tax receivable, net</w:t>
            </w:r>
          </w:p>
        </w:tc>
        <w:tc>
          <w:tcPr>
            <w:tcW w:w="1740" w:type="dxa"/>
            <w:vAlign w:val="bottom"/>
          </w:tcPr>
          <w:p>
            <w:pPr>
              <w:spacing w:after="0"/>
              <w:rPr>
                <w:sz w:val="15"/>
                <w:szCs w:val="15"/>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10.2</w:t>
            </w:r>
          </w:p>
        </w:tc>
        <w:tc>
          <w:tcPr>
            <w:tcW w:w="460" w:type="dxa"/>
            <w:vAlign w:val="bottom"/>
          </w:tcPr>
          <w:p>
            <w:pPr>
              <w:spacing w:after="0"/>
              <w:rPr>
                <w:sz w:val="15"/>
                <w:szCs w:val="15"/>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4.6</w:t>
            </w:r>
          </w:p>
        </w:tc>
        <w:tc>
          <w:tcPr>
            <w:tcW w:w="0" w:type="dxa"/>
            <w:vAlign w:val="bottom"/>
          </w:tcPr>
          <w:p>
            <w:pPr>
              <w:spacing w:after="0"/>
              <w:rPr>
                <w:sz w:val="1"/>
                <w:szCs w:val="1"/>
                <w:color w:val="auto"/>
              </w:rPr>
            </w:pPr>
          </w:p>
        </w:tc>
      </w:tr>
      <w:tr>
        <w:trPr>
          <w:trHeight w:val="184"/>
        </w:trPr>
        <w:tc>
          <w:tcPr>
            <w:tcW w:w="6540" w:type="dxa"/>
            <w:vAlign w:val="bottom"/>
          </w:tcPr>
          <w:p>
            <w:pPr>
              <w:ind w:left="80"/>
              <w:spacing w:after="0"/>
              <w:rPr>
                <w:sz w:val="20"/>
                <w:szCs w:val="20"/>
                <w:color w:val="auto"/>
              </w:rPr>
            </w:pPr>
            <w:r>
              <w:rPr>
                <w:rFonts w:ascii="Arial" w:cs="Arial" w:eastAsia="Arial" w:hAnsi="Arial"/>
                <w:sz w:val="10"/>
                <w:szCs w:val="10"/>
                <w:color w:val="auto"/>
              </w:rPr>
              <w:t>Prepaid expenses and other current assets</w:t>
            </w:r>
          </w:p>
        </w:tc>
        <w:tc>
          <w:tcPr>
            <w:tcW w:w="17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24.1</w:t>
            </w:r>
          </w:p>
        </w:tc>
        <w:tc>
          <w:tcPr>
            <w:tcW w:w="4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20.4</w:t>
            </w:r>
          </w:p>
        </w:tc>
        <w:tc>
          <w:tcPr>
            <w:tcW w:w="0" w:type="dxa"/>
            <w:vAlign w:val="bottom"/>
          </w:tcPr>
          <w:p>
            <w:pPr>
              <w:spacing w:after="0"/>
              <w:rPr>
                <w:sz w:val="1"/>
                <w:szCs w:val="1"/>
                <w:color w:val="auto"/>
              </w:rPr>
            </w:pPr>
          </w:p>
        </w:tc>
      </w:tr>
      <w:tr>
        <w:trPr>
          <w:trHeight w:val="165"/>
        </w:trPr>
        <w:tc>
          <w:tcPr>
            <w:tcW w:w="6540" w:type="dxa"/>
            <w:vAlign w:val="bottom"/>
          </w:tcPr>
          <w:p>
            <w:pPr>
              <w:ind w:left="180"/>
              <w:spacing w:after="0"/>
              <w:rPr>
                <w:sz w:val="20"/>
                <w:szCs w:val="20"/>
                <w:color w:val="auto"/>
              </w:rPr>
            </w:pPr>
            <w:r>
              <w:rPr>
                <w:rFonts w:ascii="Arial" w:cs="Arial" w:eastAsia="Arial" w:hAnsi="Arial"/>
                <w:sz w:val="10"/>
                <w:szCs w:val="10"/>
                <w:color w:val="auto"/>
              </w:rPr>
              <w:t>Total current assets</w:t>
            </w:r>
          </w:p>
        </w:tc>
        <w:tc>
          <w:tcPr>
            <w:tcW w:w="1740" w:type="dxa"/>
            <w:vAlign w:val="bottom"/>
          </w:tcPr>
          <w:p>
            <w:pPr>
              <w:spacing w:after="0"/>
              <w:rPr>
                <w:sz w:val="14"/>
                <w:szCs w:val="14"/>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626.6</w:t>
            </w:r>
          </w:p>
        </w:tc>
        <w:tc>
          <w:tcPr>
            <w:tcW w:w="460" w:type="dxa"/>
            <w:vAlign w:val="bottom"/>
          </w:tcPr>
          <w:p>
            <w:pPr>
              <w:spacing w:after="0"/>
              <w:rPr>
                <w:sz w:val="14"/>
                <w:szCs w:val="14"/>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686.2</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Property, plant and equipment, net</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549.2</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542.3</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Intangible assets, net</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708.1</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712.9</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In-process research and development</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29.0</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29.0</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Goodwill</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266.4</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266.6</w:t>
            </w:r>
          </w:p>
        </w:tc>
        <w:tc>
          <w:tcPr>
            <w:tcW w:w="0" w:type="dxa"/>
            <w:vAlign w:val="bottom"/>
          </w:tcPr>
          <w:p>
            <w:pPr>
              <w:spacing w:after="0"/>
              <w:rPr>
                <w:sz w:val="1"/>
                <w:szCs w:val="1"/>
                <w:color w:val="auto"/>
              </w:rPr>
            </w:pPr>
          </w:p>
        </w:tc>
      </w:tr>
      <w:tr>
        <w:trPr>
          <w:trHeight w:val="180"/>
        </w:trPr>
        <w:tc>
          <w:tcPr>
            <w:tcW w:w="6540" w:type="dxa"/>
            <w:vAlign w:val="bottom"/>
          </w:tcPr>
          <w:p>
            <w:pPr>
              <w:ind w:left="80"/>
              <w:spacing w:after="0"/>
              <w:rPr>
                <w:sz w:val="20"/>
                <w:szCs w:val="20"/>
                <w:color w:val="auto"/>
              </w:rPr>
            </w:pPr>
            <w:r>
              <w:rPr>
                <w:rFonts w:ascii="Arial" w:cs="Arial" w:eastAsia="Arial" w:hAnsi="Arial"/>
                <w:sz w:val="10"/>
                <w:szCs w:val="10"/>
                <w:color w:val="auto"/>
              </w:rPr>
              <w:t>Deferred tax assets, net</w:t>
            </w:r>
          </w:p>
        </w:tc>
        <w:tc>
          <w:tcPr>
            <w:tcW w:w="1740" w:type="dxa"/>
            <w:vAlign w:val="bottom"/>
          </w:tcPr>
          <w:p>
            <w:pPr>
              <w:spacing w:after="0"/>
              <w:rPr>
                <w:sz w:val="15"/>
                <w:szCs w:val="15"/>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17.6</w:t>
            </w:r>
          </w:p>
        </w:tc>
        <w:tc>
          <w:tcPr>
            <w:tcW w:w="460" w:type="dxa"/>
            <w:vAlign w:val="bottom"/>
          </w:tcPr>
          <w:p>
            <w:pPr>
              <w:spacing w:after="0"/>
              <w:rPr>
                <w:sz w:val="15"/>
                <w:szCs w:val="15"/>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13.4</w:t>
            </w:r>
          </w:p>
        </w:tc>
        <w:tc>
          <w:tcPr>
            <w:tcW w:w="0" w:type="dxa"/>
            <w:vAlign w:val="bottom"/>
          </w:tcPr>
          <w:p>
            <w:pPr>
              <w:spacing w:after="0"/>
              <w:rPr>
                <w:sz w:val="1"/>
                <w:szCs w:val="1"/>
                <w:color w:val="auto"/>
              </w:rPr>
            </w:pPr>
          </w:p>
        </w:tc>
      </w:tr>
      <w:tr>
        <w:trPr>
          <w:trHeight w:val="184"/>
        </w:trPr>
        <w:tc>
          <w:tcPr>
            <w:tcW w:w="6540" w:type="dxa"/>
            <w:vAlign w:val="bottom"/>
          </w:tcPr>
          <w:p>
            <w:pPr>
              <w:ind w:left="80"/>
              <w:spacing w:after="0"/>
              <w:rPr>
                <w:sz w:val="20"/>
                <w:szCs w:val="20"/>
                <w:color w:val="auto"/>
              </w:rPr>
            </w:pPr>
            <w:r>
              <w:rPr>
                <w:rFonts w:ascii="Arial" w:cs="Arial" w:eastAsia="Arial" w:hAnsi="Arial"/>
                <w:sz w:val="10"/>
                <w:szCs w:val="10"/>
                <w:color w:val="auto"/>
              </w:rPr>
              <w:t>Other assets</w:t>
            </w:r>
          </w:p>
        </w:tc>
        <w:tc>
          <w:tcPr>
            <w:tcW w:w="17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81.8</w:t>
            </w:r>
          </w:p>
        </w:tc>
        <w:tc>
          <w:tcPr>
            <w:tcW w:w="4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76.9</w:t>
            </w:r>
          </w:p>
        </w:tc>
        <w:tc>
          <w:tcPr>
            <w:tcW w:w="0" w:type="dxa"/>
            <w:vAlign w:val="bottom"/>
          </w:tcPr>
          <w:p>
            <w:pPr>
              <w:spacing w:after="0"/>
              <w:rPr>
                <w:sz w:val="1"/>
                <w:szCs w:val="1"/>
                <w:color w:val="auto"/>
              </w:rPr>
            </w:pPr>
          </w:p>
        </w:tc>
      </w:tr>
      <w:tr>
        <w:trPr>
          <w:trHeight w:val="144"/>
        </w:trPr>
        <w:tc>
          <w:tcPr>
            <w:tcW w:w="6540" w:type="dxa"/>
            <w:vAlign w:val="bottom"/>
          </w:tcPr>
          <w:p>
            <w:pPr>
              <w:spacing w:after="0"/>
              <w:rPr>
                <w:sz w:val="20"/>
                <w:szCs w:val="20"/>
                <w:color w:val="auto"/>
              </w:rPr>
            </w:pPr>
            <w:r>
              <w:rPr>
                <w:rFonts w:ascii="Arial" w:cs="Arial" w:eastAsia="Arial" w:hAnsi="Arial"/>
                <w:sz w:val="10"/>
                <w:szCs w:val="10"/>
                <w:color w:val="auto"/>
              </w:rPr>
              <w:t>Total assets</w:t>
            </w:r>
          </w:p>
        </w:tc>
        <w:tc>
          <w:tcPr>
            <w:tcW w:w="1740" w:type="dxa"/>
            <w:vAlign w:val="bottom"/>
            <w:tcBorders>
              <w:bottom w:val="single" w:sz="8" w:color="auto"/>
            </w:tcBorders>
          </w:tcPr>
          <w:p>
            <w:pPr>
              <w:jc w:val="right"/>
              <w:ind w:right="149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2,278.7</w:t>
            </w:r>
          </w:p>
        </w:tc>
        <w:tc>
          <w:tcPr>
            <w:tcW w:w="46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w:t>
            </w:r>
          </w:p>
        </w:tc>
        <w:tc>
          <w:tcPr>
            <w:tcW w:w="19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2,327.3</w:t>
            </w:r>
          </w:p>
        </w:tc>
        <w:tc>
          <w:tcPr>
            <w:tcW w:w="0" w:type="dxa"/>
            <w:vAlign w:val="bottom"/>
          </w:tcPr>
          <w:p>
            <w:pPr>
              <w:spacing w:after="0"/>
              <w:rPr>
                <w:sz w:val="1"/>
                <w:szCs w:val="1"/>
                <w:color w:val="auto"/>
              </w:rPr>
            </w:pPr>
          </w:p>
        </w:tc>
      </w:tr>
      <w:tr>
        <w:trPr>
          <w:trHeight w:val="172"/>
        </w:trPr>
        <w:tc>
          <w:tcPr>
            <w:tcW w:w="6540" w:type="dxa"/>
            <w:vAlign w:val="bottom"/>
          </w:tcPr>
          <w:p>
            <w:pPr>
              <w:spacing w:after="0"/>
              <w:rPr>
                <w:sz w:val="20"/>
                <w:szCs w:val="20"/>
                <w:color w:val="auto"/>
              </w:rPr>
            </w:pPr>
            <w:r>
              <w:rPr>
                <w:rFonts w:ascii="Arial" w:cs="Arial" w:eastAsia="Arial" w:hAnsi="Arial"/>
                <w:sz w:val="10"/>
                <w:szCs w:val="10"/>
                <w:b w:val="1"/>
                <w:bCs w:val="1"/>
                <w:color w:val="auto"/>
              </w:rPr>
              <w:t>LIABILITIES AND STOCKHOLDERS' EQUITY</w:t>
            </w: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540" w:type="dxa"/>
            <w:vAlign w:val="bottom"/>
          </w:tcPr>
          <w:p>
            <w:pPr>
              <w:spacing w:after="0"/>
              <w:rPr>
                <w:sz w:val="20"/>
                <w:szCs w:val="20"/>
                <w:color w:val="auto"/>
              </w:rPr>
            </w:pPr>
            <w:r>
              <w:rPr>
                <w:rFonts w:ascii="Arial" w:cs="Arial" w:eastAsia="Arial" w:hAnsi="Arial"/>
                <w:sz w:val="10"/>
                <w:szCs w:val="10"/>
                <w:color w:val="auto"/>
              </w:rPr>
              <w:t>Current liabilities:</w:t>
            </w:r>
          </w:p>
        </w:tc>
        <w:tc>
          <w:tcPr>
            <w:tcW w:w="1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6540" w:type="dxa"/>
            <w:vAlign w:val="bottom"/>
          </w:tcPr>
          <w:p>
            <w:pPr>
              <w:ind w:left="80"/>
              <w:spacing w:after="0"/>
              <w:rPr>
                <w:sz w:val="20"/>
                <w:szCs w:val="20"/>
                <w:color w:val="auto"/>
              </w:rPr>
            </w:pPr>
            <w:r>
              <w:rPr>
                <w:rFonts w:ascii="Arial" w:cs="Arial" w:eastAsia="Arial" w:hAnsi="Arial"/>
                <w:sz w:val="10"/>
                <w:szCs w:val="10"/>
                <w:color w:val="auto"/>
              </w:rPr>
              <w:t>Accounts payable</w:t>
            </w:r>
          </w:p>
        </w:tc>
        <w:tc>
          <w:tcPr>
            <w:tcW w:w="1740" w:type="dxa"/>
            <w:vAlign w:val="bottom"/>
          </w:tcPr>
          <w:p>
            <w:pPr>
              <w:jc w:val="right"/>
              <w:ind w:right="1492"/>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84.2</w:t>
            </w:r>
          </w:p>
        </w:tc>
        <w:tc>
          <w:tcPr>
            <w:tcW w:w="460" w:type="dxa"/>
            <w:vAlign w:val="bottom"/>
          </w:tcPr>
          <w:p>
            <w:pPr>
              <w:spacing w:after="0"/>
              <w:rPr>
                <w:sz w:val="12"/>
                <w:szCs w:val="12"/>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94.8</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Accrued expenses</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41.5</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39.5</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Accrued compensation</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47.5</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62.4</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Debt, current portion</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26.3</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12.9</w:t>
            </w:r>
          </w:p>
        </w:tc>
        <w:tc>
          <w:tcPr>
            <w:tcW w:w="0" w:type="dxa"/>
            <w:vAlign w:val="bottom"/>
          </w:tcPr>
          <w:p>
            <w:pPr>
              <w:spacing w:after="0"/>
              <w:rPr>
                <w:sz w:val="1"/>
                <w:szCs w:val="1"/>
                <w:color w:val="auto"/>
              </w:rPr>
            </w:pPr>
          </w:p>
        </w:tc>
      </w:tr>
      <w:tr>
        <w:trPr>
          <w:trHeight w:val="184"/>
        </w:trPr>
        <w:tc>
          <w:tcPr>
            <w:tcW w:w="6540" w:type="dxa"/>
            <w:vAlign w:val="bottom"/>
          </w:tcPr>
          <w:p>
            <w:pPr>
              <w:ind w:left="80"/>
              <w:spacing w:after="0"/>
              <w:rPr>
                <w:sz w:val="20"/>
                <w:szCs w:val="20"/>
                <w:color w:val="auto"/>
              </w:rPr>
            </w:pPr>
            <w:r>
              <w:rPr>
                <w:rFonts w:ascii="Arial" w:cs="Arial" w:eastAsia="Arial" w:hAnsi="Arial"/>
                <w:sz w:val="10"/>
                <w:szCs w:val="10"/>
                <w:color w:val="auto"/>
              </w:rPr>
              <w:t>Other current liabilities</w:t>
            </w:r>
          </w:p>
        </w:tc>
        <w:tc>
          <w:tcPr>
            <w:tcW w:w="17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7.6</w:t>
            </w:r>
          </w:p>
        </w:tc>
        <w:tc>
          <w:tcPr>
            <w:tcW w:w="4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6.7</w:t>
            </w:r>
          </w:p>
        </w:tc>
        <w:tc>
          <w:tcPr>
            <w:tcW w:w="0" w:type="dxa"/>
            <w:vAlign w:val="bottom"/>
          </w:tcPr>
          <w:p>
            <w:pPr>
              <w:spacing w:after="0"/>
              <w:rPr>
                <w:sz w:val="1"/>
                <w:szCs w:val="1"/>
                <w:color w:val="auto"/>
              </w:rPr>
            </w:pPr>
          </w:p>
        </w:tc>
      </w:tr>
      <w:tr>
        <w:trPr>
          <w:trHeight w:val="165"/>
        </w:trPr>
        <w:tc>
          <w:tcPr>
            <w:tcW w:w="6540" w:type="dxa"/>
            <w:vAlign w:val="bottom"/>
          </w:tcPr>
          <w:p>
            <w:pPr>
              <w:ind w:left="180"/>
              <w:spacing w:after="0"/>
              <w:rPr>
                <w:sz w:val="20"/>
                <w:szCs w:val="20"/>
                <w:color w:val="auto"/>
              </w:rPr>
            </w:pPr>
            <w:r>
              <w:rPr>
                <w:rFonts w:ascii="Arial" w:cs="Arial" w:eastAsia="Arial" w:hAnsi="Arial"/>
                <w:sz w:val="10"/>
                <w:szCs w:val="10"/>
                <w:color w:val="auto"/>
              </w:rPr>
              <w:t>Total current liabilities</w:t>
            </w:r>
          </w:p>
        </w:tc>
        <w:tc>
          <w:tcPr>
            <w:tcW w:w="1740" w:type="dxa"/>
            <w:vAlign w:val="bottom"/>
          </w:tcPr>
          <w:p>
            <w:pPr>
              <w:spacing w:after="0"/>
              <w:rPr>
                <w:sz w:val="14"/>
                <w:szCs w:val="14"/>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207.1</w:t>
            </w:r>
          </w:p>
        </w:tc>
        <w:tc>
          <w:tcPr>
            <w:tcW w:w="460" w:type="dxa"/>
            <w:vAlign w:val="bottom"/>
          </w:tcPr>
          <w:p>
            <w:pPr>
              <w:spacing w:after="0"/>
              <w:rPr>
                <w:sz w:val="14"/>
                <w:szCs w:val="14"/>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216.3</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Contingent consideration, net of current portion</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26.1</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26.0</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Debt, net of current portion</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762.9</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798.4</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Deferred tax liability</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63.9</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63.9</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Contract liabilities, net of current portion</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85.0</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85.6</w:t>
            </w:r>
          </w:p>
        </w:tc>
        <w:tc>
          <w:tcPr>
            <w:tcW w:w="0" w:type="dxa"/>
            <w:vAlign w:val="bottom"/>
          </w:tcPr>
          <w:p>
            <w:pPr>
              <w:spacing w:after="0"/>
              <w:rPr>
                <w:sz w:val="1"/>
                <w:szCs w:val="1"/>
                <w:color w:val="auto"/>
              </w:rPr>
            </w:pPr>
          </w:p>
        </w:tc>
      </w:tr>
      <w:tr>
        <w:trPr>
          <w:trHeight w:val="184"/>
        </w:trPr>
        <w:tc>
          <w:tcPr>
            <w:tcW w:w="6540" w:type="dxa"/>
            <w:vAlign w:val="bottom"/>
          </w:tcPr>
          <w:p>
            <w:pPr>
              <w:ind w:left="80"/>
              <w:spacing w:after="0"/>
              <w:rPr>
                <w:sz w:val="20"/>
                <w:szCs w:val="20"/>
                <w:color w:val="auto"/>
              </w:rPr>
            </w:pPr>
            <w:r>
              <w:rPr>
                <w:rFonts w:ascii="Arial" w:cs="Arial" w:eastAsia="Arial" w:hAnsi="Arial"/>
                <w:sz w:val="10"/>
                <w:szCs w:val="10"/>
                <w:color w:val="auto"/>
              </w:rPr>
              <w:t>Other liabilities</w:t>
            </w:r>
          </w:p>
        </w:tc>
        <w:tc>
          <w:tcPr>
            <w:tcW w:w="17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58.9</w:t>
            </w:r>
          </w:p>
        </w:tc>
        <w:tc>
          <w:tcPr>
            <w:tcW w:w="4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48.6</w:t>
            </w:r>
          </w:p>
        </w:tc>
        <w:tc>
          <w:tcPr>
            <w:tcW w:w="0" w:type="dxa"/>
            <w:vAlign w:val="bottom"/>
          </w:tcPr>
          <w:p>
            <w:pPr>
              <w:spacing w:after="0"/>
              <w:rPr>
                <w:sz w:val="1"/>
                <w:szCs w:val="1"/>
                <w:color w:val="auto"/>
              </w:rPr>
            </w:pPr>
          </w:p>
        </w:tc>
      </w:tr>
      <w:tr>
        <w:trPr>
          <w:trHeight w:val="165"/>
        </w:trPr>
        <w:tc>
          <w:tcPr>
            <w:tcW w:w="6540" w:type="dxa"/>
            <w:vAlign w:val="bottom"/>
          </w:tcPr>
          <w:p>
            <w:pPr>
              <w:ind w:left="180"/>
              <w:spacing w:after="0"/>
              <w:rPr>
                <w:sz w:val="20"/>
                <w:szCs w:val="20"/>
                <w:color w:val="auto"/>
              </w:rPr>
            </w:pPr>
            <w:r>
              <w:rPr>
                <w:rFonts w:ascii="Arial" w:cs="Arial" w:eastAsia="Arial" w:hAnsi="Arial"/>
                <w:sz w:val="10"/>
                <w:szCs w:val="10"/>
                <w:color w:val="auto"/>
              </w:rPr>
              <w:t>Total liabilities</w:t>
            </w:r>
          </w:p>
        </w:tc>
        <w:tc>
          <w:tcPr>
            <w:tcW w:w="1740" w:type="dxa"/>
            <w:vAlign w:val="bottom"/>
          </w:tcPr>
          <w:p>
            <w:pPr>
              <w:spacing w:after="0"/>
              <w:rPr>
                <w:sz w:val="14"/>
                <w:szCs w:val="14"/>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1,203.9</w:t>
            </w:r>
          </w:p>
        </w:tc>
        <w:tc>
          <w:tcPr>
            <w:tcW w:w="460" w:type="dxa"/>
            <w:vAlign w:val="bottom"/>
          </w:tcPr>
          <w:p>
            <w:pPr>
              <w:spacing w:after="0"/>
              <w:rPr>
                <w:sz w:val="14"/>
                <w:szCs w:val="14"/>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1,238.8</w:t>
            </w:r>
          </w:p>
        </w:tc>
        <w:tc>
          <w:tcPr>
            <w:tcW w:w="0" w:type="dxa"/>
            <w:vAlign w:val="bottom"/>
          </w:tcPr>
          <w:p>
            <w:pPr>
              <w:spacing w:after="0"/>
              <w:rPr>
                <w:sz w:val="1"/>
                <w:szCs w:val="1"/>
                <w:color w:val="auto"/>
              </w:rPr>
            </w:pPr>
          </w:p>
        </w:tc>
      </w:tr>
      <w:tr>
        <w:trPr>
          <w:trHeight w:val="450"/>
        </w:trPr>
        <w:tc>
          <w:tcPr>
            <w:tcW w:w="6540" w:type="dxa"/>
            <w:vAlign w:val="bottom"/>
          </w:tcPr>
          <w:p>
            <w:pPr>
              <w:spacing w:after="0"/>
              <w:rPr>
                <w:sz w:val="20"/>
                <w:szCs w:val="20"/>
                <w:color w:val="auto"/>
              </w:rPr>
            </w:pPr>
            <w:r>
              <w:rPr>
                <w:rFonts w:ascii="Arial" w:cs="Arial" w:eastAsia="Arial" w:hAnsi="Arial"/>
                <w:sz w:val="10"/>
                <w:szCs w:val="10"/>
                <w:color w:val="auto"/>
              </w:rPr>
              <w:t>Stockholders' equity:</w:t>
            </w: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Preferred stock, $0.001 par value; 15.0 shares authorized, no shares issued or outstanding</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Common stock, $0.001 par value; 200.0 shares authorized, 53.5 and 53.0 shares issued; 52.3 and 51.7 shares outstanding, respectively</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0.1</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0.1</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Treasury stock, at cost, 1.2 common shares</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(39.6)</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(39.6)</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Additional paid-in capital</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726.2</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716.1</w:t>
            </w:r>
          </w:p>
        </w:tc>
        <w:tc>
          <w:tcPr>
            <w:tcW w:w="0" w:type="dxa"/>
            <w:vAlign w:val="bottom"/>
          </w:tcPr>
          <w:p>
            <w:pPr>
              <w:spacing w:after="0"/>
              <w:rPr>
                <w:sz w:val="1"/>
                <w:szCs w:val="1"/>
                <w:color w:val="auto"/>
              </w:rPr>
            </w:pPr>
          </w:p>
        </w:tc>
      </w:tr>
      <w:tr>
        <w:trPr>
          <w:trHeight w:val="198"/>
        </w:trPr>
        <w:tc>
          <w:tcPr>
            <w:tcW w:w="6540" w:type="dxa"/>
            <w:vAlign w:val="bottom"/>
          </w:tcPr>
          <w:p>
            <w:pPr>
              <w:ind w:left="80"/>
              <w:spacing w:after="0"/>
              <w:rPr>
                <w:sz w:val="20"/>
                <w:szCs w:val="20"/>
                <w:color w:val="auto"/>
              </w:rPr>
            </w:pPr>
            <w:r>
              <w:rPr>
                <w:rFonts w:ascii="Arial" w:cs="Arial" w:eastAsia="Arial" w:hAnsi="Arial"/>
                <w:sz w:val="10"/>
                <w:szCs w:val="10"/>
                <w:color w:val="auto"/>
              </w:rPr>
              <w:t>Accumulated other comprehensive loss, net</w:t>
            </w:r>
          </w:p>
        </w:tc>
        <w:tc>
          <w:tcPr>
            <w:tcW w:w="174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0"/>
                <w:szCs w:val="10"/>
                <w:color w:val="auto"/>
              </w:rPr>
              <w:t>(21.2)</w:t>
            </w:r>
          </w:p>
        </w:tc>
        <w:tc>
          <w:tcPr>
            <w:tcW w:w="460" w:type="dxa"/>
            <w:vAlign w:val="bottom"/>
          </w:tcPr>
          <w:p>
            <w:pPr>
              <w:spacing w:after="0"/>
              <w:rPr>
                <w:sz w:val="17"/>
                <w:szCs w:val="17"/>
                <w:color w:val="auto"/>
              </w:rPr>
            </w:pPr>
          </w:p>
        </w:tc>
        <w:tc>
          <w:tcPr>
            <w:tcW w:w="1900" w:type="dxa"/>
            <w:vAlign w:val="bottom"/>
          </w:tcPr>
          <w:p>
            <w:pPr>
              <w:jc w:val="right"/>
              <w:ind w:right="72"/>
              <w:spacing w:after="0"/>
              <w:rPr>
                <w:sz w:val="20"/>
                <w:szCs w:val="20"/>
                <w:color w:val="auto"/>
              </w:rPr>
            </w:pPr>
            <w:r>
              <w:rPr>
                <w:rFonts w:ascii="Arial" w:cs="Arial" w:eastAsia="Arial" w:hAnsi="Arial"/>
                <w:sz w:val="10"/>
                <w:szCs w:val="10"/>
                <w:color w:val="auto"/>
              </w:rPr>
              <w:t>(9.9)</w:t>
            </w:r>
          </w:p>
        </w:tc>
        <w:tc>
          <w:tcPr>
            <w:tcW w:w="0" w:type="dxa"/>
            <w:vAlign w:val="bottom"/>
          </w:tcPr>
          <w:p>
            <w:pPr>
              <w:spacing w:after="0"/>
              <w:rPr>
                <w:sz w:val="1"/>
                <w:szCs w:val="1"/>
                <w:color w:val="auto"/>
              </w:rPr>
            </w:pPr>
          </w:p>
        </w:tc>
      </w:tr>
      <w:tr>
        <w:trPr>
          <w:trHeight w:val="184"/>
        </w:trPr>
        <w:tc>
          <w:tcPr>
            <w:tcW w:w="6540" w:type="dxa"/>
            <w:vAlign w:val="bottom"/>
          </w:tcPr>
          <w:p>
            <w:pPr>
              <w:ind w:left="80"/>
              <w:spacing w:after="0"/>
              <w:rPr>
                <w:sz w:val="20"/>
                <w:szCs w:val="20"/>
                <w:color w:val="auto"/>
              </w:rPr>
            </w:pPr>
            <w:r>
              <w:rPr>
                <w:rFonts w:ascii="Arial" w:cs="Arial" w:eastAsia="Arial" w:hAnsi="Arial"/>
                <w:sz w:val="10"/>
                <w:szCs w:val="10"/>
                <w:color w:val="auto"/>
              </w:rPr>
              <w:t>Retained earnings</w:t>
            </w:r>
          </w:p>
        </w:tc>
        <w:tc>
          <w:tcPr>
            <w:tcW w:w="17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409.3</w:t>
            </w:r>
          </w:p>
        </w:tc>
        <w:tc>
          <w:tcPr>
            <w:tcW w:w="4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421.8</w:t>
            </w:r>
          </w:p>
        </w:tc>
        <w:tc>
          <w:tcPr>
            <w:tcW w:w="0" w:type="dxa"/>
            <w:vAlign w:val="bottom"/>
          </w:tcPr>
          <w:p>
            <w:pPr>
              <w:spacing w:after="0"/>
              <w:rPr>
                <w:sz w:val="1"/>
                <w:szCs w:val="1"/>
                <w:color w:val="auto"/>
              </w:rPr>
            </w:pPr>
          </w:p>
        </w:tc>
      </w:tr>
      <w:tr>
        <w:trPr>
          <w:trHeight w:val="169"/>
        </w:trPr>
        <w:tc>
          <w:tcPr>
            <w:tcW w:w="6540" w:type="dxa"/>
            <w:vAlign w:val="bottom"/>
          </w:tcPr>
          <w:p>
            <w:pPr>
              <w:ind w:left="180"/>
              <w:spacing w:after="0"/>
              <w:rPr>
                <w:sz w:val="20"/>
                <w:szCs w:val="20"/>
                <w:color w:val="auto"/>
              </w:rPr>
            </w:pPr>
            <w:r>
              <w:rPr>
                <w:rFonts w:ascii="Arial" w:cs="Arial" w:eastAsia="Arial" w:hAnsi="Arial"/>
                <w:sz w:val="10"/>
                <w:szCs w:val="10"/>
                <w:color w:val="auto"/>
              </w:rPr>
              <w:t>Total stockholders' equity</w:t>
            </w:r>
          </w:p>
        </w:tc>
        <w:tc>
          <w:tcPr>
            <w:tcW w:w="17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1,074.8</w:t>
            </w:r>
          </w:p>
        </w:tc>
        <w:tc>
          <w:tcPr>
            <w:tcW w:w="4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1,088.5</w:t>
            </w:r>
          </w:p>
        </w:tc>
        <w:tc>
          <w:tcPr>
            <w:tcW w:w="0" w:type="dxa"/>
            <w:vAlign w:val="bottom"/>
          </w:tcPr>
          <w:p>
            <w:pPr>
              <w:spacing w:after="0"/>
              <w:rPr>
                <w:sz w:val="1"/>
                <w:szCs w:val="1"/>
                <w:color w:val="auto"/>
              </w:rPr>
            </w:pPr>
          </w:p>
        </w:tc>
      </w:tr>
      <w:tr>
        <w:trPr>
          <w:trHeight w:val="144"/>
        </w:trPr>
        <w:tc>
          <w:tcPr>
            <w:tcW w:w="6540" w:type="dxa"/>
            <w:vAlign w:val="bottom"/>
          </w:tcPr>
          <w:p>
            <w:pPr>
              <w:ind w:left="180"/>
              <w:spacing w:after="0"/>
              <w:rPr>
                <w:sz w:val="20"/>
                <w:szCs w:val="20"/>
                <w:color w:val="auto"/>
              </w:rPr>
            </w:pPr>
            <w:r>
              <w:rPr>
                <w:rFonts w:ascii="Arial" w:cs="Arial" w:eastAsia="Arial" w:hAnsi="Arial"/>
                <w:sz w:val="10"/>
                <w:szCs w:val="10"/>
                <w:color w:val="auto"/>
              </w:rPr>
              <w:t>Total liabilities and stockholders' equity</w:t>
            </w:r>
          </w:p>
        </w:tc>
        <w:tc>
          <w:tcPr>
            <w:tcW w:w="1740" w:type="dxa"/>
            <w:vAlign w:val="bottom"/>
            <w:tcBorders>
              <w:bottom w:val="single" w:sz="8" w:color="auto"/>
            </w:tcBorders>
          </w:tcPr>
          <w:p>
            <w:pPr>
              <w:jc w:val="right"/>
              <w:ind w:right="149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2,278.7</w:t>
            </w:r>
          </w:p>
        </w:tc>
        <w:tc>
          <w:tcPr>
            <w:tcW w:w="46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2,327.3</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1"/>
          <w:szCs w:val="11"/>
          <w:color w:val="auto"/>
        </w:rPr>
        <w:t>6 of 11</w:t>
      </w:r>
    </w:p>
    <w:p>
      <w:pPr>
        <w:sectPr>
          <w:pgSz w:w="11900" w:h="16838" w:orient="portrait"/>
          <w:cols w:equalWidth="0" w:num="1">
            <w:col w:w="11280"/>
          </w:cols>
          <w:pgMar w:left="320" w:top="383" w:right="29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0"/>
          <w:szCs w:val="10"/>
          <w:b w:val="1"/>
          <w:bCs w:val="1"/>
          <w:color w:val="auto"/>
        </w:rPr>
        <w:t>Emergent BioSolutions Inc.</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0"/>
          <w:szCs w:val="10"/>
          <w:b w:val="1"/>
          <w:bCs w:val="1"/>
          <w:color w:val="auto"/>
        </w:rPr>
        <w:t>Consolidated Statements of Operations</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0"/>
          <w:szCs w:val="10"/>
          <w:b w:val="1"/>
          <w:bCs w:val="1"/>
          <w:color w:val="auto"/>
        </w:rPr>
        <w:t>(unaudited, in millions,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3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860" w:type="dxa"/>
            <w:vAlign w:val="bottom"/>
            <w:gridSpan w:val="2"/>
          </w:tcPr>
          <w:p>
            <w:pPr>
              <w:jc w:val="right"/>
              <w:ind w:right="172"/>
              <w:spacing w:after="0"/>
              <w:rPr>
                <w:sz w:val="20"/>
                <w:szCs w:val="20"/>
                <w:color w:val="auto"/>
              </w:rPr>
            </w:pPr>
            <w:r>
              <w:rPr>
                <w:rFonts w:ascii="Arial" w:cs="Arial" w:eastAsia="Arial" w:hAnsi="Arial"/>
                <w:sz w:val="10"/>
                <w:szCs w:val="10"/>
                <w:b w:val="1"/>
                <w:bCs w:val="1"/>
                <w:color w:val="auto"/>
              </w:rPr>
              <w:t>Three Months Ended March 31,</w:t>
            </w: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300" w:type="dxa"/>
            <w:vAlign w:val="bottom"/>
          </w:tcPr>
          <w:p>
            <w:pPr>
              <w:spacing w:after="0"/>
              <w:rPr>
                <w:sz w:val="14"/>
                <w:szCs w:val="14"/>
                <w:color w:val="auto"/>
              </w:rPr>
            </w:pPr>
          </w:p>
        </w:tc>
        <w:tc>
          <w:tcPr>
            <w:tcW w:w="1560" w:type="dxa"/>
            <w:vAlign w:val="bottom"/>
          </w:tcPr>
          <w:p>
            <w:pPr>
              <w:jc w:val="right"/>
              <w:ind w:right="152"/>
              <w:spacing w:after="0"/>
              <w:rPr>
                <w:sz w:val="20"/>
                <w:szCs w:val="20"/>
                <w:color w:val="auto"/>
              </w:rPr>
            </w:pPr>
            <w:r>
              <w:rPr>
                <w:rFonts w:ascii="Arial" w:cs="Arial" w:eastAsia="Arial" w:hAnsi="Arial"/>
                <w:sz w:val="10"/>
                <w:szCs w:val="10"/>
                <w:b w:val="1"/>
                <w:bCs w:val="1"/>
                <w:color w:val="auto"/>
              </w:rPr>
              <w:t>2020</w:t>
            </w: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jc w:val="right"/>
              <w:ind w:right="1092"/>
              <w:spacing w:after="0"/>
              <w:rPr>
                <w:sz w:val="20"/>
                <w:szCs w:val="20"/>
                <w:color w:val="auto"/>
              </w:rPr>
            </w:pPr>
            <w:r>
              <w:rPr>
                <w:rFonts w:ascii="Arial" w:cs="Arial" w:eastAsia="Arial" w:hAnsi="Arial"/>
                <w:sz w:val="10"/>
                <w:szCs w:val="10"/>
                <w:b w:val="1"/>
                <w:bCs w:val="1"/>
                <w:color w:val="auto"/>
              </w:rPr>
              <w:t>2019</w:t>
            </w:r>
          </w:p>
        </w:tc>
        <w:tc>
          <w:tcPr>
            <w:tcW w:w="0" w:type="dxa"/>
            <w:vAlign w:val="bottom"/>
          </w:tcPr>
          <w:p>
            <w:pPr>
              <w:spacing w:after="0"/>
              <w:rPr>
                <w:sz w:val="1"/>
                <w:szCs w:val="1"/>
                <w:color w:val="auto"/>
              </w:rPr>
            </w:pPr>
          </w:p>
        </w:tc>
      </w:tr>
      <w:tr>
        <w:trPr>
          <w:trHeight w:val="26"/>
        </w:trPr>
        <w:tc>
          <w:tcPr>
            <w:tcW w:w="6300" w:type="dxa"/>
            <w:vAlign w:val="bottom"/>
            <w:vMerge w:val="restart"/>
          </w:tcPr>
          <w:p>
            <w:pPr>
              <w:spacing w:after="0"/>
              <w:rPr>
                <w:sz w:val="20"/>
                <w:szCs w:val="20"/>
                <w:color w:val="auto"/>
              </w:rPr>
            </w:pPr>
            <w:r>
              <w:rPr>
                <w:rFonts w:ascii="Arial" w:cs="Arial" w:eastAsia="Arial" w:hAnsi="Arial"/>
                <w:sz w:val="10"/>
                <w:szCs w:val="10"/>
                <w:b w:val="1"/>
                <w:bCs w:val="1"/>
                <w:color w:val="auto"/>
              </w:rPr>
              <w:t>Revenues:</w:t>
            </w:r>
          </w:p>
        </w:tc>
        <w:tc>
          <w:tcPr>
            <w:tcW w:w="1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1"/>
        </w:trPr>
        <w:tc>
          <w:tcPr>
            <w:tcW w:w="630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6300" w:type="dxa"/>
            <w:vAlign w:val="bottom"/>
          </w:tcPr>
          <w:p>
            <w:pPr>
              <w:ind w:left="80"/>
              <w:spacing w:after="0"/>
              <w:rPr>
                <w:sz w:val="20"/>
                <w:szCs w:val="20"/>
                <w:color w:val="auto"/>
              </w:rPr>
            </w:pPr>
            <w:r>
              <w:rPr>
                <w:rFonts w:ascii="Arial" w:cs="Arial" w:eastAsia="Arial" w:hAnsi="Arial"/>
                <w:sz w:val="10"/>
                <w:szCs w:val="10"/>
                <w:color w:val="auto"/>
              </w:rPr>
              <w:t>Product sales, net</w:t>
            </w:r>
          </w:p>
        </w:tc>
        <w:tc>
          <w:tcPr>
            <w:tcW w:w="1560" w:type="dxa"/>
            <w:vAlign w:val="bottom"/>
          </w:tcPr>
          <w:p>
            <w:pPr>
              <w:jc w:val="right"/>
              <w:ind w:right="12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148.2</w:t>
            </w:r>
          </w:p>
        </w:tc>
        <w:tc>
          <w:tcPr>
            <w:tcW w:w="84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153.0</w:t>
            </w:r>
          </w:p>
        </w:tc>
        <w:tc>
          <w:tcPr>
            <w:tcW w:w="0" w:type="dxa"/>
            <w:vAlign w:val="bottom"/>
          </w:tcPr>
          <w:p>
            <w:pPr>
              <w:spacing w:after="0"/>
              <w:rPr>
                <w:sz w:val="1"/>
                <w:szCs w:val="1"/>
                <w:color w:val="auto"/>
              </w:rPr>
            </w:pPr>
          </w:p>
        </w:tc>
      </w:tr>
      <w:tr>
        <w:trPr>
          <w:trHeight w:val="198"/>
        </w:trPr>
        <w:tc>
          <w:tcPr>
            <w:tcW w:w="6300" w:type="dxa"/>
            <w:vAlign w:val="bottom"/>
          </w:tcPr>
          <w:p>
            <w:pPr>
              <w:ind w:left="80"/>
              <w:spacing w:after="0"/>
              <w:rPr>
                <w:sz w:val="20"/>
                <w:szCs w:val="20"/>
                <w:color w:val="auto"/>
              </w:rPr>
            </w:pPr>
            <w:r>
              <w:rPr>
                <w:rFonts w:ascii="Arial" w:cs="Arial" w:eastAsia="Arial" w:hAnsi="Arial"/>
                <w:sz w:val="10"/>
                <w:szCs w:val="10"/>
                <w:color w:val="auto"/>
              </w:rPr>
              <w:t>Contract development and manufacturing services</w:t>
            </w:r>
          </w:p>
        </w:tc>
        <w:tc>
          <w:tcPr>
            <w:tcW w:w="1560" w:type="dxa"/>
            <w:vAlign w:val="bottom"/>
          </w:tcPr>
          <w:p>
            <w:pPr>
              <w:spacing w:after="0"/>
              <w:rPr>
                <w:sz w:val="17"/>
                <w:szCs w:val="17"/>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21.7</w:t>
            </w:r>
          </w:p>
        </w:tc>
        <w:tc>
          <w:tcPr>
            <w:tcW w:w="8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15.9</w:t>
            </w:r>
          </w:p>
        </w:tc>
        <w:tc>
          <w:tcPr>
            <w:tcW w:w="0" w:type="dxa"/>
            <w:vAlign w:val="bottom"/>
          </w:tcPr>
          <w:p>
            <w:pPr>
              <w:spacing w:after="0"/>
              <w:rPr>
                <w:sz w:val="1"/>
                <w:szCs w:val="1"/>
                <w:color w:val="auto"/>
              </w:rPr>
            </w:pPr>
          </w:p>
        </w:tc>
      </w:tr>
      <w:tr>
        <w:trPr>
          <w:trHeight w:val="180"/>
        </w:trPr>
        <w:tc>
          <w:tcPr>
            <w:tcW w:w="6300" w:type="dxa"/>
            <w:vAlign w:val="bottom"/>
          </w:tcPr>
          <w:p>
            <w:pPr>
              <w:ind w:left="80"/>
              <w:spacing w:after="0"/>
              <w:rPr>
                <w:sz w:val="20"/>
                <w:szCs w:val="20"/>
                <w:color w:val="auto"/>
              </w:rPr>
            </w:pPr>
            <w:r>
              <w:rPr>
                <w:rFonts w:ascii="Arial" w:cs="Arial" w:eastAsia="Arial" w:hAnsi="Arial"/>
                <w:sz w:val="10"/>
                <w:szCs w:val="10"/>
                <w:color w:val="auto"/>
              </w:rPr>
              <w:t>Contracts and grants</w:t>
            </w:r>
          </w:p>
        </w:tc>
        <w:tc>
          <w:tcPr>
            <w:tcW w:w="1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22.6</w:t>
            </w:r>
          </w:p>
        </w:tc>
        <w:tc>
          <w:tcPr>
            <w:tcW w:w="8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21.7</w:t>
            </w:r>
          </w:p>
        </w:tc>
        <w:tc>
          <w:tcPr>
            <w:tcW w:w="0" w:type="dxa"/>
            <w:vAlign w:val="bottom"/>
          </w:tcPr>
          <w:p>
            <w:pPr>
              <w:spacing w:after="0"/>
              <w:rPr>
                <w:sz w:val="1"/>
                <w:szCs w:val="1"/>
                <w:color w:val="auto"/>
              </w:rPr>
            </w:pPr>
          </w:p>
        </w:tc>
      </w:tr>
      <w:tr>
        <w:trPr>
          <w:trHeight w:val="169"/>
        </w:trPr>
        <w:tc>
          <w:tcPr>
            <w:tcW w:w="6300" w:type="dxa"/>
            <w:vAlign w:val="bottom"/>
          </w:tcPr>
          <w:p>
            <w:pPr>
              <w:spacing w:after="0"/>
              <w:rPr>
                <w:sz w:val="20"/>
                <w:szCs w:val="20"/>
                <w:color w:val="auto"/>
              </w:rPr>
            </w:pPr>
            <w:r>
              <w:rPr>
                <w:rFonts w:ascii="Arial" w:cs="Arial" w:eastAsia="Arial" w:hAnsi="Arial"/>
                <w:sz w:val="10"/>
                <w:szCs w:val="10"/>
                <w:b w:val="1"/>
                <w:bCs w:val="1"/>
                <w:color w:val="auto"/>
              </w:rPr>
              <w:t>Total revenues</w:t>
            </w:r>
          </w:p>
        </w:tc>
        <w:tc>
          <w:tcPr>
            <w:tcW w:w="1560" w:type="dxa"/>
            <w:vAlign w:val="bottom"/>
          </w:tcPr>
          <w:p>
            <w:pPr>
              <w:spacing w:after="0"/>
              <w:rPr>
                <w:sz w:val="14"/>
                <w:szCs w:val="14"/>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192.5</w:t>
            </w:r>
          </w:p>
        </w:tc>
        <w:tc>
          <w:tcPr>
            <w:tcW w:w="8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190.6</w:t>
            </w:r>
          </w:p>
        </w:tc>
        <w:tc>
          <w:tcPr>
            <w:tcW w:w="0" w:type="dxa"/>
            <w:vAlign w:val="bottom"/>
          </w:tcPr>
          <w:p>
            <w:pPr>
              <w:spacing w:after="0"/>
              <w:rPr>
                <w:sz w:val="1"/>
                <w:szCs w:val="1"/>
                <w:color w:val="auto"/>
              </w:rPr>
            </w:pPr>
          </w:p>
        </w:tc>
      </w:tr>
      <w:tr>
        <w:trPr>
          <w:trHeight w:val="378"/>
        </w:trPr>
        <w:tc>
          <w:tcPr>
            <w:tcW w:w="6300" w:type="dxa"/>
            <w:vAlign w:val="bottom"/>
          </w:tcPr>
          <w:p>
            <w:pPr>
              <w:spacing w:after="0"/>
              <w:rPr>
                <w:sz w:val="20"/>
                <w:szCs w:val="20"/>
                <w:color w:val="auto"/>
              </w:rPr>
            </w:pPr>
            <w:r>
              <w:rPr>
                <w:rFonts w:ascii="Arial" w:cs="Arial" w:eastAsia="Arial" w:hAnsi="Arial"/>
                <w:sz w:val="10"/>
                <w:szCs w:val="10"/>
                <w:b w:val="1"/>
                <w:bCs w:val="1"/>
                <w:color w:val="auto"/>
              </w:rPr>
              <w:t>Operating expenses:</w:t>
            </w: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300" w:type="dxa"/>
            <w:vAlign w:val="bottom"/>
          </w:tcPr>
          <w:p>
            <w:pPr>
              <w:ind w:left="80"/>
              <w:spacing w:after="0"/>
              <w:rPr>
                <w:sz w:val="20"/>
                <w:szCs w:val="20"/>
                <w:color w:val="auto"/>
              </w:rPr>
            </w:pPr>
            <w:r>
              <w:rPr>
                <w:rFonts w:ascii="Arial" w:cs="Arial" w:eastAsia="Arial" w:hAnsi="Arial"/>
                <w:sz w:val="10"/>
                <w:szCs w:val="10"/>
                <w:color w:val="auto"/>
              </w:rPr>
              <w:t>Cost of product sales and contract development and manufacturing services</w:t>
            </w:r>
          </w:p>
        </w:tc>
        <w:tc>
          <w:tcPr>
            <w:tcW w:w="1560" w:type="dxa"/>
            <w:vAlign w:val="bottom"/>
          </w:tcPr>
          <w:p>
            <w:pPr>
              <w:spacing w:after="0"/>
              <w:rPr>
                <w:sz w:val="17"/>
                <w:szCs w:val="17"/>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76.9</w:t>
            </w:r>
          </w:p>
        </w:tc>
        <w:tc>
          <w:tcPr>
            <w:tcW w:w="8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91.8</w:t>
            </w:r>
          </w:p>
        </w:tc>
        <w:tc>
          <w:tcPr>
            <w:tcW w:w="0" w:type="dxa"/>
            <w:vAlign w:val="bottom"/>
          </w:tcPr>
          <w:p>
            <w:pPr>
              <w:spacing w:after="0"/>
              <w:rPr>
                <w:sz w:val="1"/>
                <w:szCs w:val="1"/>
                <w:color w:val="auto"/>
              </w:rPr>
            </w:pPr>
          </w:p>
        </w:tc>
      </w:tr>
      <w:tr>
        <w:trPr>
          <w:trHeight w:val="198"/>
        </w:trPr>
        <w:tc>
          <w:tcPr>
            <w:tcW w:w="6300" w:type="dxa"/>
            <w:vAlign w:val="bottom"/>
          </w:tcPr>
          <w:p>
            <w:pPr>
              <w:ind w:left="80"/>
              <w:spacing w:after="0"/>
              <w:rPr>
                <w:sz w:val="20"/>
                <w:szCs w:val="20"/>
                <w:color w:val="auto"/>
              </w:rPr>
            </w:pPr>
            <w:r>
              <w:rPr>
                <w:rFonts w:ascii="Arial" w:cs="Arial" w:eastAsia="Arial" w:hAnsi="Arial"/>
                <w:sz w:val="10"/>
                <w:szCs w:val="10"/>
                <w:color w:val="auto"/>
              </w:rPr>
              <w:t>Research and development</w:t>
            </w:r>
          </w:p>
        </w:tc>
        <w:tc>
          <w:tcPr>
            <w:tcW w:w="1560" w:type="dxa"/>
            <w:vAlign w:val="bottom"/>
          </w:tcPr>
          <w:p>
            <w:pPr>
              <w:spacing w:after="0"/>
              <w:rPr>
                <w:sz w:val="17"/>
                <w:szCs w:val="17"/>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42.7</w:t>
            </w:r>
          </w:p>
        </w:tc>
        <w:tc>
          <w:tcPr>
            <w:tcW w:w="8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46.1</w:t>
            </w:r>
          </w:p>
        </w:tc>
        <w:tc>
          <w:tcPr>
            <w:tcW w:w="0" w:type="dxa"/>
            <w:vAlign w:val="bottom"/>
          </w:tcPr>
          <w:p>
            <w:pPr>
              <w:spacing w:after="0"/>
              <w:rPr>
                <w:sz w:val="1"/>
                <w:szCs w:val="1"/>
                <w:color w:val="auto"/>
              </w:rPr>
            </w:pPr>
          </w:p>
        </w:tc>
      </w:tr>
      <w:tr>
        <w:trPr>
          <w:trHeight w:val="198"/>
        </w:trPr>
        <w:tc>
          <w:tcPr>
            <w:tcW w:w="6300" w:type="dxa"/>
            <w:vAlign w:val="bottom"/>
          </w:tcPr>
          <w:p>
            <w:pPr>
              <w:ind w:left="80"/>
              <w:spacing w:after="0"/>
              <w:rPr>
                <w:sz w:val="20"/>
                <w:szCs w:val="20"/>
                <w:color w:val="auto"/>
              </w:rPr>
            </w:pPr>
            <w:r>
              <w:rPr>
                <w:rFonts w:ascii="Arial" w:cs="Arial" w:eastAsia="Arial" w:hAnsi="Arial"/>
                <w:sz w:val="10"/>
                <w:szCs w:val="10"/>
                <w:color w:val="auto"/>
              </w:rPr>
              <w:t>Selling, general and administrative</w:t>
            </w:r>
          </w:p>
        </w:tc>
        <w:tc>
          <w:tcPr>
            <w:tcW w:w="1560" w:type="dxa"/>
            <w:vAlign w:val="bottom"/>
          </w:tcPr>
          <w:p>
            <w:pPr>
              <w:spacing w:after="0"/>
              <w:rPr>
                <w:sz w:val="17"/>
                <w:szCs w:val="17"/>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69.7</w:t>
            </w:r>
          </w:p>
        </w:tc>
        <w:tc>
          <w:tcPr>
            <w:tcW w:w="8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65.4</w:t>
            </w:r>
          </w:p>
        </w:tc>
        <w:tc>
          <w:tcPr>
            <w:tcW w:w="0" w:type="dxa"/>
            <w:vAlign w:val="bottom"/>
          </w:tcPr>
          <w:p>
            <w:pPr>
              <w:spacing w:after="0"/>
              <w:rPr>
                <w:sz w:val="1"/>
                <w:szCs w:val="1"/>
                <w:color w:val="auto"/>
              </w:rPr>
            </w:pPr>
          </w:p>
        </w:tc>
      </w:tr>
      <w:tr>
        <w:trPr>
          <w:trHeight w:val="180"/>
        </w:trPr>
        <w:tc>
          <w:tcPr>
            <w:tcW w:w="6300" w:type="dxa"/>
            <w:vAlign w:val="bottom"/>
          </w:tcPr>
          <w:p>
            <w:pPr>
              <w:ind w:left="80"/>
              <w:spacing w:after="0"/>
              <w:rPr>
                <w:sz w:val="20"/>
                <w:szCs w:val="20"/>
                <w:color w:val="auto"/>
              </w:rPr>
            </w:pPr>
            <w:r>
              <w:rPr>
                <w:rFonts w:ascii="Arial" w:cs="Arial" w:eastAsia="Arial" w:hAnsi="Arial"/>
                <w:sz w:val="10"/>
                <w:szCs w:val="10"/>
                <w:color w:val="auto"/>
              </w:rPr>
              <w:t>Amortization of intangible assets</w:t>
            </w:r>
          </w:p>
        </w:tc>
        <w:tc>
          <w:tcPr>
            <w:tcW w:w="1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14.8</w:t>
            </w:r>
          </w:p>
        </w:tc>
        <w:tc>
          <w:tcPr>
            <w:tcW w:w="8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14.5</w:t>
            </w:r>
          </w:p>
        </w:tc>
        <w:tc>
          <w:tcPr>
            <w:tcW w:w="0" w:type="dxa"/>
            <w:vAlign w:val="bottom"/>
          </w:tcPr>
          <w:p>
            <w:pPr>
              <w:spacing w:after="0"/>
              <w:rPr>
                <w:sz w:val="1"/>
                <w:szCs w:val="1"/>
                <w:color w:val="auto"/>
              </w:rPr>
            </w:pPr>
          </w:p>
        </w:tc>
      </w:tr>
      <w:tr>
        <w:trPr>
          <w:trHeight w:val="169"/>
        </w:trPr>
        <w:tc>
          <w:tcPr>
            <w:tcW w:w="6300" w:type="dxa"/>
            <w:vAlign w:val="bottom"/>
          </w:tcPr>
          <w:p>
            <w:pPr>
              <w:spacing w:after="0"/>
              <w:rPr>
                <w:sz w:val="20"/>
                <w:szCs w:val="20"/>
                <w:color w:val="auto"/>
              </w:rPr>
            </w:pPr>
            <w:r>
              <w:rPr>
                <w:rFonts w:ascii="Arial" w:cs="Arial" w:eastAsia="Arial" w:hAnsi="Arial"/>
                <w:sz w:val="10"/>
                <w:szCs w:val="10"/>
                <w:b w:val="1"/>
                <w:bCs w:val="1"/>
                <w:color w:val="auto"/>
              </w:rPr>
              <w:t>Total operating expenses</w:t>
            </w:r>
          </w:p>
        </w:tc>
        <w:tc>
          <w:tcPr>
            <w:tcW w:w="1560" w:type="dxa"/>
            <w:vAlign w:val="bottom"/>
          </w:tcPr>
          <w:p>
            <w:pPr>
              <w:spacing w:after="0"/>
              <w:rPr>
                <w:sz w:val="14"/>
                <w:szCs w:val="14"/>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204.1</w:t>
            </w:r>
          </w:p>
        </w:tc>
        <w:tc>
          <w:tcPr>
            <w:tcW w:w="8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217.8</w:t>
            </w:r>
          </w:p>
        </w:tc>
        <w:tc>
          <w:tcPr>
            <w:tcW w:w="0" w:type="dxa"/>
            <w:vAlign w:val="bottom"/>
          </w:tcPr>
          <w:p>
            <w:pPr>
              <w:spacing w:after="0"/>
              <w:rPr>
                <w:sz w:val="1"/>
                <w:szCs w:val="1"/>
                <w:color w:val="auto"/>
              </w:rPr>
            </w:pPr>
          </w:p>
        </w:tc>
      </w:tr>
      <w:tr>
        <w:trPr>
          <w:trHeight w:val="378"/>
        </w:trPr>
        <w:tc>
          <w:tcPr>
            <w:tcW w:w="6300" w:type="dxa"/>
            <w:vAlign w:val="bottom"/>
          </w:tcPr>
          <w:p>
            <w:pPr>
              <w:spacing w:after="0"/>
              <w:rPr>
                <w:sz w:val="20"/>
                <w:szCs w:val="20"/>
                <w:color w:val="auto"/>
              </w:rPr>
            </w:pPr>
            <w:r>
              <w:rPr>
                <w:rFonts w:ascii="Arial" w:cs="Arial" w:eastAsia="Arial" w:hAnsi="Arial"/>
                <w:sz w:val="10"/>
                <w:szCs w:val="10"/>
                <w:color w:val="auto"/>
              </w:rPr>
              <w:t>Loss from operations</w:t>
            </w:r>
          </w:p>
        </w:tc>
        <w:tc>
          <w:tcPr>
            <w:tcW w:w="156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(11.6)</w:t>
            </w:r>
          </w:p>
        </w:tc>
        <w:tc>
          <w:tcPr>
            <w:tcW w:w="8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(27.2)</w:t>
            </w:r>
          </w:p>
        </w:tc>
        <w:tc>
          <w:tcPr>
            <w:tcW w:w="0" w:type="dxa"/>
            <w:vAlign w:val="bottom"/>
          </w:tcPr>
          <w:p>
            <w:pPr>
              <w:spacing w:after="0"/>
              <w:rPr>
                <w:sz w:val="1"/>
                <w:szCs w:val="1"/>
                <w:color w:val="auto"/>
              </w:rPr>
            </w:pPr>
          </w:p>
        </w:tc>
      </w:tr>
      <w:tr>
        <w:trPr>
          <w:trHeight w:val="378"/>
        </w:trPr>
        <w:tc>
          <w:tcPr>
            <w:tcW w:w="6300" w:type="dxa"/>
            <w:vAlign w:val="bottom"/>
          </w:tcPr>
          <w:p>
            <w:pPr>
              <w:spacing w:after="0"/>
              <w:rPr>
                <w:sz w:val="20"/>
                <w:szCs w:val="20"/>
                <w:color w:val="auto"/>
              </w:rPr>
            </w:pPr>
            <w:r>
              <w:rPr>
                <w:rFonts w:ascii="Arial" w:cs="Arial" w:eastAsia="Arial" w:hAnsi="Arial"/>
                <w:sz w:val="10"/>
                <w:szCs w:val="10"/>
                <w:b w:val="1"/>
                <w:bCs w:val="1"/>
                <w:color w:val="auto"/>
              </w:rPr>
              <w:t>Other (expense) income:</w:t>
            </w: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300" w:type="dxa"/>
            <w:vAlign w:val="bottom"/>
          </w:tcPr>
          <w:p>
            <w:pPr>
              <w:ind w:left="80"/>
              <w:spacing w:after="0"/>
              <w:rPr>
                <w:sz w:val="20"/>
                <w:szCs w:val="20"/>
                <w:color w:val="auto"/>
              </w:rPr>
            </w:pPr>
            <w:r>
              <w:rPr>
                <w:rFonts w:ascii="Arial" w:cs="Arial" w:eastAsia="Arial" w:hAnsi="Arial"/>
                <w:sz w:val="10"/>
                <w:szCs w:val="10"/>
                <w:color w:val="auto"/>
              </w:rPr>
              <w:t>Interest expense</w:t>
            </w:r>
          </w:p>
        </w:tc>
        <w:tc>
          <w:tcPr>
            <w:tcW w:w="1560" w:type="dxa"/>
            <w:vAlign w:val="bottom"/>
          </w:tcPr>
          <w:p>
            <w:pPr>
              <w:spacing w:after="0"/>
              <w:rPr>
                <w:sz w:val="17"/>
                <w:szCs w:val="17"/>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(8.6)</w:t>
            </w:r>
          </w:p>
        </w:tc>
        <w:tc>
          <w:tcPr>
            <w:tcW w:w="8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(9.6)</w:t>
            </w:r>
          </w:p>
        </w:tc>
        <w:tc>
          <w:tcPr>
            <w:tcW w:w="0" w:type="dxa"/>
            <w:vAlign w:val="bottom"/>
          </w:tcPr>
          <w:p>
            <w:pPr>
              <w:spacing w:after="0"/>
              <w:rPr>
                <w:sz w:val="1"/>
                <w:szCs w:val="1"/>
                <w:color w:val="auto"/>
              </w:rPr>
            </w:pPr>
          </w:p>
        </w:tc>
      </w:tr>
      <w:tr>
        <w:trPr>
          <w:trHeight w:val="198"/>
        </w:trPr>
        <w:tc>
          <w:tcPr>
            <w:tcW w:w="6300" w:type="dxa"/>
            <w:vAlign w:val="bottom"/>
          </w:tcPr>
          <w:p>
            <w:pPr>
              <w:ind w:left="80"/>
              <w:spacing w:after="0"/>
              <w:rPr>
                <w:sz w:val="20"/>
                <w:szCs w:val="20"/>
                <w:color w:val="auto"/>
              </w:rPr>
            </w:pPr>
            <w:r>
              <w:rPr>
                <w:rFonts w:ascii="Arial" w:cs="Arial" w:eastAsia="Arial" w:hAnsi="Arial"/>
                <w:sz w:val="10"/>
                <w:szCs w:val="10"/>
                <w:color w:val="auto"/>
              </w:rPr>
              <w:t>Other expense, net</w:t>
            </w:r>
          </w:p>
        </w:tc>
        <w:tc>
          <w:tcPr>
            <w:tcW w:w="1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(1.1)</w:t>
            </w:r>
          </w:p>
        </w:tc>
        <w:tc>
          <w:tcPr>
            <w:tcW w:w="8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69"/>
        </w:trPr>
        <w:tc>
          <w:tcPr>
            <w:tcW w:w="6300" w:type="dxa"/>
            <w:vAlign w:val="bottom"/>
          </w:tcPr>
          <w:p>
            <w:pPr>
              <w:spacing w:after="0"/>
              <w:rPr>
                <w:sz w:val="20"/>
                <w:szCs w:val="20"/>
                <w:color w:val="auto"/>
              </w:rPr>
            </w:pPr>
            <w:r>
              <w:rPr>
                <w:rFonts w:ascii="Arial" w:cs="Arial" w:eastAsia="Arial" w:hAnsi="Arial"/>
                <w:sz w:val="10"/>
                <w:szCs w:val="10"/>
                <w:b w:val="1"/>
                <w:bCs w:val="1"/>
                <w:color w:val="auto"/>
              </w:rPr>
              <w:t>Total other expense, net</w:t>
            </w:r>
          </w:p>
        </w:tc>
        <w:tc>
          <w:tcPr>
            <w:tcW w:w="1560" w:type="dxa"/>
            <w:vAlign w:val="bottom"/>
          </w:tcPr>
          <w:p>
            <w:pPr>
              <w:spacing w:after="0"/>
              <w:rPr>
                <w:sz w:val="14"/>
                <w:szCs w:val="14"/>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(9.7)</w:t>
            </w:r>
          </w:p>
        </w:tc>
        <w:tc>
          <w:tcPr>
            <w:tcW w:w="8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(10.6)</w:t>
            </w:r>
          </w:p>
        </w:tc>
        <w:tc>
          <w:tcPr>
            <w:tcW w:w="0" w:type="dxa"/>
            <w:vAlign w:val="bottom"/>
          </w:tcPr>
          <w:p>
            <w:pPr>
              <w:spacing w:after="0"/>
              <w:rPr>
                <w:sz w:val="1"/>
                <w:szCs w:val="1"/>
                <w:color w:val="auto"/>
              </w:rPr>
            </w:pPr>
          </w:p>
        </w:tc>
      </w:tr>
      <w:tr>
        <w:trPr>
          <w:trHeight w:val="396"/>
        </w:trPr>
        <w:tc>
          <w:tcPr>
            <w:tcW w:w="6300" w:type="dxa"/>
            <w:vAlign w:val="bottom"/>
          </w:tcPr>
          <w:p>
            <w:pPr>
              <w:spacing w:after="0"/>
              <w:rPr>
                <w:sz w:val="20"/>
                <w:szCs w:val="20"/>
                <w:color w:val="auto"/>
              </w:rPr>
            </w:pPr>
            <w:r>
              <w:rPr>
                <w:rFonts w:ascii="Arial" w:cs="Arial" w:eastAsia="Arial" w:hAnsi="Arial"/>
                <w:sz w:val="10"/>
                <w:szCs w:val="10"/>
                <w:b w:val="1"/>
                <w:bCs w:val="1"/>
                <w:color w:val="auto"/>
              </w:rPr>
              <w:t>Loss before provision for income taxes</w:t>
            </w:r>
          </w:p>
        </w:tc>
        <w:tc>
          <w:tcPr>
            <w:tcW w:w="156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(21.3)</w:t>
            </w:r>
          </w:p>
        </w:tc>
        <w:tc>
          <w:tcPr>
            <w:tcW w:w="8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(37.8)</w:t>
            </w:r>
          </w:p>
        </w:tc>
        <w:tc>
          <w:tcPr>
            <w:tcW w:w="0" w:type="dxa"/>
            <w:vAlign w:val="bottom"/>
          </w:tcPr>
          <w:p>
            <w:pPr>
              <w:spacing w:after="0"/>
              <w:rPr>
                <w:sz w:val="1"/>
                <w:szCs w:val="1"/>
                <w:color w:val="auto"/>
              </w:rPr>
            </w:pPr>
          </w:p>
        </w:tc>
      </w:tr>
      <w:tr>
        <w:trPr>
          <w:trHeight w:val="198"/>
        </w:trPr>
        <w:tc>
          <w:tcPr>
            <w:tcW w:w="6300" w:type="dxa"/>
            <w:vAlign w:val="bottom"/>
          </w:tcPr>
          <w:p>
            <w:pPr>
              <w:spacing w:after="0"/>
              <w:rPr>
                <w:sz w:val="20"/>
                <w:szCs w:val="20"/>
                <w:color w:val="auto"/>
              </w:rPr>
            </w:pPr>
            <w:r>
              <w:rPr>
                <w:rFonts w:ascii="Arial" w:cs="Arial" w:eastAsia="Arial" w:hAnsi="Arial"/>
                <w:sz w:val="10"/>
                <w:szCs w:val="10"/>
                <w:color w:val="auto"/>
              </w:rPr>
              <w:t>Income tax benefit</w:t>
            </w:r>
          </w:p>
        </w:tc>
        <w:tc>
          <w:tcPr>
            <w:tcW w:w="1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8.8</w:t>
            </w:r>
          </w:p>
        </w:tc>
        <w:tc>
          <w:tcPr>
            <w:tcW w:w="8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11.8</w:t>
            </w:r>
          </w:p>
        </w:tc>
        <w:tc>
          <w:tcPr>
            <w:tcW w:w="0" w:type="dxa"/>
            <w:vAlign w:val="bottom"/>
          </w:tcPr>
          <w:p>
            <w:pPr>
              <w:spacing w:after="0"/>
              <w:rPr>
                <w:sz w:val="1"/>
                <w:szCs w:val="1"/>
                <w:color w:val="auto"/>
              </w:rPr>
            </w:pPr>
          </w:p>
        </w:tc>
      </w:tr>
      <w:tr>
        <w:trPr>
          <w:trHeight w:val="148"/>
        </w:trPr>
        <w:tc>
          <w:tcPr>
            <w:tcW w:w="6300" w:type="dxa"/>
            <w:vAlign w:val="bottom"/>
          </w:tcPr>
          <w:p>
            <w:pPr>
              <w:spacing w:after="0"/>
              <w:rPr>
                <w:sz w:val="20"/>
                <w:szCs w:val="20"/>
                <w:color w:val="auto"/>
              </w:rPr>
            </w:pPr>
            <w:r>
              <w:rPr>
                <w:rFonts w:ascii="Arial" w:cs="Arial" w:eastAsia="Arial" w:hAnsi="Arial"/>
                <w:sz w:val="10"/>
                <w:szCs w:val="10"/>
                <w:b w:val="1"/>
                <w:bCs w:val="1"/>
                <w:color w:val="auto"/>
              </w:rPr>
              <w:t>Net loss</w:t>
            </w:r>
          </w:p>
        </w:tc>
        <w:tc>
          <w:tcPr>
            <w:tcW w:w="1560" w:type="dxa"/>
            <w:vAlign w:val="bottom"/>
            <w:tcBorders>
              <w:bottom w:val="single" w:sz="8" w:color="auto"/>
            </w:tcBorders>
          </w:tcPr>
          <w:p>
            <w:pPr>
              <w:jc w:val="right"/>
              <w:ind w:right="1252"/>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(12.5)</w:t>
            </w:r>
          </w:p>
        </w:tc>
        <w:tc>
          <w:tcPr>
            <w:tcW w:w="84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(26.0)</w:t>
            </w:r>
          </w:p>
        </w:tc>
        <w:tc>
          <w:tcPr>
            <w:tcW w:w="0" w:type="dxa"/>
            <w:vAlign w:val="bottom"/>
          </w:tcPr>
          <w:p>
            <w:pPr>
              <w:spacing w:after="0"/>
              <w:rPr>
                <w:sz w:val="1"/>
                <w:szCs w:val="1"/>
                <w:color w:val="auto"/>
              </w:rPr>
            </w:pPr>
          </w:p>
        </w:tc>
      </w:tr>
      <w:tr>
        <w:trPr>
          <w:trHeight w:val="334"/>
        </w:trPr>
        <w:tc>
          <w:tcPr>
            <w:tcW w:w="6300" w:type="dxa"/>
            <w:vAlign w:val="bottom"/>
          </w:tcPr>
          <w:p>
            <w:pPr>
              <w:spacing w:after="0"/>
              <w:rPr>
                <w:sz w:val="20"/>
                <w:szCs w:val="20"/>
                <w:color w:val="auto"/>
              </w:rPr>
            </w:pPr>
            <w:r>
              <w:rPr>
                <w:rFonts w:ascii="Arial" w:cs="Arial" w:eastAsia="Arial" w:hAnsi="Arial"/>
                <w:sz w:val="10"/>
                <w:szCs w:val="10"/>
                <w:b w:val="1"/>
                <w:bCs w:val="1"/>
                <w:color w:val="auto"/>
              </w:rPr>
              <w:t>Net loss per common share</w:t>
            </w: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6300" w:type="dxa"/>
            <w:vAlign w:val="bottom"/>
          </w:tcPr>
          <w:p>
            <w:pPr>
              <w:ind w:left="80"/>
              <w:spacing w:after="0"/>
              <w:rPr>
                <w:sz w:val="20"/>
                <w:szCs w:val="20"/>
                <w:color w:val="auto"/>
              </w:rPr>
            </w:pPr>
            <w:r>
              <w:rPr>
                <w:rFonts w:ascii="Arial" w:cs="Arial" w:eastAsia="Arial" w:hAnsi="Arial"/>
                <w:sz w:val="10"/>
                <w:szCs w:val="10"/>
                <w:color w:val="auto"/>
              </w:rPr>
              <w:t>Basic</w:t>
            </w:r>
          </w:p>
        </w:tc>
        <w:tc>
          <w:tcPr>
            <w:tcW w:w="1560" w:type="dxa"/>
            <w:vAlign w:val="bottom"/>
          </w:tcPr>
          <w:p>
            <w:pPr>
              <w:jc w:val="right"/>
              <w:ind w:right="12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(0.24)</w:t>
            </w:r>
          </w:p>
        </w:tc>
        <w:tc>
          <w:tcPr>
            <w:tcW w:w="840" w:type="dxa"/>
            <w:vAlign w:val="bottom"/>
          </w:tcPr>
          <w:p>
            <w:pPr>
              <w:jc w:val="right"/>
              <w:ind w:right="632"/>
              <w:spacing w:after="0"/>
              <w:rPr>
                <w:sz w:val="20"/>
                <w:szCs w:val="20"/>
                <w:color w:val="auto"/>
              </w:rPr>
            </w:pPr>
            <w:r>
              <w:rPr>
                <w:rFonts w:ascii="Arial" w:cs="Arial" w:eastAsia="Arial" w:hAnsi="Arial"/>
                <w:sz w:val="10"/>
                <w:szCs w:val="10"/>
                <w:color w:val="auto"/>
              </w:rPr>
              <w:t>$</w:t>
            </w:r>
          </w:p>
        </w:tc>
        <w:tc>
          <w:tcPr>
            <w:tcW w:w="1560" w:type="dxa"/>
            <w:vAlign w:val="bottom"/>
          </w:tcPr>
          <w:p>
            <w:pPr>
              <w:jc w:val="right"/>
              <w:spacing w:after="0"/>
              <w:rPr>
                <w:sz w:val="20"/>
                <w:szCs w:val="20"/>
                <w:color w:val="auto"/>
              </w:rPr>
            </w:pPr>
            <w:r>
              <w:rPr>
                <w:rFonts w:ascii="Arial" w:cs="Arial" w:eastAsia="Arial" w:hAnsi="Arial"/>
                <w:sz w:val="10"/>
                <w:szCs w:val="10"/>
                <w:color w:val="auto"/>
              </w:rPr>
              <w:t>(0.51)</w:t>
            </w:r>
          </w:p>
        </w:tc>
        <w:tc>
          <w:tcPr>
            <w:tcW w:w="0" w:type="dxa"/>
            <w:vAlign w:val="bottom"/>
          </w:tcPr>
          <w:p>
            <w:pPr>
              <w:spacing w:after="0"/>
              <w:rPr>
                <w:sz w:val="1"/>
                <w:szCs w:val="1"/>
                <w:color w:val="auto"/>
              </w:rPr>
            </w:pPr>
          </w:p>
        </w:tc>
      </w:tr>
      <w:tr>
        <w:trPr>
          <w:trHeight w:val="144"/>
        </w:trPr>
        <w:tc>
          <w:tcPr>
            <w:tcW w:w="6300" w:type="dxa"/>
            <w:vAlign w:val="bottom"/>
          </w:tcPr>
          <w:p>
            <w:pPr>
              <w:ind w:left="80"/>
              <w:spacing w:after="0"/>
              <w:rPr>
                <w:sz w:val="20"/>
                <w:szCs w:val="20"/>
                <w:color w:val="auto"/>
              </w:rPr>
            </w:pPr>
            <w:r>
              <w:rPr>
                <w:rFonts w:ascii="Arial" w:cs="Arial" w:eastAsia="Arial" w:hAnsi="Arial"/>
                <w:sz w:val="10"/>
                <w:szCs w:val="10"/>
                <w:color w:val="auto"/>
              </w:rPr>
              <w:t>Diluted</w:t>
            </w:r>
          </w:p>
        </w:tc>
        <w:tc>
          <w:tcPr>
            <w:tcW w:w="1560" w:type="dxa"/>
            <w:vAlign w:val="bottom"/>
          </w:tcPr>
          <w:p>
            <w:pPr>
              <w:jc w:val="right"/>
              <w:ind w:right="125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(0.24)</w:t>
            </w:r>
          </w:p>
        </w:tc>
        <w:tc>
          <w:tcPr>
            <w:tcW w:w="840" w:type="dxa"/>
            <w:vAlign w:val="bottom"/>
          </w:tcPr>
          <w:p>
            <w:pPr>
              <w:jc w:val="right"/>
              <w:ind w:right="632"/>
              <w:spacing w:after="0"/>
              <w:rPr>
                <w:sz w:val="20"/>
                <w:szCs w:val="20"/>
                <w:color w:val="auto"/>
              </w:rPr>
            </w:pPr>
            <w:r>
              <w:rPr>
                <w:rFonts w:ascii="Arial" w:cs="Arial" w:eastAsia="Arial" w:hAnsi="Arial"/>
                <w:sz w:val="10"/>
                <w:szCs w:val="10"/>
                <w:color w:val="auto"/>
              </w:rPr>
              <w:t>$</w:t>
            </w:r>
          </w:p>
        </w:tc>
        <w:tc>
          <w:tcPr>
            <w:tcW w:w="1560" w:type="dxa"/>
            <w:vAlign w:val="bottom"/>
          </w:tcPr>
          <w:p>
            <w:pPr>
              <w:jc w:val="right"/>
              <w:spacing w:after="0"/>
              <w:rPr>
                <w:sz w:val="20"/>
                <w:szCs w:val="20"/>
                <w:color w:val="auto"/>
              </w:rPr>
            </w:pPr>
            <w:r>
              <w:rPr>
                <w:rFonts w:ascii="Arial" w:cs="Arial" w:eastAsia="Arial" w:hAnsi="Arial"/>
                <w:sz w:val="10"/>
                <w:szCs w:val="10"/>
                <w:color w:val="auto"/>
              </w:rPr>
              <w:t>(0.51)</w:t>
            </w:r>
          </w:p>
        </w:tc>
        <w:tc>
          <w:tcPr>
            <w:tcW w:w="0" w:type="dxa"/>
            <w:vAlign w:val="bottom"/>
          </w:tcPr>
          <w:p>
            <w:pPr>
              <w:spacing w:after="0"/>
              <w:rPr>
                <w:sz w:val="1"/>
                <w:szCs w:val="1"/>
                <w:color w:val="auto"/>
              </w:rPr>
            </w:pPr>
          </w:p>
        </w:tc>
      </w:tr>
      <w:tr>
        <w:trPr>
          <w:trHeight w:val="342"/>
        </w:trPr>
        <w:tc>
          <w:tcPr>
            <w:tcW w:w="6300" w:type="dxa"/>
            <w:vAlign w:val="bottom"/>
          </w:tcPr>
          <w:p>
            <w:pPr>
              <w:spacing w:after="0"/>
              <w:rPr>
                <w:sz w:val="20"/>
                <w:szCs w:val="20"/>
                <w:color w:val="auto"/>
              </w:rPr>
            </w:pPr>
            <w:r>
              <w:rPr>
                <w:rFonts w:ascii="Arial" w:cs="Arial" w:eastAsia="Arial" w:hAnsi="Arial"/>
                <w:sz w:val="10"/>
                <w:szCs w:val="10"/>
                <w:b w:val="1"/>
                <w:bCs w:val="1"/>
                <w:color w:val="auto"/>
              </w:rPr>
              <w:t>Shares used in computing loss per share</w:t>
            </w: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300" w:type="dxa"/>
            <w:vAlign w:val="bottom"/>
          </w:tcPr>
          <w:p>
            <w:pPr>
              <w:ind w:left="80"/>
              <w:spacing w:after="0"/>
              <w:rPr>
                <w:sz w:val="20"/>
                <w:szCs w:val="20"/>
                <w:color w:val="auto"/>
              </w:rPr>
            </w:pPr>
            <w:r>
              <w:rPr>
                <w:rFonts w:ascii="Arial" w:cs="Arial" w:eastAsia="Arial" w:hAnsi="Arial"/>
                <w:sz w:val="10"/>
                <w:szCs w:val="10"/>
                <w:color w:val="auto"/>
              </w:rPr>
              <w:t>Basic</w:t>
            </w:r>
          </w:p>
        </w:tc>
        <w:tc>
          <w:tcPr>
            <w:tcW w:w="156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52.0</w:t>
            </w:r>
          </w:p>
        </w:tc>
        <w:tc>
          <w:tcPr>
            <w:tcW w:w="8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51.2</w:t>
            </w:r>
          </w:p>
        </w:tc>
        <w:tc>
          <w:tcPr>
            <w:tcW w:w="0" w:type="dxa"/>
            <w:vAlign w:val="bottom"/>
          </w:tcPr>
          <w:p>
            <w:pPr>
              <w:spacing w:after="0"/>
              <w:rPr>
                <w:sz w:val="1"/>
                <w:szCs w:val="1"/>
                <w:color w:val="auto"/>
              </w:rPr>
            </w:pPr>
          </w:p>
        </w:tc>
      </w:tr>
      <w:tr>
        <w:trPr>
          <w:trHeight w:val="180"/>
        </w:trPr>
        <w:tc>
          <w:tcPr>
            <w:tcW w:w="6300" w:type="dxa"/>
            <w:vAlign w:val="bottom"/>
          </w:tcPr>
          <w:p>
            <w:pPr>
              <w:ind w:left="80"/>
              <w:spacing w:after="0"/>
              <w:rPr>
                <w:sz w:val="20"/>
                <w:szCs w:val="20"/>
                <w:color w:val="auto"/>
              </w:rPr>
            </w:pPr>
            <w:r>
              <w:rPr>
                <w:rFonts w:ascii="Arial" w:cs="Arial" w:eastAsia="Arial" w:hAnsi="Arial"/>
                <w:sz w:val="10"/>
                <w:szCs w:val="10"/>
                <w:color w:val="auto"/>
              </w:rPr>
              <w:t>Diluted</w:t>
            </w:r>
          </w:p>
        </w:tc>
        <w:tc>
          <w:tcPr>
            <w:tcW w:w="156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52.0</w:t>
            </w:r>
          </w:p>
        </w:tc>
        <w:tc>
          <w:tcPr>
            <w:tcW w:w="8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0"/>
                <w:szCs w:val="10"/>
                <w:color w:val="auto"/>
              </w:rPr>
              <w:t>51.2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1"/>
          <w:szCs w:val="11"/>
          <w:color w:val="auto"/>
        </w:rPr>
        <w:t>7 of 11</w:t>
      </w:r>
    </w:p>
    <w:p>
      <w:pPr>
        <w:sectPr>
          <w:pgSz w:w="11900" w:h="16838" w:orient="portrait"/>
          <w:cols w:equalWidth="0" w:num="1">
            <w:col w:w="11280"/>
          </w:cols>
          <w:pgMar w:left="320" w:top="383" w:right="29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Cash flows provided by operating activities:</w:t>
      </w:r>
    </w:p>
    <w:p>
      <w:pPr>
        <w:spacing w:after="0" w:line="41" w:lineRule="exact"/>
        <w:rPr>
          <w:sz w:val="20"/>
          <w:szCs w:val="20"/>
          <w:color w:val="auto"/>
        </w:rPr>
      </w:pPr>
    </w:p>
    <w:p>
      <w:pPr>
        <w:ind w:left="100"/>
        <w:spacing w:after="0"/>
        <w:rPr>
          <w:sz w:val="20"/>
          <w:szCs w:val="20"/>
          <w:color w:val="auto"/>
        </w:rPr>
      </w:pPr>
      <w:r>
        <w:rPr>
          <w:rFonts w:ascii="Arial" w:cs="Arial" w:eastAsia="Arial" w:hAnsi="Arial"/>
          <w:sz w:val="10"/>
          <w:szCs w:val="10"/>
          <w:color w:val="auto"/>
        </w:rPr>
        <w:t>Net loss</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8"/>
          <w:szCs w:val="8"/>
          <w:color w:val="auto"/>
        </w:rPr>
        <w:t>Adjustments to reconcile net loss to net cash provided by operating activities:</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0"/>
          <w:szCs w:val="10"/>
          <w:color w:val="auto"/>
        </w:rPr>
        <w:t>Share-based compensation expense</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Depreciation and amortization</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Amortization of deferred financing costs</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Deferred income taxes</w:t>
      </w:r>
    </w:p>
    <w:p>
      <w:pPr>
        <w:spacing w:after="0" w:line="29" w:lineRule="exact"/>
        <w:rPr>
          <w:sz w:val="20"/>
          <w:szCs w:val="20"/>
          <w:color w:val="auto"/>
        </w:rPr>
      </w:pPr>
    </w:p>
    <w:p>
      <w:pPr>
        <w:ind w:left="320" w:right="1020"/>
        <w:spacing w:after="0" w:line="300" w:lineRule="auto"/>
        <w:rPr>
          <w:sz w:val="20"/>
          <w:szCs w:val="20"/>
          <w:color w:val="auto"/>
        </w:rPr>
      </w:pPr>
      <w:r>
        <w:rPr>
          <w:rFonts w:ascii="Arial" w:cs="Arial" w:eastAsia="Arial" w:hAnsi="Arial"/>
          <w:sz w:val="10"/>
          <w:szCs w:val="10"/>
          <w:color w:val="auto"/>
        </w:rPr>
        <w:t>Change in fair value of contingent consideration, net Other</w:t>
      </w:r>
    </w:p>
    <w:p>
      <w:pPr>
        <w:ind w:left="100"/>
        <w:spacing w:after="0"/>
        <w:rPr>
          <w:sz w:val="20"/>
          <w:szCs w:val="20"/>
          <w:color w:val="auto"/>
        </w:rPr>
      </w:pPr>
      <w:r>
        <w:rPr>
          <w:rFonts w:ascii="Arial" w:cs="Arial" w:eastAsia="Arial" w:hAnsi="Arial"/>
          <w:sz w:val="10"/>
          <w:szCs w:val="10"/>
          <w:color w:val="auto"/>
        </w:rPr>
        <w:t>Changes in operating assets and liabilities:</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Accounts receivable</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Inventories</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Prepaid expenses and other assets</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Accounts payable</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Accrued expenses</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Accrued compensation</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0"/>
          <w:szCs w:val="10"/>
          <w:color w:val="auto"/>
        </w:rPr>
        <w:t>Contract liabilities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0"/>
          <w:szCs w:val="10"/>
          <w:color w:val="auto"/>
        </w:rPr>
        <w:t>Net cash provided by operating activities:</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Cash flows used in investing activities:</w:t>
      </w:r>
    </w:p>
    <w:p>
      <w:pPr>
        <w:spacing w:after="0" w:line="41" w:lineRule="exact"/>
        <w:rPr>
          <w:sz w:val="20"/>
          <w:szCs w:val="20"/>
          <w:color w:val="auto"/>
        </w:rPr>
      </w:pPr>
    </w:p>
    <w:p>
      <w:pPr>
        <w:ind w:left="100"/>
        <w:spacing w:after="0"/>
        <w:rPr>
          <w:sz w:val="20"/>
          <w:szCs w:val="20"/>
          <w:color w:val="auto"/>
        </w:rPr>
      </w:pPr>
      <w:r>
        <w:rPr>
          <w:rFonts w:ascii="Arial" w:cs="Arial" w:eastAsia="Arial" w:hAnsi="Arial"/>
          <w:sz w:val="10"/>
          <w:szCs w:val="10"/>
          <w:color w:val="auto"/>
        </w:rPr>
        <w:t>Purchases of property, plant and equipment and other</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0"/>
          <w:szCs w:val="10"/>
          <w:color w:val="auto"/>
        </w:rPr>
        <w:t>Net cash used in investing activities:</w:t>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Cash flows used in financing activities:</w:t>
      </w:r>
    </w:p>
    <w:p>
      <w:pPr>
        <w:spacing w:after="0" w:line="41" w:lineRule="exact"/>
        <w:rPr>
          <w:sz w:val="20"/>
          <w:szCs w:val="20"/>
          <w:color w:val="auto"/>
        </w:rPr>
      </w:pPr>
    </w:p>
    <w:p>
      <w:pPr>
        <w:ind w:left="100"/>
        <w:spacing w:after="0"/>
        <w:rPr>
          <w:sz w:val="20"/>
          <w:szCs w:val="20"/>
          <w:color w:val="auto"/>
        </w:rPr>
      </w:pPr>
      <w:r>
        <w:rPr>
          <w:rFonts w:ascii="Arial" w:cs="Arial" w:eastAsia="Arial" w:hAnsi="Arial"/>
          <w:sz w:val="10"/>
          <w:szCs w:val="10"/>
          <w:color w:val="auto"/>
        </w:rPr>
        <w:t>Proceeds from revolving credit facility</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0"/>
          <w:szCs w:val="10"/>
          <w:color w:val="auto"/>
        </w:rPr>
        <w:t>Principal payments on revolving credit facility</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0"/>
          <w:szCs w:val="10"/>
          <w:color w:val="auto"/>
        </w:rPr>
        <w:t>Principal payments on term loan facility</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0"/>
          <w:szCs w:val="10"/>
          <w:color w:val="auto"/>
        </w:rPr>
        <w:t>Proceeds from issuance of common stock upon exercise of stock options</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0"/>
          <w:szCs w:val="10"/>
          <w:color w:val="auto"/>
        </w:rPr>
        <w:t>Taxes paid on behalf of employees for equity activity</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0"/>
          <w:szCs w:val="10"/>
          <w:color w:val="auto"/>
        </w:rPr>
        <w:t>Contingent consideration payments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0"/>
          <w:szCs w:val="10"/>
          <w:color w:val="auto"/>
        </w:rPr>
        <w:t>Net cash used in financing activities:</w:t>
      </w:r>
    </w:p>
    <w:p>
      <w:pPr>
        <w:spacing w:after="0" w:line="29" w:lineRule="exact"/>
        <w:rPr>
          <w:sz w:val="20"/>
          <w:szCs w:val="20"/>
          <w:color w:val="auto"/>
        </w:rPr>
      </w:pPr>
    </w:p>
    <w:p>
      <w:pPr>
        <w:ind w:left="100" w:right="100"/>
        <w:spacing w:after="0" w:line="309" w:lineRule="auto"/>
        <w:rPr>
          <w:sz w:val="20"/>
          <w:szCs w:val="20"/>
          <w:color w:val="auto"/>
        </w:rPr>
      </w:pPr>
      <w:r>
        <w:rPr>
          <w:rFonts w:ascii="Arial" w:cs="Arial" w:eastAsia="Arial" w:hAnsi="Arial"/>
          <w:sz w:val="10"/>
          <w:szCs w:val="10"/>
          <w:color w:val="auto"/>
        </w:rPr>
        <w:t>Effect of exchange rate changes on cash, cash equivalents and restricted cash Net increase in cash, cash equivalents and restricted cash</w:t>
      </w:r>
    </w:p>
    <w:p>
      <w:pPr>
        <w:spacing w:after="0" w:line="1" w:lineRule="exact"/>
        <w:rPr>
          <w:sz w:val="20"/>
          <w:szCs w:val="20"/>
          <w:color w:val="auto"/>
        </w:rPr>
      </w:pPr>
    </w:p>
    <w:p>
      <w:pPr>
        <w:ind w:left="100" w:right="660"/>
        <w:spacing w:after="0" w:line="482" w:lineRule="auto"/>
        <w:rPr>
          <w:sz w:val="20"/>
          <w:szCs w:val="20"/>
          <w:color w:val="auto"/>
        </w:rPr>
      </w:pPr>
      <w:r>
        <w:rPr>
          <w:rFonts w:ascii="Arial" w:cs="Arial" w:eastAsia="Arial" w:hAnsi="Arial"/>
          <w:sz w:val="8"/>
          <w:szCs w:val="8"/>
          <w:color w:val="auto"/>
        </w:rPr>
        <w:t>Cash, cash equivalents and restricted cash at beginning of period Cash, cash equivalents and restricted cash at end of period</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Arial" w:cs="Arial" w:eastAsia="Arial" w:hAnsi="Arial"/>
          <w:sz w:val="10"/>
          <w:szCs w:val="10"/>
          <w:b w:val="1"/>
          <w:bCs w:val="1"/>
          <w:color w:val="auto"/>
        </w:rPr>
        <w:t>Emergent BioSolutions Inc.</w:t>
      </w:r>
    </w:p>
    <w:p>
      <w:pPr>
        <w:spacing w:after="0" w:line="5" w:lineRule="exact"/>
        <w:rPr>
          <w:sz w:val="20"/>
          <w:szCs w:val="20"/>
          <w:color w:val="auto"/>
        </w:rPr>
      </w:pPr>
    </w:p>
    <w:p>
      <w:pPr>
        <w:jc w:val="center"/>
        <w:ind w:right="4260"/>
        <w:spacing w:after="0"/>
        <w:rPr>
          <w:sz w:val="20"/>
          <w:szCs w:val="20"/>
          <w:color w:val="auto"/>
        </w:rPr>
      </w:pPr>
      <w:r>
        <w:rPr>
          <w:rFonts w:ascii="Arial" w:cs="Arial" w:eastAsia="Arial" w:hAnsi="Arial"/>
          <w:sz w:val="8"/>
          <w:szCs w:val="8"/>
          <w:b w:val="1"/>
          <w:bCs w:val="1"/>
          <w:color w:val="auto"/>
        </w:rPr>
        <w:t>Condensed Consolidated Statements of Cash Flows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0"/>
          <w:szCs w:val="10"/>
          <w:b w:val="1"/>
          <w:bCs w:val="1"/>
          <w:color w:val="auto"/>
        </w:rPr>
        <w:t>(unaudited, in millions)</w:t>
      </w:r>
    </w:p>
    <w:p>
      <w:pPr>
        <w:spacing w:after="0" w:line="118" w:lineRule="exact"/>
        <w:rPr>
          <w:sz w:val="20"/>
          <w:szCs w:val="20"/>
          <w:color w:val="auto"/>
        </w:rPr>
      </w:pPr>
    </w:p>
    <w:tbl>
      <w:tblPr>
        <w:tblLayout w:type="fixed"/>
        <w:tblInd w:w="3700" w:type="dxa"/>
        <w:tblCellMar>
          <w:top w:w="0" w:type="dxa"/>
          <w:left w:w="0" w:type="dxa"/>
          <w:bottom w:w="0" w:type="dxa"/>
          <w:right w:w="0" w:type="dxa"/>
        </w:tblCellMar>
      </w:tblPr>
      <w:tr>
        <w:trPr>
          <w:trHeight w:val="127"/>
        </w:trPr>
        <w:tc>
          <w:tcPr>
            <w:tcW w:w="340" w:type="dxa"/>
            <w:vAlign w:val="bottom"/>
          </w:tcPr>
          <w:p>
            <w:pPr>
              <w:spacing w:after="0"/>
              <w:rPr>
                <w:sz w:val="11"/>
                <w:szCs w:val="11"/>
                <w:color w:val="auto"/>
              </w:rPr>
            </w:pPr>
          </w:p>
        </w:tc>
        <w:tc>
          <w:tcPr>
            <w:tcW w:w="2600" w:type="dxa"/>
            <w:vAlign w:val="bottom"/>
            <w:gridSpan w:val="4"/>
          </w:tcPr>
          <w:p>
            <w:pPr>
              <w:jc w:val="right"/>
              <w:ind w:right="712"/>
              <w:spacing w:after="0"/>
              <w:rPr>
                <w:sz w:val="20"/>
                <w:szCs w:val="20"/>
                <w:color w:val="auto"/>
              </w:rPr>
            </w:pPr>
            <w:r>
              <w:rPr>
                <w:rFonts w:ascii="Arial" w:cs="Arial" w:eastAsia="Arial" w:hAnsi="Arial"/>
                <w:sz w:val="10"/>
                <w:szCs w:val="10"/>
                <w:b w:val="1"/>
                <w:bCs w:val="1"/>
                <w:color w:val="auto"/>
              </w:rPr>
              <w:t>Three Months Ended March 31,</w:t>
            </w:r>
          </w:p>
        </w:tc>
      </w:tr>
      <w:tr>
        <w:trPr>
          <w:trHeight w:val="148"/>
        </w:trPr>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color w:val="auto"/>
              </w:rPr>
              <w:t>2020</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color w:val="auto"/>
              </w:rPr>
              <w:t>2019</w:t>
            </w:r>
          </w:p>
        </w:tc>
      </w:tr>
      <w:tr>
        <w:trPr>
          <w:trHeight w:val="309"/>
        </w:trPr>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(12.5)</w:t>
            </w:r>
          </w:p>
        </w:tc>
        <w:tc>
          <w:tcPr>
            <w:tcW w:w="100" w:type="dxa"/>
            <w:vAlign w:val="bottom"/>
          </w:tcPr>
          <w:p>
            <w:pPr>
              <w:spacing w:after="0"/>
              <w:rPr>
                <w:sz w:val="24"/>
                <w:szCs w:val="24"/>
                <w:color w:val="auto"/>
              </w:rPr>
            </w:pPr>
          </w:p>
        </w:tc>
        <w:tc>
          <w:tcPr>
            <w:tcW w:w="34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(26.0)</w:t>
            </w:r>
          </w:p>
        </w:tc>
      </w:tr>
      <w:tr>
        <w:trPr>
          <w:trHeight w:val="288"/>
        </w:trPr>
        <w:tc>
          <w:tcPr>
            <w:tcW w:w="340" w:type="dxa"/>
            <w:vAlign w:val="bottom"/>
          </w:tcPr>
          <w:p>
            <w:pPr>
              <w:spacing w:after="0"/>
              <w:rPr>
                <w:sz w:val="24"/>
                <w:szCs w:val="24"/>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6.6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6.8</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28.2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26.6</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0.7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0.7</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(4.2)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(11.4)</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0.6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1.7</w:t>
            </w:r>
          </w:p>
        </w:tc>
      </w:tr>
      <w:tr>
        <w:trPr>
          <w:trHeight w:val="144"/>
        </w:trPr>
        <w:tc>
          <w:tcPr>
            <w:tcW w:w="34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(0.1)</w:t>
            </w:r>
          </w:p>
        </w:tc>
      </w:tr>
      <w:tr>
        <w:trPr>
          <w:trHeight w:val="288"/>
        </w:trPr>
        <w:tc>
          <w:tcPr>
            <w:tcW w:w="340" w:type="dxa"/>
            <w:vAlign w:val="bottom"/>
          </w:tcPr>
          <w:p>
            <w:pPr>
              <w:spacing w:after="0"/>
              <w:rPr>
                <w:sz w:val="24"/>
                <w:szCs w:val="24"/>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108.2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141.6</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(25.6)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(5.2)</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(15.3)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(16.6)</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(15.6)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4.2</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1.7</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(14.9)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(21.3)</w:t>
            </w:r>
          </w:p>
        </w:tc>
      </w:tr>
      <w:tr>
        <w:trPr>
          <w:trHeight w:val="148"/>
        </w:trPr>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0.5</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2.1</w:t>
            </w:r>
          </w:p>
        </w:tc>
      </w:tr>
      <w:tr>
        <w:trPr>
          <w:trHeight w:val="129"/>
        </w:trPr>
        <w:tc>
          <w:tcPr>
            <w:tcW w:w="34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57.8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104.8</w:t>
            </w:r>
          </w:p>
        </w:tc>
      </w:tr>
      <w:tr>
        <w:trPr>
          <w:trHeight w:val="292"/>
        </w:trPr>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(24.2)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(21.4)</w:t>
            </w:r>
          </w:p>
        </w:tc>
      </w:tr>
      <w:tr>
        <w:trPr>
          <w:trHeight w:val="129"/>
        </w:trPr>
        <w:tc>
          <w:tcPr>
            <w:tcW w:w="340" w:type="dxa"/>
            <w:vAlign w:val="bottom"/>
          </w:tcPr>
          <w:p>
            <w:pPr>
              <w:spacing w:after="0"/>
              <w:rPr>
                <w:sz w:val="11"/>
                <w:szCs w:val="11"/>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(24.2)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(21.4)</w:t>
            </w:r>
          </w:p>
        </w:tc>
      </w:tr>
      <w:tr>
        <w:trPr>
          <w:trHeight w:val="288"/>
        </w:trPr>
        <w:tc>
          <w:tcPr>
            <w:tcW w:w="34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24"/>
                <w:szCs w:val="24"/>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30.0</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(20.0)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(80.0)</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(2.8)</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9.1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0.9</w:t>
            </w:r>
          </w:p>
        </w:tc>
      </w:tr>
      <w:tr>
        <w:trPr>
          <w:trHeight w:val="144"/>
        </w:trPr>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(5.6)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(6.0)</w:t>
            </w:r>
          </w:p>
        </w:tc>
      </w:tr>
      <w:tr>
        <w:trPr>
          <w:trHeight w:val="148"/>
        </w:trPr>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(0.7)</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(0.5)</w:t>
            </w:r>
          </w:p>
        </w:tc>
      </w:tr>
      <w:tr>
        <w:trPr>
          <w:trHeight w:val="129"/>
        </w:trPr>
        <w:tc>
          <w:tcPr>
            <w:tcW w:w="340" w:type="dxa"/>
            <w:vAlign w:val="bottom"/>
          </w:tcPr>
          <w:p>
            <w:pPr>
              <w:spacing w:after="0"/>
              <w:rPr>
                <w:sz w:val="11"/>
                <w:szCs w:val="11"/>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(20.0)</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32"/>
              <w:spacing w:after="0"/>
              <w:rPr>
                <w:sz w:val="20"/>
                <w:szCs w:val="20"/>
                <w:color w:val="auto"/>
              </w:rPr>
            </w:pPr>
            <w:r>
              <w:rPr>
                <w:rFonts w:ascii="Arial" w:cs="Arial" w:eastAsia="Arial" w:hAnsi="Arial"/>
                <w:sz w:val="10"/>
                <w:szCs w:val="10"/>
                <w:color w:val="auto"/>
              </w:rPr>
              <w:t>(58.4)</w:t>
            </w:r>
          </w:p>
        </w:tc>
      </w:tr>
      <w:tr>
        <w:trPr>
          <w:trHeight w:val="148"/>
        </w:trPr>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0.1</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r>
      <w:tr>
        <w:trPr>
          <w:trHeight w:val="129"/>
        </w:trPr>
        <w:tc>
          <w:tcPr>
            <w:tcW w:w="340" w:type="dxa"/>
            <w:vAlign w:val="bottom"/>
          </w:tcPr>
          <w:p>
            <w:pPr>
              <w:spacing w:after="0"/>
              <w:rPr>
                <w:sz w:val="11"/>
                <w:szCs w:val="11"/>
                <w:color w:val="auto"/>
              </w:rPr>
            </w:pPr>
          </w:p>
        </w:tc>
        <w:tc>
          <w:tcPr>
            <w:tcW w:w="1080" w:type="dxa"/>
            <w:vAlign w:val="bottom"/>
          </w:tcPr>
          <w:p>
            <w:pPr>
              <w:jc w:val="right"/>
              <w:ind w:right="72"/>
              <w:spacing w:after="0"/>
              <w:rPr>
                <w:sz w:val="20"/>
                <w:szCs w:val="20"/>
                <w:color w:val="auto"/>
              </w:rPr>
            </w:pPr>
            <w:r>
              <w:rPr>
                <w:rFonts w:ascii="Arial" w:cs="Arial" w:eastAsia="Arial" w:hAnsi="Arial"/>
                <w:sz w:val="10"/>
                <w:szCs w:val="10"/>
                <w:color w:val="auto"/>
              </w:rPr>
              <w:t>13.7</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2"/>
              <w:spacing w:after="0"/>
              <w:rPr>
                <w:sz w:val="20"/>
                <w:szCs w:val="20"/>
                <w:color w:val="auto"/>
              </w:rPr>
            </w:pPr>
            <w:r>
              <w:rPr>
                <w:rFonts w:ascii="Arial" w:cs="Arial" w:eastAsia="Arial" w:hAnsi="Arial"/>
                <w:sz w:val="10"/>
                <w:szCs w:val="10"/>
                <w:color w:val="auto"/>
              </w:rPr>
              <w:t>25.0</w:t>
            </w:r>
          </w:p>
        </w:tc>
      </w:tr>
      <w:tr>
        <w:trPr>
          <w:trHeight w:val="148"/>
        </w:trPr>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168.0</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112.4</w:t>
            </w:r>
          </w:p>
        </w:tc>
      </w:tr>
      <w:tr>
        <w:trPr>
          <w:trHeight w:val="144"/>
        </w:trPr>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181.7</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137.4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8 of 11</w:t>
      </w:r>
    </w:p>
    <w:p>
      <w:pPr>
        <w:sectPr>
          <w:pgSz w:w="11900" w:h="16838" w:orient="portrait"/>
          <w:cols w:equalWidth="0" w:num="2">
            <w:col w:w="3540" w:space="720"/>
            <w:col w:w="6640"/>
          </w:cols>
          <w:pgMar w:left="500" w:top="275" w:right="4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t>RECONCILIATION OF NET LOSS TO ADJUSTED NET LOSS AND ADJUSTED EBITDA (unaudited)</w:t>
      </w:r>
    </w:p>
    <w:p>
      <w:pPr>
        <w:spacing w:after="0" w:line="78"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 xml:space="preserve">This press release contains two financial measures </w:t>
      </w:r>
      <w:r>
        <w:rPr>
          <w:rFonts w:ascii="Arial" w:cs="Arial" w:eastAsia="Arial" w:hAnsi="Arial"/>
          <w:sz w:val="12"/>
          <w:szCs w:val="12"/>
          <w:b w:val="1"/>
          <w:bCs w:val="1"/>
          <w:color w:val="auto"/>
        </w:rPr>
        <w:t>(Adjusted Net Loss and Adjusted EBITDA (Earnings Before Depreciation and Amortization, Interest and Taxes))</w:t>
      </w:r>
      <w:r>
        <w:rPr>
          <w:rFonts w:ascii="Arial" w:cs="Arial" w:eastAsia="Arial" w:hAnsi="Arial"/>
          <w:sz w:val="12"/>
          <w:szCs w:val="12"/>
          <w:color w:val="auto"/>
        </w:rPr>
        <w:t xml:space="preserve"> that are considered “non-GAAP” financial measures under applicable Securities and Exchange Commission rules and regulations. These non-GAAP financial measures should be considered supplemental to and not a substitute for financial information prepared in accordance with generally accepted accounting principles. The Company’s definition of these non-GAAP measures may differ from similarly titled measures used by others. Adjusted Net Loss adjusts for specified items that can be highly variable or difficult to predict, or reflect the non-cash impact of charges resulting from purchase accounting. All adjustments are tax effected utilizing the federal statutory tax rate for the US, except for changes in the fair value of contingent consideration as the vast majority is non-deductible for tax purposes. Adjusted Net Loss margin is defined as Adjusted Net Loss divided by total revenues. Adjusted EBITDA reflects net income excluding the impact of depreciation, amortization, interest expense and provision for income taxes, excluding specified items that can be highly variable and the non-cash impact of certain purchase accounting adjustments. Adjusted EBITDA margin is defined as Adjusted EBITDA divided by total revenues. The Company views these non-GAAP financial measures as a means to facilitate management’s financial and operational decision-making, including evaluation of the Company’s historical operating results and comparison to competitors’ operating results. These non-GAAP financial measures reflect an additional way of viewing aspects of the Company’s operations that, when viewed with GAAP results and the reconciliations to the corresponding GAAP financial measure may provide a more complete understanding of factors and trends affecting the Company’s business.</w:t>
      </w:r>
    </w:p>
    <w:p>
      <w:pPr>
        <w:spacing w:after="0" w:line="138" w:lineRule="exact"/>
        <w:rPr>
          <w:sz w:val="20"/>
          <w:szCs w:val="20"/>
          <w:color w:val="auto"/>
        </w:rPr>
      </w:pPr>
    </w:p>
    <w:p>
      <w:pPr>
        <w:jc w:val="both"/>
        <w:ind w:right="140"/>
        <w:spacing w:after="0" w:line="256" w:lineRule="auto"/>
        <w:rPr>
          <w:sz w:val="20"/>
          <w:szCs w:val="20"/>
          <w:color w:val="auto"/>
        </w:rPr>
      </w:pPr>
      <w:r>
        <w:rPr>
          <w:rFonts w:ascii="Arial" w:cs="Arial" w:eastAsia="Arial" w:hAnsi="Arial"/>
          <w:sz w:val="12"/>
          <w:szCs w:val="12"/>
          <w:color w:val="auto"/>
        </w:rPr>
        <w:t>The determination of the amounts that are excluded from these non-GAAP financial measures are a matter of management judgment and depend upon, among other factors, the nature of the underlying expense or income amounts. Because non-GAAP financial measures exclude the effect of items that will increase or decrease the Company’s reported results of operations, management strongly encourages investors to review the Company’s consolidated financial statements and publicly filed reports in their entirety.</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Reconciliation of Net Loss to Adjusted Net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183755" cy="1365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755" cy="1365885"/>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shd w:val="clear" w:color="auto" w:fill="0F243E"/>
          </w:tcPr>
          <w:p>
            <w:pPr>
              <w:spacing w:after="0"/>
              <w:rPr>
                <w:sz w:val="14"/>
                <w:szCs w:val="14"/>
                <w:color w:val="auto"/>
              </w:rPr>
            </w:pPr>
          </w:p>
        </w:tc>
        <w:tc>
          <w:tcPr>
            <w:tcW w:w="2100" w:type="dxa"/>
            <w:vAlign w:val="bottom"/>
            <w:shd w:val="clear" w:color="auto" w:fill="0F243E"/>
          </w:tcPr>
          <w:p>
            <w:pPr>
              <w:spacing w:after="0"/>
              <w:rPr>
                <w:sz w:val="14"/>
                <w:szCs w:val="14"/>
                <w:color w:val="auto"/>
              </w:rPr>
            </w:pPr>
          </w:p>
        </w:tc>
        <w:tc>
          <w:tcPr>
            <w:tcW w:w="1580" w:type="dxa"/>
            <w:vAlign w:val="bottom"/>
            <w:shd w:val="clear" w:color="auto" w:fill="0F243E"/>
          </w:tcPr>
          <w:p>
            <w:pPr>
              <w:spacing w:after="0"/>
              <w:rPr>
                <w:sz w:val="14"/>
                <w:szCs w:val="14"/>
                <w:color w:val="auto"/>
              </w:rPr>
            </w:pPr>
          </w:p>
        </w:tc>
        <w:tc>
          <w:tcPr>
            <w:tcW w:w="2000" w:type="dxa"/>
            <w:vAlign w:val="bottom"/>
            <w:gridSpan w:val="3"/>
            <w:shd w:val="clear" w:color="auto" w:fill="0F243E"/>
          </w:tcPr>
          <w:p>
            <w:pPr>
              <w:ind w:left="20"/>
              <w:spacing w:after="0"/>
              <w:rPr>
                <w:sz w:val="20"/>
                <w:szCs w:val="20"/>
                <w:color w:val="auto"/>
              </w:rPr>
            </w:pPr>
            <w:r>
              <w:rPr>
                <w:rFonts w:ascii="Arial" w:cs="Arial" w:eastAsia="Arial" w:hAnsi="Arial"/>
                <w:sz w:val="11"/>
                <w:szCs w:val="11"/>
                <w:b w:val="1"/>
                <w:bCs w:val="1"/>
                <w:color w:val="FFFFFF"/>
              </w:rPr>
              <w:t>Three Months Ended March 31, 2020</w:t>
            </w:r>
          </w:p>
        </w:tc>
        <w:tc>
          <w:tcPr>
            <w:tcW w:w="1500" w:type="dxa"/>
            <w:vAlign w:val="bottom"/>
            <w:shd w:val="clear" w:color="auto" w:fill="0F243E"/>
          </w:tcPr>
          <w:p>
            <w:pPr>
              <w:spacing w:after="0"/>
              <w:rPr>
                <w:sz w:val="14"/>
                <w:szCs w:val="14"/>
                <w:color w:val="auto"/>
              </w:rPr>
            </w:pPr>
          </w:p>
        </w:tc>
      </w:tr>
      <w:tr>
        <w:trPr>
          <w:trHeight w:val="180"/>
        </w:trPr>
        <w:tc>
          <w:tcPr>
            <w:tcW w:w="4120" w:type="dxa"/>
            <w:vAlign w:val="bottom"/>
            <w:shd w:val="clear" w:color="auto" w:fill="0F243E"/>
          </w:tcPr>
          <w:p>
            <w:pPr>
              <w:ind w:left="20"/>
              <w:spacing w:after="0"/>
              <w:rPr>
                <w:sz w:val="20"/>
                <w:szCs w:val="20"/>
                <w:color w:val="auto"/>
              </w:rPr>
            </w:pPr>
            <w:r>
              <w:rPr>
                <w:rFonts w:ascii="Arial" w:cs="Arial" w:eastAsia="Arial" w:hAnsi="Arial"/>
                <w:sz w:val="11"/>
                <w:szCs w:val="11"/>
                <w:i w:val="1"/>
                <w:iCs w:val="1"/>
                <w:color w:val="FFFFFF"/>
              </w:rPr>
              <w:t>(in millions, except per share value)</w:t>
            </w:r>
          </w:p>
        </w:tc>
        <w:tc>
          <w:tcPr>
            <w:tcW w:w="3680" w:type="dxa"/>
            <w:vAlign w:val="bottom"/>
            <w:gridSpan w:val="2"/>
            <w:shd w:val="clear" w:color="auto" w:fill="0F243E"/>
          </w:tcPr>
          <w:p>
            <w:pPr>
              <w:jc w:val="right"/>
              <w:ind w:right="546"/>
              <w:spacing w:after="0"/>
              <w:rPr>
                <w:sz w:val="20"/>
                <w:szCs w:val="20"/>
                <w:color w:val="auto"/>
              </w:rPr>
            </w:pPr>
            <w:r>
              <w:rPr>
                <w:rFonts w:ascii="Arial" w:cs="Arial" w:eastAsia="Arial" w:hAnsi="Arial"/>
                <w:sz w:val="11"/>
                <w:szCs w:val="11"/>
                <w:b w:val="1"/>
                <w:bCs w:val="1"/>
                <w:color w:val="FFFFFF"/>
              </w:rPr>
              <w:t>2020</w:t>
            </w:r>
          </w:p>
        </w:tc>
        <w:tc>
          <w:tcPr>
            <w:tcW w:w="120" w:type="dxa"/>
            <w:vAlign w:val="bottom"/>
            <w:shd w:val="clear" w:color="auto" w:fill="0F243E"/>
          </w:tcPr>
          <w:p>
            <w:pPr>
              <w:spacing w:after="0"/>
              <w:rPr>
                <w:sz w:val="15"/>
                <w:szCs w:val="15"/>
                <w:color w:val="auto"/>
              </w:rPr>
            </w:pPr>
          </w:p>
        </w:tc>
        <w:tc>
          <w:tcPr>
            <w:tcW w:w="1580" w:type="dxa"/>
            <w:vAlign w:val="bottom"/>
            <w:shd w:val="clear" w:color="auto" w:fill="0F243E"/>
          </w:tcPr>
          <w:p>
            <w:pPr>
              <w:jc w:val="right"/>
              <w:ind w:right="606"/>
              <w:spacing w:after="0"/>
              <w:rPr>
                <w:sz w:val="20"/>
                <w:szCs w:val="20"/>
                <w:color w:val="auto"/>
              </w:rPr>
            </w:pPr>
            <w:r>
              <w:rPr>
                <w:rFonts w:ascii="Arial" w:cs="Arial" w:eastAsia="Arial" w:hAnsi="Arial"/>
                <w:sz w:val="11"/>
                <w:szCs w:val="11"/>
                <w:b w:val="1"/>
                <w:bCs w:val="1"/>
                <w:color w:val="FFFFFF"/>
              </w:rPr>
              <w:t>2019</w:t>
            </w:r>
          </w:p>
        </w:tc>
        <w:tc>
          <w:tcPr>
            <w:tcW w:w="300" w:type="dxa"/>
            <w:vAlign w:val="bottom"/>
            <w:shd w:val="clear" w:color="auto" w:fill="0F243E"/>
          </w:tcPr>
          <w:p>
            <w:pPr>
              <w:spacing w:after="0"/>
              <w:rPr>
                <w:sz w:val="15"/>
                <w:szCs w:val="15"/>
                <w:color w:val="auto"/>
              </w:rPr>
            </w:pPr>
          </w:p>
        </w:tc>
        <w:tc>
          <w:tcPr>
            <w:tcW w:w="1500" w:type="dxa"/>
            <w:vAlign w:val="bottom"/>
            <w:shd w:val="clear" w:color="auto" w:fill="0F243E"/>
          </w:tcPr>
          <w:p>
            <w:pPr>
              <w:jc w:val="center"/>
              <w:ind w:right="246"/>
              <w:spacing w:after="0"/>
              <w:rPr>
                <w:sz w:val="20"/>
                <w:szCs w:val="20"/>
                <w:color w:val="auto"/>
              </w:rPr>
            </w:pPr>
            <w:r>
              <w:rPr>
                <w:rFonts w:ascii="Arial" w:cs="Arial" w:eastAsia="Arial" w:hAnsi="Arial"/>
                <w:sz w:val="11"/>
                <w:szCs w:val="11"/>
                <w:b w:val="1"/>
                <w:bCs w:val="1"/>
                <w:color w:val="FFFFFF"/>
                <w:w w:val="96"/>
              </w:rPr>
              <w:t>Source</w:t>
            </w:r>
          </w:p>
        </w:tc>
      </w:tr>
      <w:tr>
        <w:trPr>
          <w:trHeight w:val="167"/>
        </w:trPr>
        <w:tc>
          <w:tcPr>
            <w:tcW w:w="4120" w:type="dxa"/>
            <w:vAlign w:val="bottom"/>
            <w:shd w:val="clear" w:color="auto" w:fill="CCCCCC"/>
          </w:tcPr>
          <w:p>
            <w:pPr>
              <w:ind w:left="20"/>
              <w:spacing w:after="0"/>
              <w:rPr>
                <w:sz w:val="20"/>
                <w:szCs w:val="20"/>
                <w:color w:val="auto"/>
              </w:rPr>
            </w:pPr>
            <w:r>
              <w:rPr>
                <w:rFonts w:ascii="Arial" w:cs="Arial" w:eastAsia="Arial" w:hAnsi="Arial"/>
                <w:sz w:val="11"/>
                <w:szCs w:val="11"/>
                <w:b w:val="1"/>
                <w:bCs w:val="1"/>
                <w:color w:val="auto"/>
              </w:rPr>
              <w:t>Net loss</w:t>
            </w:r>
          </w:p>
        </w:tc>
        <w:tc>
          <w:tcPr>
            <w:tcW w:w="3800" w:type="dxa"/>
            <w:vAlign w:val="bottom"/>
            <w:gridSpan w:val="3"/>
            <w:shd w:val="clear" w:color="auto" w:fill="CCCCCC"/>
          </w:tcPr>
          <w:p>
            <w:pPr>
              <w:jc w:val="right"/>
              <w:ind w:right="26"/>
              <w:spacing w:after="0"/>
              <w:rPr>
                <w:sz w:val="20"/>
                <w:szCs w:val="20"/>
                <w:color w:val="auto"/>
              </w:rPr>
            </w:pPr>
            <w:r>
              <w:rPr>
                <w:rFonts w:ascii="Arial" w:cs="Arial" w:eastAsia="Arial" w:hAnsi="Arial"/>
                <w:sz w:val="11"/>
                <w:szCs w:val="11"/>
                <w:color w:val="auto"/>
              </w:rPr>
              <w:t>($12.5)</w:t>
            </w:r>
          </w:p>
        </w:tc>
        <w:tc>
          <w:tcPr>
            <w:tcW w:w="1580" w:type="dxa"/>
            <w:vAlign w:val="bottom"/>
            <w:shd w:val="clear" w:color="auto" w:fill="CCCCCC"/>
          </w:tcPr>
          <w:p>
            <w:pPr>
              <w:jc w:val="right"/>
              <w:ind w:right="26"/>
              <w:spacing w:after="0"/>
              <w:rPr>
                <w:sz w:val="20"/>
                <w:szCs w:val="20"/>
                <w:color w:val="auto"/>
              </w:rPr>
            </w:pPr>
            <w:r>
              <w:rPr>
                <w:rFonts w:ascii="Arial" w:cs="Arial" w:eastAsia="Arial" w:hAnsi="Arial"/>
                <w:sz w:val="11"/>
                <w:szCs w:val="11"/>
                <w:color w:val="auto"/>
              </w:rPr>
              <w:t>($26.0)</w:t>
            </w:r>
          </w:p>
        </w:tc>
        <w:tc>
          <w:tcPr>
            <w:tcW w:w="300" w:type="dxa"/>
            <w:vAlign w:val="bottom"/>
            <w:shd w:val="clear" w:color="auto" w:fill="CCCCCC"/>
          </w:tcPr>
          <w:p>
            <w:pPr>
              <w:spacing w:after="0"/>
              <w:rPr>
                <w:sz w:val="14"/>
                <w:szCs w:val="14"/>
                <w:color w:val="auto"/>
              </w:rPr>
            </w:pPr>
          </w:p>
        </w:tc>
        <w:tc>
          <w:tcPr>
            <w:tcW w:w="1500" w:type="dxa"/>
            <w:vAlign w:val="bottom"/>
            <w:shd w:val="clear" w:color="auto" w:fill="CCCCCC"/>
          </w:tcPr>
          <w:p>
            <w:pPr>
              <w:spacing w:after="0"/>
              <w:rPr>
                <w:sz w:val="14"/>
                <w:szCs w:val="14"/>
                <w:color w:val="auto"/>
              </w:rPr>
            </w:pPr>
          </w:p>
        </w:tc>
      </w:tr>
      <w:tr>
        <w:trPr>
          <w:trHeight w:val="180"/>
        </w:trPr>
        <w:tc>
          <w:tcPr>
            <w:tcW w:w="412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Adjustments:</w:t>
            </w:r>
          </w:p>
        </w:tc>
        <w:tc>
          <w:tcPr>
            <w:tcW w:w="2100" w:type="dxa"/>
            <w:vAlign w:val="bottom"/>
            <w:shd w:val="clear" w:color="auto" w:fill="CCCCCC"/>
          </w:tcPr>
          <w:p>
            <w:pPr>
              <w:spacing w:after="0"/>
              <w:rPr>
                <w:sz w:val="15"/>
                <w:szCs w:val="15"/>
                <w:color w:val="auto"/>
              </w:rPr>
            </w:pPr>
          </w:p>
        </w:tc>
        <w:tc>
          <w:tcPr>
            <w:tcW w:w="1580" w:type="dxa"/>
            <w:vAlign w:val="bottom"/>
            <w:shd w:val="clear" w:color="auto" w:fill="CCCCCC"/>
          </w:tcPr>
          <w:p>
            <w:pPr>
              <w:spacing w:after="0"/>
              <w:rPr>
                <w:sz w:val="15"/>
                <w:szCs w:val="15"/>
                <w:color w:val="auto"/>
              </w:rPr>
            </w:pPr>
          </w:p>
        </w:tc>
        <w:tc>
          <w:tcPr>
            <w:tcW w:w="120" w:type="dxa"/>
            <w:vAlign w:val="bottom"/>
            <w:shd w:val="clear" w:color="auto" w:fill="CCCCCC"/>
          </w:tcPr>
          <w:p>
            <w:pPr>
              <w:spacing w:after="0"/>
              <w:rPr>
                <w:sz w:val="15"/>
                <w:szCs w:val="15"/>
                <w:color w:val="auto"/>
              </w:rPr>
            </w:pPr>
          </w:p>
        </w:tc>
        <w:tc>
          <w:tcPr>
            <w:tcW w:w="1580" w:type="dxa"/>
            <w:vAlign w:val="bottom"/>
            <w:shd w:val="clear" w:color="auto" w:fill="CCCCCC"/>
          </w:tcPr>
          <w:p>
            <w:pPr>
              <w:spacing w:after="0"/>
              <w:rPr>
                <w:sz w:val="15"/>
                <w:szCs w:val="15"/>
                <w:color w:val="auto"/>
              </w:rPr>
            </w:pPr>
          </w:p>
        </w:tc>
        <w:tc>
          <w:tcPr>
            <w:tcW w:w="300" w:type="dxa"/>
            <w:vAlign w:val="bottom"/>
            <w:shd w:val="clear" w:color="auto" w:fill="CCCCCC"/>
          </w:tcPr>
          <w:p>
            <w:pPr>
              <w:spacing w:after="0"/>
              <w:rPr>
                <w:sz w:val="15"/>
                <w:szCs w:val="15"/>
                <w:color w:val="auto"/>
              </w:rPr>
            </w:pPr>
          </w:p>
        </w:tc>
        <w:tc>
          <w:tcPr>
            <w:tcW w:w="1500" w:type="dxa"/>
            <w:vAlign w:val="bottom"/>
            <w:shd w:val="clear" w:color="auto" w:fill="CCCCCC"/>
          </w:tcPr>
          <w:p>
            <w:pPr>
              <w:spacing w:after="0"/>
              <w:rPr>
                <w:sz w:val="15"/>
                <w:szCs w:val="15"/>
                <w:color w:val="auto"/>
              </w:rPr>
            </w:pPr>
          </w:p>
        </w:tc>
      </w:tr>
      <w:tr>
        <w:trPr>
          <w:trHeight w:val="171"/>
        </w:trPr>
        <w:tc>
          <w:tcPr>
            <w:tcW w:w="412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Acquisition-related costs (transaction &amp; integration)</w:t>
            </w:r>
          </w:p>
        </w:tc>
        <w:tc>
          <w:tcPr>
            <w:tcW w:w="2100" w:type="dxa"/>
            <w:vAlign w:val="bottom"/>
            <w:shd w:val="clear" w:color="auto" w:fill="CCCCCC"/>
          </w:tcPr>
          <w:p>
            <w:pPr>
              <w:spacing w:after="0"/>
              <w:rPr>
                <w:sz w:val="14"/>
                <w:szCs w:val="14"/>
                <w:color w:val="auto"/>
              </w:rPr>
            </w:pPr>
          </w:p>
        </w:tc>
        <w:tc>
          <w:tcPr>
            <w:tcW w:w="1700" w:type="dxa"/>
            <w:vAlign w:val="bottom"/>
            <w:gridSpan w:val="2"/>
            <w:shd w:val="clear" w:color="auto" w:fill="CCCCCC"/>
          </w:tcPr>
          <w:p>
            <w:pPr>
              <w:jc w:val="right"/>
              <w:ind w:right="66"/>
              <w:spacing w:after="0"/>
              <w:rPr>
                <w:sz w:val="20"/>
                <w:szCs w:val="20"/>
                <w:color w:val="auto"/>
              </w:rPr>
            </w:pPr>
            <w:r>
              <w:rPr>
                <w:rFonts w:ascii="Arial" w:cs="Arial" w:eastAsia="Arial" w:hAnsi="Arial"/>
                <w:sz w:val="11"/>
                <w:szCs w:val="11"/>
                <w:b w:val="1"/>
                <w:bCs w:val="1"/>
                <w:color w:val="auto"/>
              </w:rPr>
              <w:t>—</w:t>
            </w:r>
          </w:p>
        </w:tc>
        <w:tc>
          <w:tcPr>
            <w:tcW w:w="1580" w:type="dxa"/>
            <w:vAlign w:val="bottom"/>
            <w:shd w:val="clear" w:color="auto" w:fill="CCCCCC"/>
          </w:tcPr>
          <w:p>
            <w:pPr>
              <w:jc w:val="right"/>
              <w:ind w:right="66"/>
              <w:spacing w:after="0"/>
              <w:rPr>
                <w:sz w:val="20"/>
                <w:szCs w:val="20"/>
                <w:color w:val="auto"/>
              </w:rPr>
            </w:pPr>
            <w:r>
              <w:rPr>
                <w:rFonts w:ascii="Arial" w:cs="Arial" w:eastAsia="Arial" w:hAnsi="Arial"/>
                <w:sz w:val="11"/>
                <w:szCs w:val="11"/>
                <w:color w:val="auto"/>
              </w:rPr>
              <w:t>4.0</w:t>
            </w:r>
          </w:p>
        </w:tc>
        <w:tc>
          <w:tcPr>
            <w:tcW w:w="300" w:type="dxa"/>
            <w:vAlign w:val="bottom"/>
            <w:shd w:val="clear" w:color="auto" w:fill="CCCCCC"/>
          </w:tcPr>
          <w:p>
            <w:pPr>
              <w:spacing w:after="0"/>
              <w:rPr>
                <w:sz w:val="14"/>
                <w:szCs w:val="14"/>
                <w:color w:val="auto"/>
              </w:rPr>
            </w:pPr>
          </w:p>
        </w:tc>
        <w:tc>
          <w:tcPr>
            <w:tcW w:w="1500" w:type="dxa"/>
            <w:vAlign w:val="bottom"/>
            <w:shd w:val="clear" w:color="auto" w:fill="CCCCCC"/>
          </w:tcPr>
          <w:p>
            <w:pPr>
              <w:jc w:val="center"/>
              <w:ind w:right="266"/>
              <w:spacing w:after="0"/>
              <w:rPr>
                <w:sz w:val="20"/>
                <w:szCs w:val="20"/>
                <w:color w:val="auto"/>
              </w:rPr>
            </w:pPr>
            <w:r>
              <w:rPr>
                <w:rFonts w:ascii="Arial" w:cs="Arial" w:eastAsia="Arial" w:hAnsi="Arial"/>
                <w:sz w:val="11"/>
                <w:szCs w:val="11"/>
                <w:color w:val="auto"/>
                <w:w w:val="97"/>
              </w:rPr>
              <w:t>SG&amp;A</w:t>
            </w:r>
          </w:p>
        </w:tc>
      </w:tr>
      <w:tr>
        <w:trPr>
          <w:trHeight w:val="171"/>
        </w:trPr>
        <w:tc>
          <w:tcPr>
            <w:tcW w:w="412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Non-cash amortization charges</w:t>
            </w:r>
          </w:p>
        </w:tc>
        <w:tc>
          <w:tcPr>
            <w:tcW w:w="2100" w:type="dxa"/>
            <w:vAlign w:val="bottom"/>
            <w:shd w:val="clear" w:color="auto" w:fill="CCCCCC"/>
          </w:tcPr>
          <w:p>
            <w:pPr>
              <w:spacing w:after="0"/>
              <w:rPr>
                <w:sz w:val="14"/>
                <w:szCs w:val="14"/>
                <w:color w:val="auto"/>
              </w:rPr>
            </w:pPr>
          </w:p>
        </w:tc>
        <w:tc>
          <w:tcPr>
            <w:tcW w:w="1580" w:type="dxa"/>
            <w:vAlign w:val="bottom"/>
            <w:shd w:val="clear" w:color="auto" w:fill="CCCCCC"/>
          </w:tcPr>
          <w:p>
            <w:pPr>
              <w:jc w:val="right"/>
              <w:spacing w:after="0"/>
              <w:rPr>
                <w:sz w:val="20"/>
                <w:szCs w:val="20"/>
                <w:color w:val="auto"/>
              </w:rPr>
            </w:pPr>
            <w:r>
              <w:rPr>
                <w:rFonts w:ascii="Arial" w:cs="Arial" w:eastAsia="Arial" w:hAnsi="Arial"/>
                <w:sz w:val="11"/>
                <w:szCs w:val="11"/>
                <w:color w:val="auto"/>
              </w:rPr>
              <w:t>15.5</w:t>
            </w:r>
          </w:p>
        </w:tc>
        <w:tc>
          <w:tcPr>
            <w:tcW w:w="120" w:type="dxa"/>
            <w:vAlign w:val="bottom"/>
            <w:shd w:val="clear" w:color="auto" w:fill="CCCCCC"/>
          </w:tcPr>
          <w:p>
            <w:pPr>
              <w:spacing w:after="0"/>
              <w:rPr>
                <w:sz w:val="14"/>
                <w:szCs w:val="14"/>
                <w:color w:val="auto"/>
              </w:rPr>
            </w:pPr>
          </w:p>
        </w:tc>
        <w:tc>
          <w:tcPr>
            <w:tcW w:w="1580" w:type="dxa"/>
            <w:vAlign w:val="bottom"/>
            <w:shd w:val="clear" w:color="auto" w:fill="CCCCCC"/>
          </w:tcPr>
          <w:p>
            <w:pPr>
              <w:jc w:val="right"/>
              <w:ind w:right="66"/>
              <w:spacing w:after="0"/>
              <w:rPr>
                <w:sz w:val="20"/>
                <w:szCs w:val="20"/>
                <w:color w:val="auto"/>
              </w:rPr>
            </w:pPr>
            <w:r>
              <w:rPr>
                <w:rFonts w:ascii="Arial" w:cs="Arial" w:eastAsia="Arial" w:hAnsi="Arial"/>
                <w:sz w:val="11"/>
                <w:szCs w:val="11"/>
                <w:color w:val="auto"/>
              </w:rPr>
              <w:t>15.3</w:t>
            </w:r>
          </w:p>
        </w:tc>
        <w:tc>
          <w:tcPr>
            <w:tcW w:w="300" w:type="dxa"/>
            <w:vAlign w:val="bottom"/>
            <w:shd w:val="clear" w:color="auto" w:fill="CCCCCC"/>
          </w:tcPr>
          <w:p>
            <w:pPr>
              <w:spacing w:after="0"/>
              <w:rPr>
                <w:sz w:val="14"/>
                <w:szCs w:val="14"/>
                <w:color w:val="auto"/>
              </w:rPr>
            </w:pPr>
          </w:p>
        </w:tc>
        <w:tc>
          <w:tcPr>
            <w:tcW w:w="1500" w:type="dxa"/>
            <w:vAlign w:val="bottom"/>
            <w:shd w:val="clear" w:color="auto" w:fill="CCCCCC"/>
          </w:tcPr>
          <w:p>
            <w:pPr>
              <w:jc w:val="center"/>
              <w:ind w:right="266"/>
              <w:spacing w:after="0"/>
              <w:rPr>
                <w:sz w:val="20"/>
                <w:szCs w:val="20"/>
                <w:color w:val="auto"/>
              </w:rPr>
            </w:pPr>
            <w:r>
              <w:rPr>
                <w:rFonts w:ascii="Arial" w:cs="Arial" w:eastAsia="Arial" w:hAnsi="Arial"/>
                <w:sz w:val="11"/>
                <w:szCs w:val="11"/>
                <w:color w:val="auto"/>
                <w:w w:val="98"/>
              </w:rPr>
              <w:t>SG&amp;A, Other Income</w:t>
            </w:r>
          </w:p>
        </w:tc>
      </w:tr>
      <w:tr>
        <w:trPr>
          <w:trHeight w:val="171"/>
        </w:trPr>
        <w:tc>
          <w:tcPr>
            <w:tcW w:w="412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2100" w:type="dxa"/>
            <w:vAlign w:val="bottom"/>
            <w:shd w:val="clear" w:color="auto" w:fill="CCCCCC"/>
          </w:tcPr>
          <w:p>
            <w:pPr>
              <w:spacing w:after="0"/>
              <w:rPr>
                <w:sz w:val="14"/>
                <w:szCs w:val="14"/>
                <w:color w:val="auto"/>
              </w:rPr>
            </w:pPr>
          </w:p>
        </w:tc>
        <w:tc>
          <w:tcPr>
            <w:tcW w:w="1580" w:type="dxa"/>
            <w:vAlign w:val="bottom"/>
            <w:shd w:val="clear" w:color="auto" w:fill="CCCCCC"/>
          </w:tcPr>
          <w:p>
            <w:pPr>
              <w:jc w:val="right"/>
              <w:spacing w:after="0"/>
              <w:rPr>
                <w:sz w:val="20"/>
                <w:szCs w:val="20"/>
                <w:color w:val="auto"/>
              </w:rPr>
            </w:pPr>
            <w:r>
              <w:rPr>
                <w:rFonts w:ascii="Arial" w:cs="Arial" w:eastAsia="Arial" w:hAnsi="Arial"/>
                <w:sz w:val="11"/>
                <w:szCs w:val="11"/>
                <w:color w:val="auto"/>
              </w:rPr>
              <w:t>0.6</w:t>
            </w:r>
          </w:p>
        </w:tc>
        <w:tc>
          <w:tcPr>
            <w:tcW w:w="120" w:type="dxa"/>
            <w:vAlign w:val="bottom"/>
            <w:shd w:val="clear" w:color="auto" w:fill="CCCCCC"/>
          </w:tcPr>
          <w:p>
            <w:pPr>
              <w:spacing w:after="0"/>
              <w:rPr>
                <w:sz w:val="14"/>
                <w:szCs w:val="14"/>
                <w:color w:val="auto"/>
              </w:rPr>
            </w:pPr>
          </w:p>
        </w:tc>
        <w:tc>
          <w:tcPr>
            <w:tcW w:w="1580" w:type="dxa"/>
            <w:vAlign w:val="bottom"/>
            <w:shd w:val="clear" w:color="auto" w:fill="CCCCCC"/>
          </w:tcPr>
          <w:p>
            <w:pPr>
              <w:jc w:val="right"/>
              <w:ind w:right="66"/>
              <w:spacing w:after="0"/>
              <w:rPr>
                <w:sz w:val="20"/>
                <w:szCs w:val="20"/>
                <w:color w:val="auto"/>
              </w:rPr>
            </w:pPr>
            <w:r>
              <w:rPr>
                <w:rFonts w:ascii="Arial" w:cs="Arial" w:eastAsia="Arial" w:hAnsi="Arial"/>
                <w:sz w:val="11"/>
                <w:szCs w:val="11"/>
                <w:color w:val="auto"/>
              </w:rPr>
              <w:t>1.6</w:t>
            </w:r>
          </w:p>
        </w:tc>
        <w:tc>
          <w:tcPr>
            <w:tcW w:w="300" w:type="dxa"/>
            <w:vAlign w:val="bottom"/>
            <w:shd w:val="clear" w:color="auto" w:fill="CCCCCC"/>
          </w:tcPr>
          <w:p>
            <w:pPr>
              <w:spacing w:after="0"/>
              <w:rPr>
                <w:sz w:val="14"/>
                <w:szCs w:val="14"/>
                <w:color w:val="auto"/>
              </w:rPr>
            </w:pPr>
          </w:p>
        </w:tc>
        <w:tc>
          <w:tcPr>
            <w:tcW w:w="1500" w:type="dxa"/>
            <w:vAlign w:val="bottom"/>
            <w:shd w:val="clear" w:color="auto" w:fill="CCCCCC"/>
          </w:tcPr>
          <w:p>
            <w:pPr>
              <w:jc w:val="center"/>
              <w:ind w:right="266"/>
              <w:spacing w:after="0"/>
              <w:rPr>
                <w:sz w:val="20"/>
                <w:szCs w:val="20"/>
                <w:color w:val="auto"/>
              </w:rPr>
            </w:pPr>
            <w:r>
              <w:rPr>
                <w:rFonts w:ascii="Arial" w:cs="Arial" w:eastAsia="Arial" w:hAnsi="Arial"/>
                <w:sz w:val="11"/>
                <w:szCs w:val="11"/>
                <w:color w:val="auto"/>
                <w:w w:val="97"/>
              </w:rPr>
              <w:t>SG&amp;A</w:t>
            </w:r>
          </w:p>
        </w:tc>
      </w:tr>
      <w:tr>
        <w:trPr>
          <w:trHeight w:val="178"/>
        </w:trPr>
        <w:tc>
          <w:tcPr>
            <w:tcW w:w="412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Impact of purchase accounting on inventory step-up</w:t>
            </w:r>
          </w:p>
        </w:tc>
        <w:tc>
          <w:tcPr>
            <w:tcW w:w="2100" w:type="dxa"/>
            <w:vAlign w:val="bottom"/>
            <w:tcBorders>
              <w:bottom w:val="single" w:sz="8" w:color="CCCCCC"/>
            </w:tcBorders>
            <w:shd w:val="clear" w:color="auto" w:fill="CCCCCC"/>
          </w:tcPr>
          <w:p>
            <w:pPr>
              <w:spacing w:after="0"/>
              <w:rPr>
                <w:sz w:val="15"/>
                <w:szCs w:val="15"/>
                <w:color w:val="auto"/>
              </w:rPr>
            </w:pPr>
          </w:p>
        </w:tc>
        <w:tc>
          <w:tcPr>
            <w:tcW w:w="15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CCCC"/>
          </w:tcPr>
          <w:p>
            <w:pPr>
              <w:spacing w:after="0"/>
              <w:rPr>
                <w:sz w:val="15"/>
                <w:szCs w:val="15"/>
                <w:color w:val="auto"/>
              </w:rPr>
            </w:pPr>
          </w:p>
        </w:tc>
        <w:tc>
          <w:tcPr>
            <w:tcW w:w="1580" w:type="dxa"/>
            <w:vAlign w:val="bottom"/>
            <w:tcBorders>
              <w:bottom w:val="single" w:sz="8" w:color="auto"/>
            </w:tcBorders>
            <w:shd w:val="clear" w:color="auto" w:fill="CCCCCC"/>
          </w:tcPr>
          <w:p>
            <w:pPr>
              <w:jc w:val="right"/>
              <w:ind w:right="66"/>
              <w:spacing w:after="0"/>
              <w:rPr>
                <w:sz w:val="20"/>
                <w:szCs w:val="20"/>
                <w:color w:val="auto"/>
              </w:rPr>
            </w:pPr>
            <w:r>
              <w:rPr>
                <w:rFonts w:ascii="Arial" w:cs="Arial" w:eastAsia="Arial" w:hAnsi="Arial"/>
                <w:sz w:val="11"/>
                <w:szCs w:val="11"/>
                <w:color w:val="auto"/>
              </w:rPr>
              <w:t>5.0</w:t>
            </w:r>
          </w:p>
        </w:tc>
        <w:tc>
          <w:tcPr>
            <w:tcW w:w="300" w:type="dxa"/>
            <w:vAlign w:val="bottom"/>
            <w:tcBorders>
              <w:bottom w:val="single" w:sz="8" w:color="CCCCCC"/>
            </w:tcBorders>
            <w:shd w:val="clear" w:color="auto" w:fill="CCCCCC"/>
          </w:tcPr>
          <w:p>
            <w:pPr>
              <w:spacing w:after="0"/>
              <w:rPr>
                <w:sz w:val="15"/>
                <w:szCs w:val="15"/>
                <w:color w:val="auto"/>
              </w:rPr>
            </w:pPr>
          </w:p>
        </w:tc>
        <w:tc>
          <w:tcPr>
            <w:tcW w:w="1500" w:type="dxa"/>
            <w:vAlign w:val="bottom"/>
            <w:tcBorders>
              <w:bottom w:val="single" w:sz="8" w:color="CCCCCC"/>
            </w:tcBorders>
            <w:shd w:val="clear" w:color="auto" w:fill="CCCCCC"/>
          </w:tcPr>
          <w:p>
            <w:pPr>
              <w:jc w:val="center"/>
              <w:ind w:right="246"/>
              <w:spacing w:after="0"/>
              <w:rPr>
                <w:sz w:val="20"/>
                <w:szCs w:val="20"/>
                <w:color w:val="auto"/>
              </w:rPr>
            </w:pPr>
            <w:r>
              <w:rPr>
                <w:rFonts w:ascii="Arial" w:cs="Arial" w:eastAsia="Arial" w:hAnsi="Arial"/>
                <w:sz w:val="11"/>
                <w:szCs w:val="11"/>
                <w:color w:val="auto"/>
                <w:w w:val="98"/>
              </w:rPr>
              <w:t>COGS</w:t>
            </w:r>
          </w:p>
        </w:tc>
      </w:tr>
      <w:tr>
        <w:trPr>
          <w:trHeight w:val="153"/>
        </w:trPr>
        <w:tc>
          <w:tcPr>
            <w:tcW w:w="4120" w:type="dxa"/>
            <w:vAlign w:val="bottom"/>
            <w:shd w:val="clear" w:color="auto" w:fill="CCCCCC"/>
          </w:tcPr>
          <w:p>
            <w:pPr>
              <w:ind w:left="20"/>
              <w:spacing w:after="0"/>
              <w:rPr>
                <w:sz w:val="20"/>
                <w:szCs w:val="20"/>
                <w:color w:val="auto"/>
              </w:rPr>
            </w:pPr>
            <w:r>
              <w:rPr>
                <w:rFonts w:ascii="Arial" w:cs="Arial" w:eastAsia="Arial" w:hAnsi="Arial"/>
                <w:sz w:val="11"/>
                <w:szCs w:val="11"/>
                <w:color w:val="auto"/>
              </w:rPr>
              <w:t>Tax effect</w:t>
            </w:r>
          </w:p>
        </w:tc>
        <w:tc>
          <w:tcPr>
            <w:tcW w:w="2100" w:type="dxa"/>
            <w:vAlign w:val="bottom"/>
            <w:shd w:val="clear" w:color="auto" w:fill="CCCCCC"/>
          </w:tcPr>
          <w:p>
            <w:pPr>
              <w:spacing w:after="0"/>
              <w:rPr>
                <w:sz w:val="13"/>
                <w:szCs w:val="13"/>
                <w:color w:val="auto"/>
              </w:rPr>
            </w:pPr>
          </w:p>
        </w:tc>
        <w:tc>
          <w:tcPr>
            <w:tcW w:w="1580" w:type="dxa"/>
            <w:vAlign w:val="bottom"/>
            <w:shd w:val="clear" w:color="auto" w:fill="CCCCCC"/>
          </w:tcPr>
          <w:p>
            <w:pPr>
              <w:jc w:val="right"/>
              <w:spacing w:after="0"/>
              <w:rPr>
                <w:sz w:val="20"/>
                <w:szCs w:val="20"/>
                <w:color w:val="auto"/>
              </w:rPr>
            </w:pPr>
            <w:r>
              <w:rPr>
                <w:rFonts w:ascii="Arial" w:cs="Arial" w:eastAsia="Arial" w:hAnsi="Arial"/>
                <w:sz w:val="11"/>
                <w:szCs w:val="11"/>
                <w:color w:val="auto"/>
              </w:rPr>
              <w:t>(3.3)</w:t>
            </w:r>
          </w:p>
        </w:tc>
        <w:tc>
          <w:tcPr>
            <w:tcW w:w="120" w:type="dxa"/>
            <w:vAlign w:val="bottom"/>
            <w:shd w:val="clear" w:color="auto" w:fill="CCCCCC"/>
          </w:tcPr>
          <w:p>
            <w:pPr>
              <w:spacing w:after="0"/>
              <w:rPr>
                <w:sz w:val="13"/>
                <w:szCs w:val="13"/>
                <w:color w:val="auto"/>
              </w:rPr>
            </w:pPr>
          </w:p>
        </w:tc>
        <w:tc>
          <w:tcPr>
            <w:tcW w:w="1580" w:type="dxa"/>
            <w:vAlign w:val="bottom"/>
            <w:shd w:val="clear" w:color="auto" w:fill="CCCCCC"/>
          </w:tcPr>
          <w:p>
            <w:pPr>
              <w:jc w:val="right"/>
              <w:ind w:right="66"/>
              <w:spacing w:after="0"/>
              <w:rPr>
                <w:sz w:val="20"/>
                <w:szCs w:val="20"/>
                <w:color w:val="auto"/>
              </w:rPr>
            </w:pPr>
            <w:r>
              <w:rPr>
                <w:rFonts w:ascii="Arial" w:cs="Arial" w:eastAsia="Arial" w:hAnsi="Arial"/>
                <w:sz w:val="11"/>
                <w:szCs w:val="11"/>
                <w:color w:val="auto"/>
              </w:rPr>
              <w:t>(5.1)</w:t>
            </w:r>
          </w:p>
        </w:tc>
        <w:tc>
          <w:tcPr>
            <w:tcW w:w="300" w:type="dxa"/>
            <w:vAlign w:val="bottom"/>
            <w:shd w:val="clear" w:color="auto" w:fill="CCCCCC"/>
          </w:tcPr>
          <w:p>
            <w:pPr>
              <w:spacing w:after="0"/>
              <w:rPr>
                <w:sz w:val="13"/>
                <w:szCs w:val="13"/>
                <w:color w:val="auto"/>
              </w:rPr>
            </w:pPr>
          </w:p>
        </w:tc>
        <w:tc>
          <w:tcPr>
            <w:tcW w:w="1500" w:type="dxa"/>
            <w:vAlign w:val="bottom"/>
            <w:shd w:val="clear" w:color="auto" w:fill="CCCCCC"/>
          </w:tcPr>
          <w:p>
            <w:pPr>
              <w:spacing w:after="0"/>
              <w:rPr>
                <w:sz w:val="13"/>
                <w:szCs w:val="13"/>
                <w:color w:val="auto"/>
              </w:rPr>
            </w:pPr>
          </w:p>
        </w:tc>
      </w:tr>
      <w:tr>
        <w:trPr>
          <w:trHeight w:val="216"/>
        </w:trPr>
        <w:tc>
          <w:tcPr>
            <w:tcW w:w="412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Total adjustments:</w:t>
            </w:r>
          </w:p>
        </w:tc>
        <w:tc>
          <w:tcPr>
            <w:tcW w:w="2100" w:type="dxa"/>
            <w:vAlign w:val="bottom"/>
            <w:tcBorders>
              <w:bottom w:val="single" w:sz="8" w:color="CCCCCC"/>
            </w:tcBorders>
            <w:shd w:val="clear" w:color="auto" w:fill="CCCCCC"/>
          </w:tcPr>
          <w:p>
            <w:pPr>
              <w:spacing w:after="0"/>
              <w:rPr>
                <w:sz w:val="18"/>
                <w:szCs w:val="18"/>
                <w:color w:val="auto"/>
              </w:rPr>
            </w:pPr>
          </w:p>
        </w:tc>
        <w:tc>
          <w:tcPr>
            <w:tcW w:w="15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1"/>
                <w:szCs w:val="11"/>
                <w:color w:val="auto"/>
              </w:rPr>
              <w:t>12.8</w:t>
            </w:r>
          </w:p>
        </w:tc>
        <w:tc>
          <w:tcPr>
            <w:tcW w:w="120" w:type="dxa"/>
            <w:vAlign w:val="bottom"/>
            <w:tcBorders>
              <w:bottom w:val="single" w:sz="8" w:color="CCCCCC"/>
            </w:tcBorders>
            <w:shd w:val="clear" w:color="auto" w:fill="CCCCCC"/>
          </w:tcPr>
          <w:p>
            <w:pPr>
              <w:spacing w:after="0"/>
              <w:rPr>
                <w:sz w:val="18"/>
                <w:szCs w:val="18"/>
                <w:color w:val="auto"/>
              </w:rPr>
            </w:pPr>
          </w:p>
        </w:tc>
        <w:tc>
          <w:tcPr>
            <w:tcW w:w="1580" w:type="dxa"/>
            <w:vAlign w:val="bottom"/>
            <w:tcBorders>
              <w:bottom w:val="single" w:sz="8" w:color="CCCCCC"/>
            </w:tcBorders>
            <w:shd w:val="clear" w:color="auto" w:fill="CCCCCC"/>
          </w:tcPr>
          <w:p>
            <w:pPr>
              <w:jc w:val="right"/>
              <w:ind w:right="66"/>
              <w:spacing w:after="0"/>
              <w:rPr>
                <w:sz w:val="20"/>
                <w:szCs w:val="20"/>
                <w:color w:val="auto"/>
              </w:rPr>
            </w:pPr>
            <w:r>
              <w:rPr>
                <w:rFonts w:ascii="Arial" w:cs="Arial" w:eastAsia="Arial" w:hAnsi="Arial"/>
                <w:sz w:val="11"/>
                <w:szCs w:val="11"/>
                <w:color w:val="auto"/>
              </w:rPr>
              <w:t>20.8</w:t>
            </w:r>
          </w:p>
        </w:tc>
        <w:tc>
          <w:tcPr>
            <w:tcW w:w="300" w:type="dxa"/>
            <w:vAlign w:val="bottom"/>
            <w:tcBorders>
              <w:bottom w:val="single" w:sz="8" w:color="CCCCCC"/>
            </w:tcBorders>
            <w:shd w:val="clear" w:color="auto" w:fill="CCCCCC"/>
          </w:tcPr>
          <w:p>
            <w:pPr>
              <w:spacing w:after="0"/>
              <w:rPr>
                <w:sz w:val="18"/>
                <w:szCs w:val="18"/>
                <w:color w:val="auto"/>
              </w:rPr>
            </w:pPr>
          </w:p>
        </w:tc>
        <w:tc>
          <w:tcPr>
            <w:tcW w:w="1500" w:type="dxa"/>
            <w:vAlign w:val="bottom"/>
            <w:tcBorders>
              <w:bottom w:val="single" w:sz="8" w:color="CCCCCC"/>
            </w:tcBorders>
            <w:shd w:val="clear" w:color="auto" w:fill="CCCCCC"/>
          </w:tcPr>
          <w:p>
            <w:pPr>
              <w:spacing w:after="0"/>
              <w:rPr>
                <w:sz w:val="18"/>
                <w:szCs w:val="18"/>
                <w:color w:val="auto"/>
              </w:rPr>
            </w:pPr>
          </w:p>
        </w:tc>
      </w:tr>
      <w:tr>
        <w:trPr>
          <w:trHeight w:val="174"/>
        </w:trPr>
        <w:tc>
          <w:tcPr>
            <w:tcW w:w="4120" w:type="dxa"/>
            <w:vAlign w:val="bottom"/>
            <w:tcBorders>
              <w:top w:val="single" w:sz="8" w:color="CCCCCC"/>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Adjusted net income (loss)</w:t>
            </w:r>
          </w:p>
        </w:tc>
        <w:tc>
          <w:tcPr>
            <w:tcW w:w="2100" w:type="dxa"/>
            <w:vAlign w:val="bottom"/>
            <w:tcBorders>
              <w:top w:val="single" w:sz="8" w:color="CCCCCC"/>
              <w:bottom w:val="single" w:sz="8" w:color="CCCCCC"/>
            </w:tcBorders>
            <w:shd w:val="clear" w:color="auto" w:fill="CCCCCC"/>
          </w:tcPr>
          <w:p>
            <w:pPr>
              <w:spacing w:after="0"/>
              <w:rPr>
                <w:sz w:val="14"/>
                <w:szCs w:val="14"/>
                <w:color w:val="auto"/>
              </w:rPr>
            </w:pPr>
          </w:p>
        </w:tc>
        <w:tc>
          <w:tcPr>
            <w:tcW w:w="1580" w:type="dxa"/>
            <w:vAlign w:val="bottom"/>
            <w:tcBorders>
              <w:top w:val="single" w:sz="8" w:color="auto"/>
              <w:bottom w:val="single" w:sz="8" w:color="CCCCCC"/>
            </w:tcBorders>
            <w:shd w:val="clear" w:color="auto" w:fill="CCCCCC"/>
          </w:tcPr>
          <w:p>
            <w:pPr>
              <w:jc w:val="right"/>
              <w:spacing w:after="0"/>
              <w:rPr>
                <w:sz w:val="20"/>
                <w:szCs w:val="20"/>
                <w:color w:val="auto"/>
              </w:rPr>
            </w:pPr>
            <w:r>
              <w:rPr>
                <w:rFonts w:ascii="Arial" w:cs="Arial" w:eastAsia="Arial" w:hAnsi="Arial"/>
                <w:sz w:val="11"/>
                <w:szCs w:val="11"/>
                <w:color w:val="auto"/>
              </w:rPr>
              <w:t>$0.3</w:t>
            </w:r>
          </w:p>
        </w:tc>
        <w:tc>
          <w:tcPr>
            <w:tcW w:w="120" w:type="dxa"/>
            <w:vAlign w:val="bottom"/>
            <w:tcBorders>
              <w:top w:val="single" w:sz="8" w:color="auto"/>
              <w:bottom w:val="single" w:sz="8" w:color="CCCCCC"/>
            </w:tcBorders>
            <w:shd w:val="clear" w:color="auto" w:fill="CCCCCC"/>
          </w:tcPr>
          <w:p>
            <w:pPr>
              <w:spacing w:after="0"/>
              <w:rPr>
                <w:sz w:val="14"/>
                <w:szCs w:val="14"/>
                <w:color w:val="auto"/>
              </w:rPr>
            </w:pPr>
          </w:p>
        </w:tc>
        <w:tc>
          <w:tcPr>
            <w:tcW w:w="1580" w:type="dxa"/>
            <w:vAlign w:val="bottom"/>
            <w:tcBorders>
              <w:top w:val="single" w:sz="8" w:color="auto"/>
              <w:bottom w:val="single" w:sz="8" w:color="CCCCCC"/>
            </w:tcBorders>
            <w:shd w:val="clear" w:color="auto" w:fill="CCCCCC"/>
          </w:tcPr>
          <w:p>
            <w:pPr>
              <w:jc w:val="right"/>
              <w:ind w:right="66"/>
              <w:spacing w:after="0"/>
              <w:rPr>
                <w:sz w:val="20"/>
                <w:szCs w:val="20"/>
                <w:color w:val="auto"/>
              </w:rPr>
            </w:pPr>
            <w:r>
              <w:rPr>
                <w:rFonts w:ascii="Arial" w:cs="Arial" w:eastAsia="Arial" w:hAnsi="Arial"/>
                <w:sz w:val="11"/>
                <w:szCs w:val="11"/>
                <w:color w:val="auto"/>
              </w:rPr>
              <w:t>($5.2)</w:t>
            </w:r>
          </w:p>
        </w:tc>
        <w:tc>
          <w:tcPr>
            <w:tcW w:w="300" w:type="dxa"/>
            <w:vAlign w:val="bottom"/>
            <w:tcBorders>
              <w:top w:val="single" w:sz="8" w:color="CCCCCC"/>
              <w:bottom w:val="single" w:sz="8" w:color="CCCCCC"/>
            </w:tcBorders>
            <w:shd w:val="clear" w:color="auto" w:fill="CCCCCC"/>
          </w:tcPr>
          <w:p>
            <w:pPr>
              <w:spacing w:after="0"/>
              <w:rPr>
                <w:sz w:val="14"/>
                <w:szCs w:val="14"/>
                <w:color w:val="auto"/>
              </w:rPr>
            </w:pPr>
          </w:p>
        </w:tc>
        <w:tc>
          <w:tcPr>
            <w:tcW w:w="1500" w:type="dxa"/>
            <w:vAlign w:val="bottom"/>
            <w:tcBorders>
              <w:top w:val="single" w:sz="8" w:color="CCCCCC"/>
              <w:bottom w:val="single" w:sz="8" w:color="CCCCCC"/>
            </w:tcBorders>
            <w:shd w:val="clear" w:color="auto" w:fill="CCCCCC"/>
          </w:tcPr>
          <w:p>
            <w:pPr>
              <w:spacing w:after="0"/>
              <w:rPr>
                <w:sz w:val="14"/>
                <w:szCs w:val="14"/>
                <w:color w:val="auto"/>
              </w:rPr>
            </w:pPr>
          </w:p>
        </w:tc>
      </w:tr>
      <w:tr>
        <w:trPr>
          <w:trHeight w:val="149"/>
        </w:trPr>
        <w:tc>
          <w:tcPr>
            <w:tcW w:w="4120" w:type="dxa"/>
            <w:vAlign w:val="bottom"/>
            <w:tcBorders>
              <w:top w:val="single" w:sz="8" w:color="CCCCCC"/>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Adjusted net income (loss) per diluted share</w:t>
            </w:r>
          </w:p>
        </w:tc>
        <w:tc>
          <w:tcPr>
            <w:tcW w:w="2100" w:type="dxa"/>
            <w:vAlign w:val="bottom"/>
            <w:tcBorders>
              <w:top w:val="single" w:sz="8" w:color="CCCCCC"/>
              <w:bottom w:val="single" w:sz="8" w:color="CCCCCC"/>
            </w:tcBorders>
            <w:shd w:val="clear" w:color="auto" w:fill="CCCCCC"/>
          </w:tcPr>
          <w:p>
            <w:pPr>
              <w:spacing w:after="0"/>
              <w:rPr>
                <w:sz w:val="12"/>
                <w:szCs w:val="12"/>
                <w:color w:val="auto"/>
              </w:rPr>
            </w:pPr>
          </w:p>
        </w:tc>
        <w:tc>
          <w:tcPr>
            <w:tcW w:w="1580" w:type="dxa"/>
            <w:vAlign w:val="bottom"/>
            <w:tcBorders>
              <w:top w:val="single" w:sz="8" w:color="auto"/>
              <w:bottom w:val="single" w:sz="8" w:color="CCCCCC"/>
            </w:tcBorders>
            <w:shd w:val="clear" w:color="auto" w:fill="CCCCCC"/>
          </w:tcPr>
          <w:p>
            <w:pPr>
              <w:jc w:val="right"/>
              <w:spacing w:after="0"/>
              <w:rPr>
                <w:sz w:val="20"/>
                <w:szCs w:val="20"/>
                <w:color w:val="auto"/>
              </w:rPr>
            </w:pPr>
            <w:r>
              <w:rPr>
                <w:rFonts w:ascii="Arial" w:cs="Arial" w:eastAsia="Arial" w:hAnsi="Arial"/>
                <w:sz w:val="11"/>
                <w:szCs w:val="11"/>
                <w:color w:val="auto"/>
              </w:rPr>
              <w:t>$0.01</w:t>
            </w:r>
          </w:p>
        </w:tc>
        <w:tc>
          <w:tcPr>
            <w:tcW w:w="120" w:type="dxa"/>
            <w:vAlign w:val="bottom"/>
            <w:tcBorders>
              <w:top w:val="single" w:sz="8" w:color="auto"/>
              <w:bottom w:val="single" w:sz="8" w:color="CCCCCC"/>
            </w:tcBorders>
            <w:shd w:val="clear" w:color="auto" w:fill="CCCCCC"/>
          </w:tcPr>
          <w:p>
            <w:pPr>
              <w:spacing w:after="0"/>
              <w:rPr>
                <w:sz w:val="12"/>
                <w:szCs w:val="12"/>
                <w:color w:val="auto"/>
              </w:rPr>
            </w:pPr>
          </w:p>
        </w:tc>
        <w:tc>
          <w:tcPr>
            <w:tcW w:w="1580" w:type="dxa"/>
            <w:vAlign w:val="bottom"/>
            <w:tcBorders>
              <w:top w:val="single" w:sz="8" w:color="auto"/>
              <w:bottom w:val="single" w:sz="8" w:color="CCCCCC"/>
            </w:tcBorders>
            <w:shd w:val="clear" w:color="auto" w:fill="CCCCCC"/>
          </w:tcPr>
          <w:p>
            <w:pPr>
              <w:jc w:val="right"/>
              <w:ind w:right="66"/>
              <w:spacing w:after="0"/>
              <w:rPr>
                <w:sz w:val="20"/>
                <w:szCs w:val="20"/>
                <w:color w:val="auto"/>
              </w:rPr>
            </w:pPr>
            <w:r>
              <w:rPr>
                <w:rFonts w:ascii="Arial" w:cs="Arial" w:eastAsia="Arial" w:hAnsi="Arial"/>
                <w:sz w:val="11"/>
                <w:szCs w:val="11"/>
                <w:color w:val="auto"/>
              </w:rPr>
              <w:t>($0.10)</w:t>
            </w:r>
          </w:p>
        </w:tc>
        <w:tc>
          <w:tcPr>
            <w:tcW w:w="300" w:type="dxa"/>
            <w:vAlign w:val="bottom"/>
            <w:tcBorders>
              <w:top w:val="single" w:sz="8" w:color="CCCCCC"/>
              <w:bottom w:val="single" w:sz="8" w:color="CCCCCC"/>
            </w:tcBorders>
            <w:shd w:val="clear" w:color="auto" w:fill="CCCCCC"/>
          </w:tcPr>
          <w:p>
            <w:pPr>
              <w:spacing w:after="0"/>
              <w:rPr>
                <w:sz w:val="12"/>
                <w:szCs w:val="12"/>
                <w:color w:val="auto"/>
              </w:rPr>
            </w:pPr>
          </w:p>
        </w:tc>
        <w:tc>
          <w:tcPr>
            <w:tcW w:w="1500" w:type="dxa"/>
            <w:vAlign w:val="bottom"/>
            <w:tcBorders>
              <w:top w:val="single" w:sz="8" w:color="CCCCCC"/>
              <w:bottom w:val="single" w:sz="8" w:color="CCCCCC"/>
            </w:tcBorders>
            <w:shd w:val="clear" w:color="auto" w:fill="CCCCCC"/>
          </w:tcPr>
          <w:p>
            <w:pPr>
              <w:spacing w:after="0"/>
              <w:rPr>
                <w:sz w:val="12"/>
                <w:szCs w:val="12"/>
                <w:color w:val="auto"/>
              </w:rPr>
            </w:pPr>
          </w:p>
        </w:tc>
      </w:tr>
      <w:tr>
        <w:trPr>
          <w:trHeight w:val="572"/>
        </w:trPr>
        <w:tc>
          <w:tcPr>
            <w:tcW w:w="4120" w:type="dxa"/>
            <w:vAlign w:val="bottom"/>
          </w:tcPr>
          <w:p>
            <w:pPr>
              <w:spacing w:after="0"/>
              <w:rPr>
                <w:sz w:val="24"/>
                <w:szCs w:val="24"/>
                <w:color w:val="auto"/>
              </w:rPr>
            </w:pPr>
          </w:p>
        </w:tc>
        <w:tc>
          <w:tcPr>
            <w:tcW w:w="3800" w:type="dxa"/>
            <w:vAlign w:val="bottom"/>
            <w:gridSpan w:val="3"/>
          </w:tcPr>
          <w:p>
            <w:pPr>
              <w:jc w:val="right"/>
              <w:ind w:right="2066"/>
              <w:spacing w:after="0"/>
              <w:rPr>
                <w:sz w:val="20"/>
                <w:szCs w:val="20"/>
                <w:color w:val="auto"/>
              </w:rPr>
            </w:pPr>
            <w:r>
              <w:rPr>
                <w:rFonts w:ascii="Arial" w:cs="Arial" w:eastAsia="Arial" w:hAnsi="Arial"/>
                <w:sz w:val="11"/>
                <w:szCs w:val="11"/>
                <w:color w:val="auto"/>
              </w:rPr>
              <w:t>9 of 11</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300"/>
          </w:cols>
          <w:pgMar w:left="300" w:top="341" w:right="299" w:bottom="1440" w:gutter="0" w:footer="0" w:header="0"/>
        </w:sectPr>
      </w:pPr>
    </w:p>
    <w:bookmarkStart w:id="11" w:name="page12"/>
    <w:bookmarkEnd w:id="1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140" w:type="dxa"/>
            <w:vAlign w:val="bottom"/>
            <w:shd w:val="clear" w:color="auto" w:fill="0F243E"/>
          </w:tcPr>
          <w:p>
            <w:pPr>
              <w:spacing w:after="0"/>
              <w:rPr>
                <w:sz w:val="12"/>
                <w:szCs w:val="12"/>
                <w:color w:val="auto"/>
              </w:rPr>
            </w:pPr>
          </w:p>
        </w:tc>
        <w:tc>
          <w:tcPr>
            <w:tcW w:w="5000" w:type="dxa"/>
            <w:vAlign w:val="bottom"/>
            <w:gridSpan w:val="2"/>
            <w:shd w:val="clear" w:color="auto" w:fill="0F243E"/>
          </w:tcPr>
          <w:p>
            <w:pPr>
              <w:ind w:left="2280"/>
              <w:spacing w:after="0"/>
              <w:rPr>
                <w:sz w:val="20"/>
                <w:szCs w:val="20"/>
                <w:color w:val="auto"/>
              </w:rPr>
            </w:pPr>
            <w:r>
              <w:rPr>
                <w:rFonts w:ascii="Arial" w:cs="Arial" w:eastAsia="Arial" w:hAnsi="Arial"/>
                <w:sz w:val="11"/>
                <w:szCs w:val="11"/>
                <w:b w:val="1"/>
                <w:bCs w:val="1"/>
                <w:color w:val="FFFFFF"/>
              </w:rPr>
              <w:t>Full Year</w:t>
            </w:r>
          </w:p>
        </w:tc>
      </w:tr>
      <w:tr>
        <w:trPr>
          <w:trHeight w:val="142"/>
        </w:trPr>
        <w:tc>
          <w:tcPr>
            <w:tcW w:w="6140" w:type="dxa"/>
            <w:vAlign w:val="bottom"/>
            <w:shd w:val="clear" w:color="auto" w:fill="0F243E"/>
          </w:tcPr>
          <w:p>
            <w:pPr>
              <w:spacing w:after="0"/>
              <w:rPr>
                <w:sz w:val="12"/>
                <w:szCs w:val="12"/>
                <w:color w:val="auto"/>
              </w:rPr>
            </w:pPr>
          </w:p>
        </w:tc>
        <w:tc>
          <w:tcPr>
            <w:tcW w:w="5000" w:type="dxa"/>
            <w:vAlign w:val="bottom"/>
            <w:gridSpan w:val="2"/>
            <w:shd w:val="clear" w:color="auto" w:fill="0F243E"/>
          </w:tcPr>
          <w:p>
            <w:pPr>
              <w:ind w:left="2280"/>
              <w:spacing w:after="0"/>
              <w:rPr>
                <w:sz w:val="20"/>
                <w:szCs w:val="20"/>
                <w:color w:val="auto"/>
              </w:rPr>
            </w:pPr>
            <w:r>
              <w:rPr>
                <w:rFonts w:ascii="Arial" w:cs="Arial" w:eastAsia="Arial" w:hAnsi="Arial"/>
                <w:sz w:val="11"/>
                <w:szCs w:val="11"/>
                <w:b w:val="1"/>
                <w:bCs w:val="1"/>
                <w:color w:val="FFFFFF"/>
              </w:rPr>
              <w:t>Forecast</w:t>
            </w:r>
          </w:p>
        </w:tc>
      </w:tr>
      <w:tr>
        <w:trPr>
          <w:trHeight w:val="184"/>
        </w:trPr>
        <w:tc>
          <w:tcPr>
            <w:tcW w:w="6140" w:type="dxa"/>
            <w:vAlign w:val="bottom"/>
            <w:shd w:val="clear" w:color="auto" w:fill="0F243E"/>
          </w:tcPr>
          <w:p>
            <w:pPr>
              <w:ind w:left="40"/>
              <w:spacing w:after="0"/>
              <w:rPr>
                <w:sz w:val="20"/>
                <w:szCs w:val="20"/>
                <w:color w:val="auto"/>
              </w:rPr>
            </w:pPr>
            <w:r>
              <w:rPr>
                <w:rFonts w:ascii="Arial" w:cs="Arial" w:eastAsia="Arial" w:hAnsi="Arial"/>
                <w:sz w:val="11"/>
                <w:szCs w:val="11"/>
                <w:i w:val="1"/>
                <w:iCs w:val="1"/>
                <w:color w:val="FFFFFF"/>
              </w:rPr>
              <w:t>(in millions)</w:t>
            </w:r>
          </w:p>
        </w:tc>
        <w:tc>
          <w:tcPr>
            <w:tcW w:w="2560" w:type="dxa"/>
            <w:vAlign w:val="bottom"/>
            <w:shd w:val="clear" w:color="auto" w:fill="0F243E"/>
          </w:tcPr>
          <w:p>
            <w:pPr>
              <w:jc w:val="right"/>
              <w:ind w:right="1066"/>
              <w:spacing w:after="0"/>
              <w:rPr>
                <w:sz w:val="20"/>
                <w:szCs w:val="20"/>
                <w:color w:val="auto"/>
              </w:rPr>
            </w:pPr>
            <w:r>
              <w:rPr>
                <w:rFonts w:ascii="Arial" w:cs="Arial" w:eastAsia="Arial" w:hAnsi="Arial"/>
                <w:sz w:val="11"/>
                <w:szCs w:val="11"/>
                <w:b w:val="1"/>
                <w:bCs w:val="1"/>
                <w:color w:val="FFFFFF"/>
              </w:rPr>
              <w:t>2020F</w:t>
            </w:r>
          </w:p>
        </w:tc>
        <w:tc>
          <w:tcPr>
            <w:tcW w:w="2440" w:type="dxa"/>
            <w:vAlign w:val="bottom"/>
            <w:shd w:val="clear" w:color="auto" w:fill="0F243E"/>
          </w:tcPr>
          <w:p>
            <w:pPr>
              <w:jc w:val="center"/>
              <w:spacing w:after="0"/>
              <w:rPr>
                <w:sz w:val="20"/>
                <w:szCs w:val="20"/>
                <w:color w:val="auto"/>
              </w:rPr>
            </w:pPr>
            <w:r>
              <w:rPr>
                <w:rFonts w:ascii="Arial" w:cs="Arial" w:eastAsia="Arial" w:hAnsi="Arial"/>
                <w:sz w:val="11"/>
                <w:szCs w:val="11"/>
                <w:b w:val="1"/>
                <w:bCs w:val="1"/>
                <w:color w:val="FFFFFF"/>
                <w:w w:val="96"/>
              </w:rPr>
              <w:t>Source</w:t>
            </w:r>
          </w:p>
        </w:tc>
      </w:tr>
      <w:tr>
        <w:trPr>
          <w:trHeight w:val="167"/>
        </w:trPr>
        <w:tc>
          <w:tcPr>
            <w:tcW w:w="6140" w:type="dxa"/>
            <w:vAlign w:val="bottom"/>
            <w:shd w:val="clear" w:color="auto" w:fill="CCCCCC"/>
          </w:tcPr>
          <w:p>
            <w:pPr>
              <w:ind w:left="40"/>
              <w:spacing w:after="0"/>
              <w:rPr>
                <w:sz w:val="20"/>
                <w:szCs w:val="20"/>
                <w:color w:val="auto"/>
              </w:rPr>
            </w:pPr>
            <w:r>
              <w:rPr>
                <w:rFonts w:ascii="Arial" w:cs="Arial" w:eastAsia="Arial" w:hAnsi="Arial"/>
                <w:sz w:val="11"/>
                <w:szCs w:val="11"/>
                <w:color w:val="auto"/>
              </w:rPr>
              <w:t>Net income</w:t>
            </w:r>
          </w:p>
        </w:tc>
        <w:tc>
          <w:tcPr>
            <w:tcW w:w="2560" w:type="dxa"/>
            <w:vAlign w:val="bottom"/>
            <w:shd w:val="clear" w:color="auto" w:fill="CCCCCC"/>
          </w:tcPr>
          <w:p>
            <w:pPr>
              <w:jc w:val="right"/>
              <w:spacing w:after="0"/>
              <w:rPr>
                <w:sz w:val="20"/>
                <w:szCs w:val="20"/>
                <w:color w:val="auto"/>
              </w:rPr>
            </w:pPr>
            <w:r>
              <w:rPr>
                <w:rFonts w:ascii="Arial" w:cs="Arial" w:eastAsia="Arial" w:hAnsi="Arial"/>
                <w:sz w:val="11"/>
                <w:szCs w:val="11"/>
                <w:color w:val="auto"/>
              </w:rPr>
              <w:t>$105 - $155</w:t>
            </w:r>
          </w:p>
        </w:tc>
        <w:tc>
          <w:tcPr>
            <w:tcW w:w="2440" w:type="dxa"/>
            <w:vAlign w:val="bottom"/>
            <w:shd w:val="clear" w:color="auto" w:fill="CCCCCC"/>
          </w:tcPr>
          <w:p>
            <w:pPr>
              <w:spacing w:after="0"/>
              <w:rPr>
                <w:sz w:val="14"/>
                <w:szCs w:val="14"/>
                <w:color w:val="auto"/>
              </w:rPr>
            </w:pPr>
          </w:p>
        </w:tc>
      </w:tr>
      <w:tr>
        <w:trPr>
          <w:trHeight w:val="180"/>
        </w:trPr>
        <w:tc>
          <w:tcPr>
            <w:tcW w:w="6140" w:type="dxa"/>
            <w:vAlign w:val="bottom"/>
            <w:shd w:val="clear" w:color="auto" w:fill="CCCCCC"/>
          </w:tcPr>
          <w:p>
            <w:pPr>
              <w:ind w:left="40"/>
              <w:spacing w:after="0"/>
              <w:rPr>
                <w:sz w:val="20"/>
                <w:szCs w:val="20"/>
                <w:color w:val="auto"/>
              </w:rPr>
            </w:pPr>
            <w:r>
              <w:rPr>
                <w:rFonts w:ascii="Arial" w:cs="Arial" w:eastAsia="Arial" w:hAnsi="Arial"/>
                <w:sz w:val="11"/>
                <w:szCs w:val="11"/>
                <w:color w:val="auto"/>
              </w:rPr>
              <w:t>Adjustments:</w:t>
            </w:r>
          </w:p>
        </w:tc>
        <w:tc>
          <w:tcPr>
            <w:tcW w:w="2560" w:type="dxa"/>
            <w:vAlign w:val="bottom"/>
            <w:shd w:val="clear" w:color="auto" w:fill="CCCCCC"/>
          </w:tcPr>
          <w:p>
            <w:pPr>
              <w:spacing w:after="0"/>
              <w:rPr>
                <w:sz w:val="15"/>
                <w:szCs w:val="15"/>
                <w:color w:val="auto"/>
              </w:rPr>
            </w:pPr>
          </w:p>
        </w:tc>
        <w:tc>
          <w:tcPr>
            <w:tcW w:w="2440" w:type="dxa"/>
            <w:vAlign w:val="bottom"/>
            <w:shd w:val="clear" w:color="auto" w:fill="CCCCCC"/>
          </w:tcPr>
          <w:p>
            <w:pPr>
              <w:spacing w:after="0"/>
              <w:rPr>
                <w:sz w:val="15"/>
                <w:szCs w:val="15"/>
                <w:color w:val="auto"/>
              </w:rPr>
            </w:pPr>
          </w:p>
        </w:tc>
      </w:tr>
      <w:tr>
        <w:trPr>
          <w:trHeight w:val="171"/>
        </w:trPr>
        <w:tc>
          <w:tcPr>
            <w:tcW w:w="614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Acquisition-related costs (transaction &amp; integration)</w:t>
            </w:r>
          </w:p>
        </w:tc>
        <w:tc>
          <w:tcPr>
            <w:tcW w:w="2560" w:type="dxa"/>
            <w:vAlign w:val="bottom"/>
            <w:shd w:val="clear" w:color="auto" w:fill="CCCCCC"/>
          </w:tcPr>
          <w:p>
            <w:pPr>
              <w:jc w:val="right"/>
              <w:spacing w:after="0"/>
              <w:rPr>
                <w:sz w:val="20"/>
                <w:szCs w:val="20"/>
                <w:color w:val="auto"/>
              </w:rPr>
            </w:pPr>
            <w:r>
              <w:rPr>
                <w:rFonts w:ascii="Arial" w:cs="Arial" w:eastAsia="Arial" w:hAnsi="Arial"/>
                <w:sz w:val="11"/>
                <w:szCs w:val="11"/>
                <w:color w:val="auto"/>
              </w:rPr>
              <w:t>4</w:t>
            </w:r>
          </w:p>
        </w:tc>
        <w:tc>
          <w:tcPr>
            <w:tcW w:w="244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7"/>
              </w:rPr>
              <w:t>SG&amp;A</w:t>
            </w:r>
          </w:p>
        </w:tc>
      </w:tr>
      <w:tr>
        <w:trPr>
          <w:trHeight w:val="171"/>
        </w:trPr>
        <w:tc>
          <w:tcPr>
            <w:tcW w:w="614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Non-cash amortization charges</w:t>
            </w:r>
          </w:p>
        </w:tc>
        <w:tc>
          <w:tcPr>
            <w:tcW w:w="2560" w:type="dxa"/>
            <w:vAlign w:val="bottom"/>
            <w:shd w:val="clear" w:color="auto" w:fill="CCCCCC"/>
          </w:tcPr>
          <w:p>
            <w:pPr>
              <w:jc w:val="right"/>
              <w:spacing w:after="0"/>
              <w:rPr>
                <w:sz w:val="20"/>
                <w:szCs w:val="20"/>
                <w:color w:val="auto"/>
              </w:rPr>
            </w:pPr>
            <w:r>
              <w:rPr>
                <w:rFonts w:ascii="Arial" w:cs="Arial" w:eastAsia="Arial" w:hAnsi="Arial"/>
                <w:sz w:val="11"/>
                <w:szCs w:val="11"/>
                <w:color w:val="auto"/>
              </w:rPr>
              <w:t>64</w:t>
            </w:r>
          </w:p>
        </w:tc>
        <w:tc>
          <w:tcPr>
            <w:tcW w:w="244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8"/>
              </w:rPr>
              <w:t>Intangible Asset Amortization, Other Income</w:t>
            </w:r>
          </w:p>
        </w:tc>
      </w:tr>
      <w:tr>
        <w:trPr>
          <w:trHeight w:val="171"/>
        </w:trPr>
        <w:tc>
          <w:tcPr>
            <w:tcW w:w="614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Change in fair value of contingent consideration</w:t>
            </w:r>
          </w:p>
        </w:tc>
        <w:tc>
          <w:tcPr>
            <w:tcW w:w="2560" w:type="dxa"/>
            <w:vAlign w:val="bottom"/>
            <w:shd w:val="clear" w:color="auto" w:fill="CCCCCC"/>
          </w:tcPr>
          <w:p>
            <w:pPr>
              <w:jc w:val="right"/>
              <w:spacing w:after="0"/>
              <w:rPr>
                <w:sz w:val="20"/>
                <w:szCs w:val="20"/>
                <w:color w:val="auto"/>
              </w:rPr>
            </w:pPr>
            <w:r>
              <w:rPr>
                <w:rFonts w:ascii="Arial" w:cs="Arial" w:eastAsia="Arial" w:hAnsi="Arial"/>
                <w:sz w:val="11"/>
                <w:szCs w:val="11"/>
                <w:color w:val="auto"/>
              </w:rPr>
              <w:t>1</w:t>
            </w:r>
          </w:p>
        </w:tc>
        <w:tc>
          <w:tcPr>
            <w:tcW w:w="244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8"/>
              </w:rPr>
              <w:t>COGS</w:t>
            </w:r>
          </w:p>
        </w:tc>
      </w:tr>
      <w:tr>
        <w:trPr>
          <w:trHeight w:val="180"/>
        </w:trPr>
        <w:tc>
          <w:tcPr>
            <w:tcW w:w="6140" w:type="dxa"/>
            <w:vAlign w:val="bottom"/>
            <w:shd w:val="clear" w:color="auto" w:fill="CCCCCC"/>
          </w:tcPr>
          <w:p>
            <w:pPr>
              <w:ind w:left="40"/>
              <w:spacing w:after="0"/>
              <w:rPr>
                <w:sz w:val="20"/>
                <w:szCs w:val="20"/>
                <w:color w:val="auto"/>
              </w:rPr>
            </w:pPr>
            <w:r>
              <w:rPr>
                <w:rFonts w:ascii="Arial" w:cs="Arial" w:eastAsia="Arial" w:hAnsi="Arial"/>
                <w:sz w:val="11"/>
                <w:szCs w:val="11"/>
                <w:color w:val="auto"/>
              </w:rPr>
              <w:t>Tax effect</w:t>
            </w:r>
          </w:p>
        </w:tc>
        <w:tc>
          <w:tcPr>
            <w:tcW w:w="2560" w:type="dxa"/>
            <w:vAlign w:val="bottom"/>
            <w:shd w:val="clear" w:color="auto" w:fill="CCCCCC"/>
          </w:tcPr>
          <w:p>
            <w:pPr>
              <w:jc w:val="right"/>
              <w:spacing w:after="0"/>
              <w:rPr>
                <w:sz w:val="20"/>
                <w:szCs w:val="20"/>
                <w:color w:val="auto"/>
              </w:rPr>
            </w:pPr>
            <w:r>
              <w:rPr>
                <w:rFonts w:ascii="Arial" w:cs="Arial" w:eastAsia="Arial" w:hAnsi="Arial"/>
                <w:sz w:val="11"/>
                <w:szCs w:val="11"/>
                <w:color w:val="auto"/>
              </w:rPr>
              <w:t>(14)</w:t>
            </w:r>
          </w:p>
        </w:tc>
        <w:tc>
          <w:tcPr>
            <w:tcW w:w="2440" w:type="dxa"/>
            <w:vAlign w:val="bottom"/>
            <w:shd w:val="clear" w:color="auto" w:fill="CCCCCC"/>
          </w:tcPr>
          <w:p>
            <w:pPr>
              <w:spacing w:after="0"/>
              <w:rPr>
                <w:sz w:val="15"/>
                <w:szCs w:val="15"/>
                <w:color w:val="auto"/>
              </w:rPr>
            </w:pPr>
          </w:p>
        </w:tc>
      </w:tr>
      <w:tr>
        <w:trPr>
          <w:trHeight w:val="216"/>
        </w:trPr>
        <w:tc>
          <w:tcPr>
            <w:tcW w:w="614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1"/>
                <w:szCs w:val="11"/>
                <w:color w:val="auto"/>
              </w:rPr>
              <w:t>Total adjustments:</w:t>
            </w:r>
          </w:p>
        </w:tc>
        <w:tc>
          <w:tcPr>
            <w:tcW w:w="256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1"/>
                <w:szCs w:val="11"/>
                <w:color w:val="auto"/>
              </w:rPr>
              <w:t>55</w:t>
            </w:r>
          </w:p>
        </w:tc>
        <w:tc>
          <w:tcPr>
            <w:tcW w:w="2440" w:type="dxa"/>
            <w:vAlign w:val="bottom"/>
            <w:tcBorders>
              <w:bottom w:val="single" w:sz="8" w:color="CCCCCC"/>
            </w:tcBorders>
            <w:shd w:val="clear" w:color="auto" w:fill="CCCCCC"/>
          </w:tcPr>
          <w:p>
            <w:pPr>
              <w:spacing w:after="0"/>
              <w:rPr>
                <w:sz w:val="18"/>
                <w:szCs w:val="18"/>
                <w:color w:val="auto"/>
              </w:rPr>
            </w:pPr>
          </w:p>
        </w:tc>
      </w:tr>
      <w:tr>
        <w:trPr>
          <w:trHeight w:val="149"/>
        </w:trPr>
        <w:tc>
          <w:tcPr>
            <w:tcW w:w="6140" w:type="dxa"/>
            <w:vAlign w:val="bottom"/>
            <w:tcBorders>
              <w:top w:val="single" w:sz="8" w:color="CCCCCC"/>
              <w:bottom w:val="single" w:sz="8" w:color="CCCCCC"/>
            </w:tcBorders>
            <w:shd w:val="clear" w:color="auto" w:fill="CCCCCC"/>
          </w:tcPr>
          <w:p>
            <w:pPr>
              <w:ind w:left="40"/>
              <w:spacing w:after="0"/>
              <w:rPr>
                <w:sz w:val="20"/>
                <w:szCs w:val="20"/>
                <w:color w:val="auto"/>
              </w:rPr>
            </w:pPr>
            <w:r>
              <w:rPr>
                <w:rFonts w:ascii="Arial" w:cs="Arial" w:eastAsia="Arial" w:hAnsi="Arial"/>
                <w:sz w:val="11"/>
                <w:szCs w:val="11"/>
                <w:color w:val="auto"/>
              </w:rPr>
              <w:t>Adjusted net income</w:t>
            </w:r>
          </w:p>
        </w:tc>
        <w:tc>
          <w:tcPr>
            <w:tcW w:w="2560" w:type="dxa"/>
            <w:vAlign w:val="bottom"/>
            <w:tcBorders>
              <w:top w:val="single" w:sz="8" w:color="auto"/>
              <w:bottom w:val="single" w:sz="8" w:color="CCCCCC"/>
            </w:tcBorders>
            <w:shd w:val="clear" w:color="auto" w:fill="CCCCCC"/>
          </w:tcPr>
          <w:p>
            <w:pPr>
              <w:jc w:val="right"/>
              <w:spacing w:after="0"/>
              <w:rPr>
                <w:sz w:val="20"/>
                <w:szCs w:val="20"/>
                <w:color w:val="auto"/>
              </w:rPr>
            </w:pPr>
            <w:r>
              <w:rPr>
                <w:rFonts w:ascii="Arial" w:cs="Arial" w:eastAsia="Arial" w:hAnsi="Arial"/>
                <w:sz w:val="11"/>
                <w:szCs w:val="11"/>
                <w:color w:val="auto"/>
              </w:rPr>
              <w:t>$160 - $210</w:t>
            </w:r>
          </w:p>
        </w:tc>
        <w:tc>
          <w:tcPr>
            <w:tcW w:w="2440" w:type="dxa"/>
            <w:vAlign w:val="bottom"/>
            <w:tcBorders>
              <w:top w:val="single" w:sz="8" w:color="CCCCCC"/>
              <w:bottom w:val="single" w:sz="8" w:color="CCCCCC"/>
            </w:tcBorders>
            <w:shd w:val="clear" w:color="auto" w:fill="CCCCCC"/>
          </w:tcPr>
          <w:p>
            <w:pPr>
              <w:spacing w:after="0"/>
              <w:rPr>
                <w:sz w:val="12"/>
                <w:szCs w:val="12"/>
                <w:color w:val="auto"/>
              </w:rPr>
            </w:pPr>
          </w:p>
        </w:tc>
      </w:tr>
      <w:tr>
        <w:trPr>
          <w:trHeight w:val="20"/>
        </w:trPr>
        <w:tc>
          <w:tcPr>
            <w:tcW w:w="614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-1216660</wp:posOffset>
            </wp:positionV>
            <wp:extent cx="7075170" cy="1217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5170" cy="121729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Reconciliation of Net Loss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70485</wp:posOffset>
            </wp:positionV>
            <wp:extent cx="7075170" cy="1525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75170" cy="1525905"/>
                    </a:xfrm>
                    <a:prstGeom prst="rect">
                      <a:avLst/>
                    </a:prstGeom>
                    <a:noFill/>
                  </pic:spPr>
                </pic:pic>
              </a:graphicData>
            </a:graphic>
          </wp:anchor>
        </w:drawing>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480" w:type="dxa"/>
            <w:vAlign w:val="bottom"/>
            <w:shd w:val="clear" w:color="auto" w:fill="0F243E"/>
          </w:tcPr>
          <w:p>
            <w:pPr>
              <w:spacing w:after="0"/>
              <w:rPr>
                <w:sz w:val="14"/>
                <w:szCs w:val="14"/>
                <w:color w:val="auto"/>
              </w:rPr>
            </w:pPr>
          </w:p>
        </w:tc>
        <w:tc>
          <w:tcPr>
            <w:tcW w:w="2100" w:type="dxa"/>
            <w:vAlign w:val="bottom"/>
            <w:shd w:val="clear" w:color="auto" w:fill="0F243E"/>
          </w:tcPr>
          <w:p>
            <w:pPr>
              <w:spacing w:after="0"/>
              <w:rPr>
                <w:sz w:val="14"/>
                <w:szCs w:val="14"/>
                <w:color w:val="auto"/>
              </w:rPr>
            </w:pPr>
          </w:p>
        </w:tc>
        <w:tc>
          <w:tcPr>
            <w:tcW w:w="3300" w:type="dxa"/>
            <w:vAlign w:val="bottom"/>
            <w:gridSpan w:val="3"/>
            <w:shd w:val="clear" w:color="auto" w:fill="0F243E"/>
          </w:tcPr>
          <w:p>
            <w:pPr>
              <w:ind w:left="1480"/>
              <w:spacing w:after="0"/>
              <w:rPr>
                <w:sz w:val="20"/>
                <w:szCs w:val="20"/>
                <w:color w:val="auto"/>
              </w:rPr>
            </w:pPr>
            <w:r>
              <w:rPr>
                <w:rFonts w:ascii="Arial" w:cs="Arial" w:eastAsia="Arial" w:hAnsi="Arial"/>
                <w:sz w:val="11"/>
                <w:szCs w:val="11"/>
                <w:b w:val="1"/>
                <w:bCs w:val="1"/>
                <w:color w:val="FFFFFF"/>
              </w:rPr>
              <w:t>Three Months Ended March 31,</w:t>
            </w:r>
          </w:p>
        </w:tc>
        <w:tc>
          <w:tcPr>
            <w:tcW w:w="1240" w:type="dxa"/>
            <w:vAlign w:val="bottom"/>
            <w:shd w:val="clear" w:color="auto" w:fill="0F243E"/>
          </w:tcPr>
          <w:p>
            <w:pPr>
              <w:spacing w:after="0"/>
              <w:rPr>
                <w:sz w:val="14"/>
                <w:szCs w:val="14"/>
                <w:color w:val="auto"/>
              </w:rPr>
            </w:pPr>
          </w:p>
        </w:tc>
        <w:tc>
          <w:tcPr>
            <w:tcW w:w="20" w:type="dxa"/>
            <w:vAlign w:val="bottom"/>
            <w:shd w:val="clear" w:color="auto" w:fill="0F243E"/>
          </w:tcPr>
          <w:p>
            <w:pPr>
              <w:spacing w:after="0"/>
              <w:rPr>
                <w:sz w:val="14"/>
                <w:szCs w:val="14"/>
                <w:color w:val="auto"/>
              </w:rPr>
            </w:pPr>
          </w:p>
        </w:tc>
      </w:tr>
      <w:tr>
        <w:trPr>
          <w:trHeight w:val="180"/>
        </w:trPr>
        <w:tc>
          <w:tcPr>
            <w:tcW w:w="4480" w:type="dxa"/>
            <w:vAlign w:val="bottom"/>
            <w:shd w:val="clear" w:color="auto" w:fill="0F243E"/>
          </w:tcPr>
          <w:p>
            <w:pPr>
              <w:ind w:left="40"/>
              <w:spacing w:after="0"/>
              <w:rPr>
                <w:sz w:val="20"/>
                <w:szCs w:val="20"/>
                <w:color w:val="auto"/>
              </w:rPr>
            </w:pPr>
            <w:r>
              <w:rPr>
                <w:rFonts w:ascii="Arial" w:cs="Arial" w:eastAsia="Arial" w:hAnsi="Arial"/>
                <w:sz w:val="11"/>
                <w:szCs w:val="11"/>
                <w:i w:val="1"/>
                <w:iCs w:val="1"/>
                <w:color w:val="FFFFFF"/>
              </w:rPr>
              <w:t>(in millions, except per share value)</w:t>
            </w:r>
          </w:p>
        </w:tc>
        <w:tc>
          <w:tcPr>
            <w:tcW w:w="3660" w:type="dxa"/>
            <w:vAlign w:val="bottom"/>
            <w:gridSpan w:val="2"/>
            <w:shd w:val="clear" w:color="auto" w:fill="0F243E"/>
          </w:tcPr>
          <w:p>
            <w:pPr>
              <w:jc w:val="right"/>
              <w:ind w:right="206"/>
              <w:spacing w:after="0"/>
              <w:rPr>
                <w:sz w:val="20"/>
                <w:szCs w:val="20"/>
                <w:color w:val="auto"/>
              </w:rPr>
            </w:pPr>
            <w:r>
              <w:rPr>
                <w:rFonts w:ascii="Arial" w:cs="Arial" w:eastAsia="Arial" w:hAnsi="Arial"/>
                <w:sz w:val="11"/>
                <w:szCs w:val="11"/>
                <w:b w:val="1"/>
                <w:bCs w:val="1"/>
                <w:color w:val="FFFFFF"/>
              </w:rPr>
              <w:t>2020</w:t>
            </w:r>
          </w:p>
        </w:tc>
        <w:tc>
          <w:tcPr>
            <w:tcW w:w="780" w:type="dxa"/>
            <w:vAlign w:val="bottom"/>
            <w:shd w:val="clear" w:color="auto" w:fill="0F243E"/>
          </w:tcPr>
          <w:p>
            <w:pPr>
              <w:spacing w:after="0"/>
              <w:rPr>
                <w:sz w:val="15"/>
                <w:szCs w:val="15"/>
                <w:color w:val="auto"/>
              </w:rPr>
            </w:pPr>
          </w:p>
        </w:tc>
        <w:tc>
          <w:tcPr>
            <w:tcW w:w="960" w:type="dxa"/>
            <w:vAlign w:val="bottom"/>
            <w:shd w:val="clear" w:color="auto" w:fill="0F243E"/>
          </w:tcPr>
          <w:p>
            <w:pPr>
              <w:spacing w:after="0"/>
              <w:rPr>
                <w:sz w:val="15"/>
                <w:szCs w:val="15"/>
                <w:color w:val="auto"/>
              </w:rPr>
            </w:pPr>
          </w:p>
        </w:tc>
        <w:tc>
          <w:tcPr>
            <w:tcW w:w="1240" w:type="dxa"/>
            <w:vAlign w:val="bottom"/>
            <w:shd w:val="clear" w:color="auto" w:fill="0F243E"/>
          </w:tcPr>
          <w:p>
            <w:pPr>
              <w:jc w:val="right"/>
              <w:ind w:right="906"/>
              <w:spacing w:after="0"/>
              <w:rPr>
                <w:sz w:val="20"/>
                <w:szCs w:val="20"/>
                <w:color w:val="auto"/>
              </w:rPr>
            </w:pPr>
            <w:r>
              <w:rPr>
                <w:rFonts w:ascii="Arial" w:cs="Arial" w:eastAsia="Arial" w:hAnsi="Arial"/>
                <w:sz w:val="11"/>
                <w:szCs w:val="11"/>
                <w:b w:val="1"/>
                <w:bCs w:val="1"/>
                <w:color w:val="FFFFFF"/>
              </w:rPr>
              <w:t>2019</w:t>
            </w:r>
          </w:p>
        </w:tc>
        <w:tc>
          <w:tcPr>
            <w:tcW w:w="20" w:type="dxa"/>
            <w:vAlign w:val="bottom"/>
            <w:shd w:val="clear" w:color="auto" w:fill="0F243E"/>
          </w:tcPr>
          <w:p>
            <w:pPr>
              <w:spacing w:after="0"/>
              <w:rPr>
                <w:sz w:val="15"/>
                <w:szCs w:val="15"/>
                <w:color w:val="auto"/>
              </w:rPr>
            </w:pPr>
          </w:p>
        </w:tc>
      </w:tr>
      <w:tr>
        <w:trPr>
          <w:trHeight w:val="167"/>
        </w:trPr>
        <w:tc>
          <w:tcPr>
            <w:tcW w:w="4480" w:type="dxa"/>
            <w:vAlign w:val="bottom"/>
            <w:shd w:val="clear" w:color="auto" w:fill="CCCCCC"/>
          </w:tcPr>
          <w:p>
            <w:pPr>
              <w:ind w:left="40"/>
              <w:spacing w:after="0"/>
              <w:rPr>
                <w:sz w:val="20"/>
                <w:szCs w:val="20"/>
                <w:color w:val="auto"/>
              </w:rPr>
            </w:pPr>
            <w:r>
              <w:rPr>
                <w:rFonts w:ascii="Arial" w:cs="Arial" w:eastAsia="Arial" w:hAnsi="Arial"/>
                <w:sz w:val="11"/>
                <w:szCs w:val="11"/>
                <w:color w:val="auto"/>
              </w:rPr>
              <w:t>Net loss</w:t>
            </w:r>
          </w:p>
        </w:tc>
        <w:tc>
          <w:tcPr>
            <w:tcW w:w="4440" w:type="dxa"/>
            <w:vAlign w:val="bottom"/>
            <w:gridSpan w:val="3"/>
            <w:shd w:val="clear" w:color="auto" w:fill="CCCCCC"/>
          </w:tcPr>
          <w:p>
            <w:pPr>
              <w:jc w:val="right"/>
              <w:ind w:right="3"/>
              <w:spacing w:after="0"/>
              <w:rPr>
                <w:sz w:val="20"/>
                <w:szCs w:val="20"/>
                <w:color w:val="auto"/>
              </w:rPr>
            </w:pPr>
            <w:r>
              <w:rPr>
                <w:rFonts w:ascii="Arial" w:cs="Arial" w:eastAsia="Arial" w:hAnsi="Arial"/>
                <w:sz w:val="11"/>
                <w:szCs w:val="11"/>
                <w:color w:val="auto"/>
              </w:rPr>
              <w:t>($12.5)</w:t>
            </w:r>
          </w:p>
        </w:tc>
        <w:tc>
          <w:tcPr>
            <w:tcW w:w="960" w:type="dxa"/>
            <w:vAlign w:val="bottom"/>
            <w:shd w:val="clear" w:color="auto" w:fill="CCCCCC"/>
          </w:tcPr>
          <w:p>
            <w:pPr>
              <w:spacing w:after="0"/>
              <w:rPr>
                <w:sz w:val="14"/>
                <w:szCs w:val="14"/>
                <w:color w:val="auto"/>
              </w:rPr>
            </w:pPr>
          </w:p>
        </w:tc>
        <w:tc>
          <w:tcPr>
            <w:tcW w:w="1240" w:type="dxa"/>
            <w:vAlign w:val="bottom"/>
            <w:shd w:val="clear" w:color="auto" w:fill="CCCCCC"/>
          </w:tcPr>
          <w:p>
            <w:pPr>
              <w:jc w:val="right"/>
              <w:ind w:right="6"/>
              <w:spacing w:after="0"/>
              <w:rPr>
                <w:sz w:val="20"/>
                <w:szCs w:val="20"/>
                <w:color w:val="auto"/>
              </w:rPr>
            </w:pPr>
            <w:r>
              <w:rPr>
                <w:rFonts w:ascii="Arial" w:cs="Arial" w:eastAsia="Arial" w:hAnsi="Arial"/>
                <w:sz w:val="11"/>
                <w:szCs w:val="11"/>
                <w:color w:val="auto"/>
              </w:rPr>
              <w:t>($26.0)</w:t>
            </w:r>
          </w:p>
        </w:tc>
        <w:tc>
          <w:tcPr>
            <w:tcW w:w="20" w:type="dxa"/>
            <w:vAlign w:val="bottom"/>
            <w:shd w:val="clear" w:color="auto" w:fill="CCCCCC"/>
          </w:tcPr>
          <w:p>
            <w:pPr>
              <w:spacing w:after="0"/>
              <w:rPr>
                <w:sz w:val="14"/>
                <w:szCs w:val="14"/>
                <w:color w:val="auto"/>
              </w:rPr>
            </w:pPr>
          </w:p>
        </w:tc>
      </w:tr>
      <w:tr>
        <w:trPr>
          <w:trHeight w:val="180"/>
        </w:trPr>
        <w:tc>
          <w:tcPr>
            <w:tcW w:w="4480" w:type="dxa"/>
            <w:vAlign w:val="bottom"/>
            <w:shd w:val="clear" w:color="auto" w:fill="CCCCCC"/>
          </w:tcPr>
          <w:p>
            <w:pPr>
              <w:ind w:left="120"/>
              <w:spacing w:after="0"/>
              <w:rPr>
                <w:sz w:val="20"/>
                <w:szCs w:val="20"/>
                <w:color w:val="auto"/>
              </w:rPr>
            </w:pPr>
            <w:r>
              <w:rPr>
                <w:rFonts w:ascii="Arial" w:cs="Arial" w:eastAsia="Arial" w:hAnsi="Arial"/>
                <w:sz w:val="11"/>
                <w:szCs w:val="11"/>
                <w:color w:val="auto"/>
              </w:rPr>
              <w:t>Adjustments:</w:t>
            </w:r>
          </w:p>
        </w:tc>
        <w:tc>
          <w:tcPr>
            <w:tcW w:w="2100" w:type="dxa"/>
            <w:vAlign w:val="bottom"/>
            <w:shd w:val="clear" w:color="auto" w:fill="CCCCCC"/>
          </w:tcPr>
          <w:p>
            <w:pPr>
              <w:spacing w:after="0"/>
              <w:rPr>
                <w:sz w:val="15"/>
                <w:szCs w:val="15"/>
                <w:color w:val="auto"/>
              </w:rPr>
            </w:pPr>
          </w:p>
        </w:tc>
        <w:tc>
          <w:tcPr>
            <w:tcW w:w="1560" w:type="dxa"/>
            <w:vAlign w:val="bottom"/>
            <w:shd w:val="clear" w:color="auto" w:fill="CCCCCC"/>
          </w:tcPr>
          <w:p>
            <w:pPr>
              <w:spacing w:after="0"/>
              <w:rPr>
                <w:sz w:val="15"/>
                <w:szCs w:val="15"/>
                <w:color w:val="auto"/>
              </w:rPr>
            </w:pPr>
          </w:p>
        </w:tc>
        <w:tc>
          <w:tcPr>
            <w:tcW w:w="780" w:type="dxa"/>
            <w:vAlign w:val="bottom"/>
            <w:shd w:val="clear" w:color="auto" w:fill="CCCCCC"/>
          </w:tcPr>
          <w:p>
            <w:pPr>
              <w:spacing w:after="0"/>
              <w:rPr>
                <w:sz w:val="15"/>
                <w:szCs w:val="15"/>
                <w:color w:val="auto"/>
              </w:rPr>
            </w:pPr>
          </w:p>
        </w:tc>
        <w:tc>
          <w:tcPr>
            <w:tcW w:w="960" w:type="dxa"/>
            <w:vAlign w:val="bottom"/>
            <w:shd w:val="clear" w:color="auto" w:fill="CCCCCC"/>
          </w:tcPr>
          <w:p>
            <w:pPr>
              <w:spacing w:after="0"/>
              <w:rPr>
                <w:sz w:val="15"/>
                <w:szCs w:val="15"/>
                <w:color w:val="auto"/>
              </w:rPr>
            </w:pPr>
          </w:p>
        </w:tc>
        <w:tc>
          <w:tcPr>
            <w:tcW w:w="1240" w:type="dxa"/>
            <w:vAlign w:val="bottom"/>
            <w:shd w:val="clear" w:color="auto" w:fill="CCCCCC"/>
          </w:tcPr>
          <w:p>
            <w:pPr>
              <w:spacing w:after="0"/>
              <w:rPr>
                <w:sz w:val="15"/>
                <w:szCs w:val="15"/>
                <w:color w:val="auto"/>
              </w:rPr>
            </w:pPr>
          </w:p>
        </w:tc>
        <w:tc>
          <w:tcPr>
            <w:tcW w:w="20" w:type="dxa"/>
            <w:vAlign w:val="bottom"/>
            <w:shd w:val="clear" w:color="auto" w:fill="CCCCCC"/>
          </w:tcPr>
          <w:p>
            <w:pPr>
              <w:spacing w:after="0"/>
              <w:rPr>
                <w:sz w:val="15"/>
                <w:szCs w:val="15"/>
                <w:color w:val="auto"/>
              </w:rPr>
            </w:pPr>
          </w:p>
        </w:tc>
      </w:tr>
      <w:tr>
        <w:trPr>
          <w:trHeight w:val="171"/>
        </w:trPr>
        <w:tc>
          <w:tcPr>
            <w:tcW w:w="448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Depreciation &amp; amortization</w:t>
            </w:r>
          </w:p>
        </w:tc>
        <w:tc>
          <w:tcPr>
            <w:tcW w:w="2100" w:type="dxa"/>
            <w:vAlign w:val="bottom"/>
            <w:shd w:val="clear" w:color="auto" w:fill="CCCCCC"/>
          </w:tcPr>
          <w:p>
            <w:pPr>
              <w:spacing w:after="0"/>
              <w:rPr>
                <w:sz w:val="14"/>
                <w:szCs w:val="14"/>
                <w:color w:val="auto"/>
              </w:rPr>
            </w:pPr>
          </w:p>
        </w:tc>
        <w:tc>
          <w:tcPr>
            <w:tcW w:w="2340" w:type="dxa"/>
            <w:vAlign w:val="bottom"/>
            <w:gridSpan w:val="2"/>
            <w:shd w:val="clear" w:color="auto" w:fill="CCCCCC"/>
          </w:tcPr>
          <w:p>
            <w:pPr>
              <w:jc w:val="right"/>
              <w:ind w:right="43"/>
              <w:spacing w:after="0"/>
              <w:rPr>
                <w:sz w:val="20"/>
                <w:szCs w:val="20"/>
                <w:color w:val="auto"/>
              </w:rPr>
            </w:pPr>
            <w:r>
              <w:rPr>
                <w:rFonts w:ascii="Arial" w:cs="Arial" w:eastAsia="Arial" w:hAnsi="Arial"/>
                <w:sz w:val="11"/>
                <w:szCs w:val="11"/>
                <w:color w:val="auto"/>
              </w:rPr>
              <w:t>28.2</w:t>
            </w:r>
          </w:p>
        </w:tc>
        <w:tc>
          <w:tcPr>
            <w:tcW w:w="960" w:type="dxa"/>
            <w:vAlign w:val="bottom"/>
            <w:shd w:val="clear" w:color="auto" w:fill="CCCCCC"/>
          </w:tcPr>
          <w:p>
            <w:pPr>
              <w:spacing w:after="0"/>
              <w:rPr>
                <w:sz w:val="14"/>
                <w:szCs w:val="14"/>
                <w:color w:val="auto"/>
              </w:rPr>
            </w:pPr>
          </w:p>
        </w:tc>
        <w:tc>
          <w:tcPr>
            <w:tcW w:w="1240" w:type="dxa"/>
            <w:vAlign w:val="bottom"/>
            <w:shd w:val="clear" w:color="auto" w:fill="CCCCCC"/>
          </w:tcPr>
          <w:p>
            <w:pPr>
              <w:jc w:val="right"/>
              <w:ind w:right="26"/>
              <w:spacing w:after="0"/>
              <w:rPr>
                <w:sz w:val="20"/>
                <w:szCs w:val="20"/>
                <w:color w:val="auto"/>
              </w:rPr>
            </w:pPr>
            <w:r>
              <w:rPr>
                <w:rFonts w:ascii="Arial" w:cs="Arial" w:eastAsia="Arial" w:hAnsi="Arial"/>
                <w:sz w:val="11"/>
                <w:szCs w:val="11"/>
                <w:color w:val="auto"/>
              </w:rPr>
              <w:t>26.6</w:t>
            </w:r>
          </w:p>
        </w:tc>
        <w:tc>
          <w:tcPr>
            <w:tcW w:w="20" w:type="dxa"/>
            <w:vAlign w:val="bottom"/>
            <w:shd w:val="clear" w:color="auto" w:fill="CCCCCC"/>
          </w:tcPr>
          <w:p>
            <w:pPr>
              <w:spacing w:after="0"/>
              <w:rPr>
                <w:sz w:val="14"/>
                <w:szCs w:val="14"/>
                <w:color w:val="auto"/>
              </w:rPr>
            </w:pPr>
          </w:p>
        </w:tc>
      </w:tr>
      <w:tr>
        <w:trPr>
          <w:trHeight w:val="171"/>
        </w:trPr>
        <w:tc>
          <w:tcPr>
            <w:tcW w:w="448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Provision for income taxes</w:t>
            </w:r>
          </w:p>
        </w:tc>
        <w:tc>
          <w:tcPr>
            <w:tcW w:w="2100" w:type="dxa"/>
            <w:vAlign w:val="bottom"/>
            <w:shd w:val="clear" w:color="auto" w:fill="CCCCCC"/>
          </w:tcPr>
          <w:p>
            <w:pPr>
              <w:spacing w:after="0"/>
              <w:rPr>
                <w:sz w:val="14"/>
                <w:szCs w:val="14"/>
                <w:color w:val="auto"/>
              </w:rPr>
            </w:pPr>
          </w:p>
        </w:tc>
        <w:tc>
          <w:tcPr>
            <w:tcW w:w="2340" w:type="dxa"/>
            <w:vAlign w:val="bottom"/>
            <w:gridSpan w:val="2"/>
            <w:shd w:val="clear" w:color="auto" w:fill="CCCCCC"/>
          </w:tcPr>
          <w:p>
            <w:pPr>
              <w:jc w:val="right"/>
              <w:ind w:right="43"/>
              <w:spacing w:after="0"/>
              <w:rPr>
                <w:sz w:val="20"/>
                <w:szCs w:val="20"/>
                <w:color w:val="auto"/>
              </w:rPr>
            </w:pPr>
            <w:r>
              <w:rPr>
                <w:rFonts w:ascii="Arial" w:cs="Arial" w:eastAsia="Arial" w:hAnsi="Arial"/>
                <w:sz w:val="11"/>
                <w:szCs w:val="11"/>
                <w:color w:val="auto"/>
              </w:rPr>
              <w:t>(8.8)</w:t>
            </w:r>
          </w:p>
        </w:tc>
        <w:tc>
          <w:tcPr>
            <w:tcW w:w="960" w:type="dxa"/>
            <w:vAlign w:val="bottom"/>
            <w:shd w:val="clear" w:color="auto" w:fill="CCCCCC"/>
          </w:tcPr>
          <w:p>
            <w:pPr>
              <w:spacing w:after="0"/>
              <w:rPr>
                <w:sz w:val="14"/>
                <w:szCs w:val="14"/>
                <w:color w:val="auto"/>
              </w:rPr>
            </w:pPr>
          </w:p>
        </w:tc>
        <w:tc>
          <w:tcPr>
            <w:tcW w:w="1240" w:type="dxa"/>
            <w:vAlign w:val="bottom"/>
            <w:shd w:val="clear" w:color="auto" w:fill="CCCCCC"/>
          </w:tcPr>
          <w:p>
            <w:pPr>
              <w:jc w:val="right"/>
              <w:ind w:right="6"/>
              <w:spacing w:after="0"/>
              <w:rPr>
                <w:sz w:val="20"/>
                <w:szCs w:val="20"/>
                <w:color w:val="auto"/>
              </w:rPr>
            </w:pPr>
            <w:r>
              <w:rPr>
                <w:rFonts w:ascii="Arial" w:cs="Arial" w:eastAsia="Arial" w:hAnsi="Arial"/>
                <w:sz w:val="11"/>
                <w:szCs w:val="11"/>
                <w:color w:val="auto"/>
              </w:rPr>
              <w:t>(11.8)</w:t>
            </w:r>
          </w:p>
        </w:tc>
        <w:tc>
          <w:tcPr>
            <w:tcW w:w="20" w:type="dxa"/>
            <w:vAlign w:val="bottom"/>
            <w:shd w:val="clear" w:color="auto" w:fill="CCCCCC"/>
          </w:tcPr>
          <w:p>
            <w:pPr>
              <w:spacing w:after="0"/>
              <w:rPr>
                <w:sz w:val="14"/>
                <w:szCs w:val="14"/>
                <w:color w:val="auto"/>
              </w:rPr>
            </w:pPr>
          </w:p>
        </w:tc>
      </w:tr>
      <w:tr>
        <w:trPr>
          <w:trHeight w:val="171"/>
        </w:trPr>
        <w:tc>
          <w:tcPr>
            <w:tcW w:w="448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Total interest expense, net*</w:t>
            </w:r>
          </w:p>
        </w:tc>
        <w:tc>
          <w:tcPr>
            <w:tcW w:w="2100" w:type="dxa"/>
            <w:vAlign w:val="bottom"/>
            <w:shd w:val="clear" w:color="auto" w:fill="CCCCCC"/>
          </w:tcPr>
          <w:p>
            <w:pPr>
              <w:spacing w:after="0"/>
              <w:rPr>
                <w:sz w:val="14"/>
                <w:szCs w:val="14"/>
                <w:color w:val="auto"/>
              </w:rPr>
            </w:pPr>
          </w:p>
        </w:tc>
        <w:tc>
          <w:tcPr>
            <w:tcW w:w="2340" w:type="dxa"/>
            <w:vAlign w:val="bottom"/>
            <w:gridSpan w:val="2"/>
            <w:shd w:val="clear" w:color="auto" w:fill="CCCCCC"/>
          </w:tcPr>
          <w:p>
            <w:pPr>
              <w:jc w:val="right"/>
              <w:ind w:right="43"/>
              <w:spacing w:after="0"/>
              <w:rPr>
                <w:sz w:val="20"/>
                <w:szCs w:val="20"/>
                <w:color w:val="auto"/>
              </w:rPr>
            </w:pPr>
            <w:r>
              <w:rPr>
                <w:rFonts w:ascii="Arial" w:cs="Arial" w:eastAsia="Arial" w:hAnsi="Arial"/>
                <w:sz w:val="11"/>
                <w:szCs w:val="11"/>
                <w:color w:val="auto"/>
              </w:rPr>
              <w:t>7.8</w:t>
            </w:r>
          </w:p>
        </w:tc>
        <w:tc>
          <w:tcPr>
            <w:tcW w:w="960" w:type="dxa"/>
            <w:vAlign w:val="bottom"/>
            <w:shd w:val="clear" w:color="auto" w:fill="CCCCCC"/>
          </w:tcPr>
          <w:p>
            <w:pPr>
              <w:spacing w:after="0"/>
              <w:rPr>
                <w:sz w:val="14"/>
                <w:szCs w:val="14"/>
                <w:color w:val="auto"/>
              </w:rPr>
            </w:pPr>
          </w:p>
        </w:tc>
        <w:tc>
          <w:tcPr>
            <w:tcW w:w="1240" w:type="dxa"/>
            <w:vAlign w:val="bottom"/>
            <w:shd w:val="clear" w:color="auto" w:fill="CCCCCC"/>
          </w:tcPr>
          <w:p>
            <w:pPr>
              <w:jc w:val="right"/>
              <w:ind w:right="26"/>
              <w:spacing w:after="0"/>
              <w:rPr>
                <w:sz w:val="20"/>
                <w:szCs w:val="20"/>
                <w:color w:val="auto"/>
              </w:rPr>
            </w:pPr>
            <w:r>
              <w:rPr>
                <w:rFonts w:ascii="Arial" w:cs="Arial" w:eastAsia="Arial" w:hAnsi="Arial"/>
                <w:sz w:val="11"/>
                <w:szCs w:val="11"/>
                <w:color w:val="auto"/>
              </w:rPr>
              <w:t>9.0</w:t>
            </w:r>
          </w:p>
        </w:tc>
        <w:tc>
          <w:tcPr>
            <w:tcW w:w="20" w:type="dxa"/>
            <w:vAlign w:val="bottom"/>
            <w:shd w:val="clear" w:color="auto" w:fill="CCCCCC"/>
          </w:tcPr>
          <w:p>
            <w:pPr>
              <w:spacing w:after="0"/>
              <w:rPr>
                <w:sz w:val="14"/>
                <w:szCs w:val="14"/>
                <w:color w:val="auto"/>
              </w:rPr>
            </w:pPr>
          </w:p>
        </w:tc>
      </w:tr>
      <w:tr>
        <w:trPr>
          <w:trHeight w:val="171"/>
        </w:trPr>
        <w:tc>
          <w:tcPr>
            <w:tcW w:w="448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Changes in fair value of contingent consideration</w:t>
            </w:r>
          </w:p>
        </w:tc>
        <w:tc>
          <w:tcPr>
            <w:tcW w:w="2100" w:type="dxa"/>
            <w:vAlign w:val="bottom"/>
            <w:shd w:val="clear" w:color="auto" w:fill="CCCCCC"/>
          </w:tcPr>
          <w:p>
            <w:pPr>
              <w:spacing w:after="0"/>
              <w:rPr>
                <w:sz w:val="14"/>
                <w:szCs w:val="14"/>
                <w:color w:val="auto"/>
              </w:rPr>
            </w:pPr>
          </w:p>
        </w:tc>
        <w:tc>
          <w:tcPr>
            <w:tcW w:w="2340" w:type="dxa"/>
            <w:vAlign w:val="bottom"/>
            <w:gridSpan w:val="2"/>
            <w:shd w:val="clear" w:color="auto" w:fill="CCCCCC"/>
          </w:tcPr>
          <w:p>
            <w:pPr>
              <w:jc w:val="right"/>
              <w:ind w:right="43"/>
              <w:spacing w:after="0"/>
              <w:rPr>
                <w:sz w:val="20"/>
                <w:szCs w:val="20"/>
                <w:color w:val="auto"/>
              </w:rPr>
            </w:pPr>
            <w:r>
              <w:rPr>
                <w:rFonts w:ascii="Arial" w:cs="Arial" w:eastAsia="Arial" w:hAnsi="Arial"/>
                <w:sz w:val="11"/>
                <w:szCs w:val="11"/>
                <w:color w:val="auto"/>
              </w:rPr>
              <w:t>0.6</w:t>
            </w:r>
          </w:p>
        </w:tc>
        <w:tc>
          <w:tcPr>
            <w:tcW w:w="960" w:type="dxa"/>
            <w:vAlign w:val="bottom"/>
            <w:shd w:val="clear" w:color="auto" w:fill="CCCCCC"/>
          </w:tcPr>
          <w:p>
            <w:pPr>
              <w:spacing w:after="0"/>
              <w:rPr>
                <w:sz w:val="14"/>
                <w:szCs w:val="14"/>
                <w:color w:val="auto"/>
              </w:rPr>
            </w:pPr>
          </w:p>
        </w:tc>
        <w:tc>
          <w:tcPr>
            <w:tcW w:w="1240" w:type="dxa"/>
            <w:vAlign w:val="bottom"/>
            <w:shd w:val="clear" w:color="auto" w:fill="CCCCCC"/>
          </w:tcPr>
          <w:p>
            <w:pPr>
              <w:jc w:val="right"/>
              <w:ind w:right="26"/>
              <w:spacing w:after="0"/>
              <w:rPr>
                <w:sz w:val="20"/>
                <w:szCs w:val="20"/>
                <w:color w:val="auto"/>
              </w:rPr>
            </w:pPr>
            <w:r>
              <w:rPr>
                <w:rFonts w:ascii="Arial" w:cs="Arial" w:eastAsia="Arial" w:hAnsi="Arial"/>
                <w:sz w:val="11"/>
                <w:szCs w:val="11"/>
                <w:color w:val="auto"/>
              </w:rPr>
              <w:t>1.6</w:t>
            </w:r>
          </w:p>
        </w:tc>
        <w:tc>
          <w:tcPr>
            <w:tcW w:w="20" w:type="dxa"/>
            <w:vAlign w:val="bottom"/>
            <w:shd w:val="clear" w:color="auto" w:fill="CCCCCC"/>
          </w:tcPr>
          <w:p>
            <w:pPr>
              <w:spacing w:after="0"/>
              <w:rPr>
                <w:sz w:val="14"/>
                <w:szCs w:val="14"/>
                <w:color w:val="auto"/>
              </w:rPr>
            </w:pPr>
          </w:p>
        </w:tc>
      </w:tr>
      <w:tr>
        <w:trPr>
          <w:trHeight w:val="184"/>
        </w:trPr>
        <w:tc>
          <w:tcPr>
            <w:tcW w:w="448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Acquisition-related costs (transaction &amp; integration)</w:t>
            </w:r>
          </w:p>
        </w:tc>
        <w:tc>
          <w:tcPr>
            <w:tcW w:w="2100" w:type="dxa"/>
            <w:vAlign w:val="bottom"/>
            <w:shd w:val="clear" w:color="auto" w:fill="CCCCCC"/>
          </w:tcPr>
          <w:p>
            <w:pPr>
              <w:spacing w:after="0"/>
              <w:rPr>
                <w:sz w:val="16"/>
                <w:szCs w:val="16"/>
                <w:color w:val="auto"/>
              </w:rPr>
            </w:pPr>
          </w:p>
        </w:tc>
        <w:tc>
          <w:tcPr>
            <w:tcW w:w="1560" w:type="dxa"/>
            <w:vAlign w:val="bottom"/>
            <w:shd w:val="clear" w:color="auto" w:fill="CCCCCC"/>
          </w:tcPr>
          <w:p>
            <w:pPr>
              <w:spacing w:after="0"/>
              <w:rPr>
                <w:sz w:val="16"/>
                <w:szCs w:val="16"/>
                <w:color w:val="auto"/>
              </w:rPr>
            </w:pPr>
          </w:p>
        </w:tc>
        <w:tc>
          <w:tcPr>
            <w:tcW w:w="780" w:type="dxa"/>
            <w:vAlign w:val="bottom"/>
            <w:shd w:val="clear" w:color="auto" w:fill="CCCCCC"/>
          </w:tcPr>
          <w:p>
            <w:pPr>
              <w:jc w:val="right"/>
              <w:ind w:right="43"/>
              <w:spacing w:after="0"/>
              <w:rPr>
                <w:sz w:val="20"/>
                <w:szCs w:val="20"/>
                <w:color w:val="auto"/>
              </w:rPr>
            </w:pPr>
            <w:r>
              <w:rPr>
                <w:rFonts w:ascii="Arial" w:cs="Arial" w:eastAsia="Arial" w:hAnsi="Arial"/>
                <w:sz w:val="12"/>
                <w:szCs w:val="12"/>
                <w:color w:val="auto"/>
              </w:rPr>
              <w:t>—</w:t>
            </w:r>
          </w:p>
        </w:tc>
        <w:tc>
          <w:tcPr>
            <w:tcW w:w="960" w:type="dxa"/>
            <w:vAlign w:val="bottom"/>
            <w:shd w:val="clear" w:color="auto" w:fill="CCCCCC"/>
          </w:tcPr>
          <w:p>
            <w:pPr>
              <w:spacing w:after="0"/>
              <w:rPr>
                <w:sz w:val="16"/>
                <w:szCs w:val="16"/>
                <w:color w:val="auto"/>
              </w:rPr>
            </w:pPr>
          </w:p>
        </w:tc>
        <w:tc>
          <w:tcPr>
            <w:tcW w:w="1240" w:type="dxa"/>
            <w:vAlign w:val="bottom"/>
            <w:shd w:val="clear" w:color="auto" w:fill="CCCCCC"/>
          </w:tcPr>
          <w:p>
            <w:pPr>
              <w:jc w:val="right"/>
              <w:ind w:right="26"/>
              <w:spacing w:after="0"/>
              <w:rPr>
                <w:sz w:val="20"/>
                <w:szCs w:val="20"/>
                <w:color w:val="auto"/>
              </w:rPr>
            </w:pPr>
            <w:r>
              <w:rPr>
                <w:rFonts w:ascii="Arial" w:cs="Arial" w:eastAsia="Arial" w:hAnsi="Arial"/>
                <w:sz w:val="11"/>
                <w:szCs w:val="11"/>
                <w:color w:val="auto"/>
              </w:rPr>
              <w:t>4.0</w:t>
            </w:r>
          </w:p>
        </w:tc>
        <w:tc>
          <w:tcPr>
            <w:tcW w:w="20" w:type="dxa"/>
            <w:vAlign w:val="bottom"/>
            <w:shd w:val="clear" w:color="auto" w:fill="CCCCCC"/>
          </w:tcPr>
          <w:p>
            <w:pPr>
              <w:spacing w:after="0"/>
              <w:rPr>
                <w:sz w:val="16"/>
                <w:szCs w:val="16"/>
                <w:color w:val="auto"/>
              </w:rPr>
            </w:pPr>
          </w:p>
        </w:tc>
      </w:tr>
      <w:tr>
        <w:trPr>
          <w:trHeight w:val="183"/>
        </w:trPr>
        <w:tc>
          <w:tcPr>
            <w:tcW w:w="4480" w:type="dxa"/>
            <w:vAlign w:val="bottom"/>
            <w:tcBorders>
              <w:bottom w:val="single" w:sz="8" w:color="CCCCCC"/>
            </w:tcBorders>
            <w:shd w:val="clear" w:color="auto" w:fill="CCCCCC"/>
          </w:tcPr>
          <w:p>
            <w:pPr>
              <w:ind w:left="200"/>
              <w:spacing w:after="0"/>
              <w:rPr>
                <w:sz w:val="20"/>
                <w:szCs w:val="20"/>
                <w:color w:val="auto"/>
              </w:rPr>
            </w:pPr>
            <w:r>
              <w:rPr>
                <w:rFonts w:ascii="Arial" w:cs="Arial" w:eastAsia="Arial" w:hAnsi="Arial"/>
                <w:sz w:val="11"/>
                <w:szCs w:val="11"/>
                <w:color w:val="auto"/>
              </w:rPr>
              <w:t>+ Impact of purchase accounting on inventory step-up</w:t>
            </w:r>
          </w:p>
        </w:tc>
        <w:tc>
          <w:tcPr>
            <w:tcW w:w="2100" w:type="dxa"/>
            <w:vAlign w:val="bottom"/>
            <w:tcBorders>
              <w:bottom w:val="single" w:sz="8" w:color="CCCCCC"/>
            </w:tcBorders>
            <w:shd w:val="clear" w:color="auto" w:fill="CCCCCC"/>
          </w:tcPr>
          <w:p>
            <w:pPr>
              <w:spacing w:after="0"/>
              <w:rPr>
                <w:sz w:val="15"/>
                <w:szCs w:val="15"/>
                <w:color w:val="auto"/>
              </w:rPr>
            </w:pPr>
          </w:p>
        </w:tc>
        <w:tc>
          <w:tcPr>
            <w:tcW w:w="1560" w:type="dxa"/>
            <w:vAlign w:val="bottom"/>
            <w:tcBorders>
              <w:bottom w:val="single" w:sz="8" w:color="auto"/>
            </w:tcBorders>
            <w:shd w:val="clear" w:color="auto" w:fill="CCCCCC"/>
          </w:tcPr>
          <w:p>
            <w:pPr>
              <w:spacing w:after="0"/>
              <w:rPr>
                <w:sz w:val="15"/>
                <w:szCs w:val="15"/>
                <w:color w:val="auto"/>
              </w:rPr>
            </w:pPr>
          </w:p>
        </w:tc>
        <w:tc>
          <w:tcPr>
            <w:tcW w:w="780" w:type="dxa"/>
            <w:vAlign w:val="bottom"/>
            <w:tcBorders>
              <w:bottom w:val="single" w:sz="8" w:color="auto"/>
            </w:tcBorders>
            <w:shd w:val="clear" w:color="auto" w:fill="CCCCCC"/>
          </w:tcPr>
          <w:p>
            <w:pPr>
              <w:jc w:val="right"/>
              <w:ind w:right="43"/>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shd w:val="clear" w:color="auto" w:fill="CCCCCC"/>
          </w:tcPr>
          <w:p>
            <w:pPr>
              <w:spacing w:after="0"/>
              <w:rPr>
                <w:sz w:val="15"/>
                <w:szCs w:val="15"/>
                <w:color w:val="auto"/>
              </w:rPr>
            </w:pPr>
          </w:p>
        </w:tc>
        <w:tc>
          <w:tcPr>
            <w:tcW w:w="1240" w:type="dxa"/>
            <w:vAlign w:val="bottom"/>
            <w:tcBorders>
              <w:bottom w:val="single" w:sz="8" w:color="auto"/>
            </w:tcBorders>
            <w:shd w:val="clear" w:color="auto" w:fill="CCCCCC"/>
          </w:tcPr>
          <w:p>
            <w:pPr>
              <w:jc w:val="right"/>
              <w:ind w:right="26"/>
              <w:spacing w:after="0"/>
              <w:rPr>
                <w:sz w:val="20"/>
                <w:szCs w:val="20"/>
                <w:color w:val="auto"/>
              </w:rPr>
            </w:pPr>
            <w:r>
              <w:rPr>
                <w:rFonts w:ascii="Arial" w:cs="Arial" w:eastAsia="Arial" w:hAnsi="Arial"/>
                <w:sz w:val="11"/>
                <w:szCs w:val="11"/>
                <w:color w:val="auto"/>
              </w:rPr>
              <w:t>5.0</w:t>
            </w:r>
          </w:p>
        </w:tc>
        <w:tc>
          <w:tcPr>
            <w:tcW w:w="20" w:type="dxa"/>
            <w:vAlign w:val="bottom"/>
            <w:tcBorders>
              <w:bottom w:val="single" w:sz="8" w:color="auto"/>
            </w:tcBorders>
            <w:shd w:val="clear" w:color="auto" w:fill="CCCCCC"/>
          </w:tcPr>
          <w:p>
            <w:pPr>
              <w:spacing w:after="0"/>
              <w:rPr>
                <w:sz w:val="15"/>
                <w:szCs w:val="15"/>
                <w:color w:val="auto"/>
              </w:rPr>
            </w:pPr>
          </w:p>
        </w:tc>
      </w:tr>
      <w:tr>
        <w:trPr>
          <w:trHeight w:val="151"/>
        </w:trPr>
        <w:tc>
          <w:tcPr>
            <w:tcW w:w="448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1"/>
                <w:szCs w:val="11"/>
                <w:color w:val="auto"/>
              </w:rPr>
              <w:t>Total additional adjustments</w:t>
            </w:r>
          </w:p>
        </w:tc>
        <w:tc>
          <w:tcPr>
            <w:tcW w:w="2100" w:type="dxa"/>
            <w:vAlign w:val="bottom"/>
            <w:tcBorders>
              <w:bottom w:val="single" w:sz="8" w:color="CCCCCC"/>
            </w:tcBorders>
            <w:shd w:val="clear" w:color="auto" w:fill="CCCCCC"/>
          </w:tcPr>
          <w:p>
            <w:pPr>
              <w:spacing w:after="0"/>
              <w:rPr>
                <w:sz w:val="13"/>
                <w:szCs w:val="13"/>
                <w:color w:val="auto"/>
              </w:rPr>
            </w:pPr>
          </w:p>
        </w:tc>
        <w:tc>
          <w:tcPr>
            <w:tcW w:w="2340" w:type="dxa"/>
            <w:vAlign w:val="bottom"/>
            <w:tcBorders>
              <w:bottom w:val="single" w:sz="8" w:color="auto"/>
            </w:tcBorders>
            <w:gridSpan w:val="2"/>
            <w:shd w:val="clear" w:color="auto" w:fill="CCCCCC"/>
          </w:tcPr>
          <w:p>
            <w:pPr>
              <w:jc w:val="right"/>
              <w:ind w:right="43"/>
              <w:spacing w:after="0"/>
              <w:rPr>
                <w:sz w:val="20"/>
                <w:szCs w:val="20"/>
                <w:color w:val="auto"/>
              </w:rPr>
            </w:pPr>
            <w:r>
              <w:rPr>
                <w:rFonts w:ascii="Arial" w:cs="Arial" w:eastAsia="Arial" w:hAnsi="Arial"/>
                <w:sz w:val="11"/>
                <w:szCs w:val="11"/>
                <w:color w:val="auto"/>
              </w:rPr>
              <w:t>27.8</w:t>
            </w:r>
          </w:p>
        </w:tc>
        <w:tc>
          <w:tcPr>
            <w:tcW w:w="960" w:type="dxa"/>
            <w:vAlign w:val="bottom"/>
            <w:tcBorders>
              <w:bottom w:val="single" w:sz="8" w:color="auto"/>
            </w:tcBorders>
            <w:shd w:val="clear" w:color="auto" w:fill="CCCCCC"/>
          </w:tcPr>
          <w:p>
            <w:pPr>
              <w:spacing w:after="0"/>
              <w:rPr>
                <w:sz w:val="13"/>
                <w:szCs w:val="13"/>
                <w:color w:val="auto"/>
              </w:rPr>
            </w:pPr>
          </w:p>
        </w:tc>
        <w:tc>
          <w:tcPr>
            <w:tcW w:w="1240" w:type="dxa"/>
            <w:vAlign w:val="bottom"/>
            <w:tcBorders>
              <w:bottom w:val="single" w:sz="8" w:color="auto"/>
            </w:tcBorders>
            <w:shd w:val="clear" w:color="auto" w:fill="CCCCCC"/>
          </w:tcPr>
          <w:p>
            <w:pPr>
              <w:jc w:val="right"/>
              <w:ind w:right="26"/>
              <w:spacing w:after="0"/>
              <w:rPr>
                <w:sz w:val="20"/>
                <w:szCs w:val="20"/>
                <w:color w:val="auto"/>
              </w:rPr>
            </w:pPr>
            <w:r>
              <w:rPr>
                <w:rFonts w:ascii="Arial" w:cs="Arial" w:eastAsia="Arial" w:hAnsi="Arial"/>
                <w:sz w:val="11"/>
                <w:szCs w:val="11"/>
                <w:color w:val="auto"/>
              </w:rPr>
              <w:t>34.4</w:t>
            </w:r>
          </w:p>
        </w:tc>
        <w:tc>
          <w:tcPr>
            <w:tcW w:w="20" w:type="dxa"/>
            <w:vAlign w:val="bottom"/>
            <w:tcBorders>
              <w:bottom w:val="single" w:sz="8" w:color="auto"/>
            </w:tcBorders>
            <w:shd w:val="clear" w:color="auto" w:fill="CCCCCC"/>
          </w:tcPr>
          <w:p>
            <w:pPr>
              <w:spacing w:after="0"/>
              <w:rPr>
                <w:sz w:val="13"/>
                <w:szCs w:val="13"/>
                <w:color w:val="auto"/>
              </w:rPr>
            </w:pPr>
          </w:p>
        </w:tc>
      </w:tr>
      <w:tr>
        <w:trPr>
          <w:trHeight w:val="153"/>
        </w:trPr>
        <w:tc>
          <w:tcPr>
            <w:tcW w:w="4480" w:type="dxa"/>
            <w:vAlign w:val="bottom"/>
            <w:shd w:val="clear" w:color="auto" w:fill="CCCCCC"/>
          </w:tcPr>
          <w:p>
            <w:pPr>
              <w:ind w:left="40"/>
              <w:spacing w:after="0"/>
              <w:rPr>
                <w:sz w:val="20"/>
                <w:szCs w:val="20"/>
                <w:color w:val="auto"/>
              </w:rPr>
            </w:pPr>
            <w:r>
              <w:rPr>
                <w:rFonts w:ascii="Arial" w:cs="Arial" w:eastAsia="Arial" w:hAnsi="Arial"/>
                <w:sz w:val="11"/>
                <w:szCs w:val="11"/>
                <w:color w:val="auto"/>
              </w:rPr>
              <w:t>Adjusted EBITDA</w:t>
            </w:r>
          </w:p>
        </w:tc>
        <w:tc>
          <w:tcPr>
            <w:tcW w:w="2100" w:type="dxa"/>
            <w:vAlign w:val="bottom"/>
            <w:shd w:val="clear" w:color="auto" w:fill="CCCCCC"/>
          </w:tcPr>
          <w:p>
            <w:pPr>
              <w:spacing w:after="0"/>
              <w:rPr>
                <w:sz w:val="13"/>
                <w:szCs w:val="13"/>
                <w:color w:val="auto"/>
              </w:rPr>
            </w:pPr>
          </w:p>
        </w:tc>
        <w:tc>
          <w:tcPr>
            <w:tcW w:w="2340" w:type="dxa"/>
            <w:vAlign w:val="bottom"/>
            <w:gridSpan w:val="2"/>
            <w:shd w:val="clear" w:color="auto" w:fill="CCCCCC"/>
          </w:tcPr>
          <w:p>
            <w:pPr>
              <w:jc w:val="right"/>
              <w:ind w:right="43"/>
              <w:spacing w:after="0"/>
              <w:rPr>
                <w:sz w:val="20"/>
                <w:szCs w:val="20"/>
                <w:color w:val="auto"/>
              </w:rPr>
            </w:pPr>
            <w:r>
              <w:rPr>
                <w:rFonts w:ascii="Arial" w:cs="Arial" w:eastAsia="Arial" w:hAnsi="Arial"/>
                <w:sz w:val="11"/>
                <w:szCs w:val="11"/>
                <w:color w:val="auto"/>
              </w:rPr>
              <w:t>$15.3</w:t>
            </w:r>
          </w:p>
        </w:tc>
        <w:tc>
          <w:tcPr>
            <w:tcW w:w="960" w:type="dxa"/>
            <w:vAlign w:val="bottom"/>
            <w:shd w:val="clear" w:color="auto" w:fill="CCCCCC"/>
          </w:tcPr>
          <w:p>
            <w:pPr>
              <w:spacing w:after="0"/>
              <w:rPr>
                <w:sz w:val="13"/>
                <w:szCs w:val="13"/>
                <w:color w:val="auto"/>
              </w:rPr>
            </w:pPr>
          </w:p>
        </w:tc>
        <w:tc>
          <w:tcPr>
            <w:tcW w:w="1240" w:type="dxa"/>
            <w:vAlign w:val="bottom"/>
            <w:shd w:val="clear" w:color="auto" w:fill="CCCCCC"/>
          </w:tcPr>
          <w:p>
            <w:pPr>
              <w:jc w:val="right"/>
              <w:ind w:right="26"/>
              <w:spacing w:after="0"/>
              <w:rPr>
                <w:sz w:val="20"/>
                <w:szCs w:val="20"/>
                <w:color w:val="auto"/>
              </w:rPr>
            </w:pPr>
            <w:r>
              <w:rPr>
                <w:rFonts w:ascii="Arial" w:cs="Arial" w:eastAsia="Arial" w:hAnsi="Arial"/>
                <w:sz w:val="11"/>
                <w:szCs w:val="11"/>
                <w:color w:val="auto"/>
              </w:rPr>
              <w:t>$8.4</w:t>
            </w:r>
          </w:p>
        </w:tc>
        <w:tc>
          <w:tcPr>
            <w:tcW w:w="20" w:type="dxa"/>
            <w:vAlign w:val="bottom"/>
            <w:shd w:val="clear" w:color="auto" w:fill="CCCCCC"/>
          </w:tcPr>
          <w:p>
            <w:pPr>
              <w:spacing w:after="0"/>
              <w:rPr>
                <w:sz w:val="13"/>
                <w:szCs w:val="13"/>
                <w:color w:val="auto"/>
              </w:rPr>
            </w:pPr>
          </w:p>
        </w:tc>
      </w:tr>
      <w:tr>
        <w:trPr>
          <w:trHeight w:val="310"/>
        </w:trPr>
        <w:tc>
          <w:tcPr>
            <w:tcW w:w="4480" w:type="dxa"/>
            <w:vAlign w:val="bottom"/>
            <w:shd w:val="clear" w:color="auto" w:fill="CCCCCC"/>
          </w:tcPr>
          <w:p>
            <w:pPr>
              <w:ind w:left="40"/>
              <w:spacing w:after="0"/>
              <w:rPr>
                <w:sz w:val="20"/>
                <w:szCs w:val="20"/>
                <w:color w:val="auto"/>
              </w:rPr>
            </w:pPr>
            <w:r>
              <w:rPr>
                <w:rFonts w:ascii="Arial" w:cs="Arial" w:eastAsia="Arial" w:hAnsi="Arial"/>
                <w:sz w:val="11"/>
                <w:szCs w:val="11"/>
                <w:color w:val="auto"/>
              </w:rPr>
              <w:t>* Includes interest income of $0.8 million in 2020 and $0.6 million in 2019</w:t>
            </w:r>
          </w:p>
        </w:tc>
        <w:tc>
          <w:tcPr>
            <w:tcW w:w="2100" w:type="dxa"/>
            <w:vAlign w:val="bottom"/>
            <w:shd w:val="clear" w:color="auto" w:fill="CCCCCC"/>
          </w:tcPr>
          <w:p>
            <w:pPr>
              <w:spacing w:after="0"/>
              <w:rPr>
                <w:sz w:val="24"/>
                <w:szCs w:val="24"/>
                <w:color w:val="auto"/>
              </w:rPr>
            </w:pPr>
          </w:p>
        </w:tc>
        <w:tc>
          <w:tcPr>
            <w:tcW w:w="1560" w:type="dxa"/>
            <w:vAlign w:val="bottom"/>
            <w:shd w:val="clear" w:color="auto" w:fill="CCCCCC"/>
          </w:tcPr>
          <w:p>
            <w:pPr>
              <w:spacing w:after="0"/>
              <w:rPr>
                <w:sz w:val="24"/>
                <w:szCs w:val="24"/>
                <w:color w:val="auto"/>
              </w:rPr>
            </w:pPr>
          </w:p>
        </w:tc>
        <w:tc>
          <w:tcPr>
            <w:tcW w:w="780" w:type="dxa"/>
            <w:vAlign w:val="bottom"/>
            <w:shd w:val="clear" w:color="auto" w:fill="CCCCCC"/>
          </w:tcPr>
          <w:p>
            <w:pPr>
              <w:spacing w:after="0"/>
              <w:rPr>
                <w:sz w:val="24"/>
                <w:szCs w:val="24"/>
                <w:color w:val="auto"/>
              </w:rPr>
            </w:pPr>
          </w:p>
        </w:tc>
        <w:tc>
          <w:tcPr>
            <w:tcW w:w="960" w:type="dxa"/>
            <w:vAlign w:val="bottom"/>
            <w:shd w:val="clear" w:color="auto" w:fill="CCCCCC"/>
          </w:tcPr>
          <w:p>
            <w:pPr>
              <w:spacing w:after="0"/>
              <w:rPr>
                <w:sz w:val="24"/>
                <w:szCs w:val="24"/>
                <w:color w:val="auto"/>
              </w:rPr>
            </w:pPr>
          </w:p>
        </w:tc>
        <w:tc>
          <w:tcPr>
            <w:tcW w:w="1240" w:type="dxa"/>
            <w:vAlign w:val="bottom"/>
            <w:shd w:val="clear" w:color="auto" w:fill="CCCCCC"/>
          </w:tcPr>
          <w:p>
            <w:pPr>
              <w:spacing w:after="0"/>
              <w:rPr>
                <w:sz w:val="24"/>
                <w:szCs w:val="24"/>
                <w:color w:val="auto"/>
              </w:rPr>
            </w:pPr>
          </w:p>
        </w:tc>
        <w:tc>
          <w:tcPr>
            <w:tcW w:w="20" w:type="dxa"/>
            <w:vAlign w:val="bottom"/>
            <w:shd w:val="clear" w:color="auto" w:fill="CCCCCC"/>
          </w:tcPr>
          <w:p>
            <w:pPr>
              <w:spacing w:after="0"/>
              <w:rPr>
                <w:sz w:val="24"/>
                <w:szCs w:val="24"/>
                <w:color w:val="auto"/>
              </w:rPr>
            </w:pPr>
          </w:p>
        </w:tc>
      </w:tr>
      <w:tr>
        <w:trPr>
          <w:trHeight w:val="243"/>
        </w:trPr>
        <w:tc>
          <w:tcPr>
            <w:tcW w:w="44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42"/>
        </w:trPr>
        <w:tc>
          <w:tcPr>
            <w:tcW w:w="4480" w:type="dxa"/>
            <w:vAlign w:val="bottom"/>
            <w:shd w:val="clear" w:color="auto" w:fill="0F243E"/>
          </w:tcPr>
          <w:p>
            <w:pPr>
              <w:spacing w:after="0"/>
              <w:rPr>
                <w:sz w:val="12"/>
                <w:szCs w:val="12"/>
                <w:color w:val="auto"/>
              </w:rPr>
            </w:pPr>
          </w:p>
        </w:tc>
        <w:tc>
          <w:tcPr>
            <w:tcW w:w="2100" w:type="dxa"/>
            <w:vAlign w:val="bottom"/>
            <w:shd w:val="clear" w:color="auto" w:fill="0F243E"/>
          </w:tcPr>
          <w:p>
            <w:pPr>
              <w:spacing w:after="0"/>
              <w:rPr>
                <w:sz w:val="12"/>
                <w:szCs w:val="12"/>
                <w:color w:val="auto"/>
              </w:rPr>
            </w:pPr>
          </w:p>
        </w:tc>
        <w:tc>
          <w:tcPr>
            <w:tcW w:w="1560" w:type="dxa"/>
            <w:vAlign w:val="bottom"/>
            <w:shd w:val="clear" w:color="auto" w:fill="0F243E"/>
          </w:tcPr>
          <w:p>
            <w:pPr>
              <w:spacing w:after="0"/>
              <w:rPr>
                <w:sz w:val="12"/>
                <w:szCs w:val="12"/>
                <w:color w:val="auto"/>
              </w:rPr>
            </w:pPr>
          </w:p>
        </w:tc>
        <w:tc>
          <w:tcPr>
            <w:tcW w:w="780" w:type="dxa"/>
            <w:vAlign w:val="bottom"/>
            <w:shd w:val="clear" w:color="auto" w:fill="0F243E"/>
          </w:tcPr>
          <w:p>
            <w:pPr>
              <w:spacing w:after="0"/>
              <w:rPr>
                <w:sz w:val="12"/>
                <w:szCs w:val="12"/>
                <w:color w:val="auto"/>
              </w:rPr>
            </w:pPr>
          </w:p>
        </w:tc>
        <w:tc>
          <w:tcPr>
            <w:tcW w:w="960" w:type="dxa"/>
            <w:vAlign w:val="bottom"/>
            <w:shd w:val="clear" w:color="auto" w:fill="0F243E"/>
          </w:tcPr>
          <w:p>
            <w:pPr>
              <w:jc w:val="center"/>
              <w:ind w:left="426"/>
              <w:spacing w:after="0"/>
              <w:rPr>
                <w:sz w:val="20"/>
                <w:szCs w:val="20"/>
                <w:color w:val="auto"/>
              </w:rPr>
            </w:pPr>
            <w:r>
              <w:rPr>
                <w:rFonts w:ascii="Arial" w:cs="Arial" w:eastAsia="Arial" w:hAnsi="Arial"/>
                <w:sz w:val="11"/>
                <w:szCs w:val="11"/>
                <w:b w:val="1"/>
                <w:bCs w:val="1"/>
                <w:color w:val="FFFFFF"/>
                <w:w w:val="94"/>
              </w:rPr>
              <w:t>Full Year</w:t>
            </w:r>
          </w:p>
        </w:tc>
        <w:tc>
          <w:tcPr>
            <w:tcW w:w="1240" w:type="dxa"/>
            <w:vAlign w:val="bottom"/>
            <w:shd w:val="clear" w:color="auto" w:fill="0F243E"/>
          </w:tcPr>
          <w:p>
            <w:pPr>
              <w:spacing w:after="0"/>
              <w:rPr>
                <w:sz w:val="12"/>
                <w:szCs w:val="12"/>
                <w:color w:val="auto"/>
              </w:rPr>
            </w:pPr>
          </w:p>
        </w:tc>
        <w:tc>
          <w:tcPr>
            <w:tcW w:w="20" w:type="dxa"/>
            <w:vAlign w:val="bottom"/>
            <w:shd w:val="clear" w:color="auto" w:fill="0F243E"/>
          </w:tcPr>
          <w:p>
            <w:pPr>
              <w:spacing w:after="0"/>
              <w:rPr>
                <w:sz w:val="12"/>
                <w:szCs w:val="12"/>
                <w:color w:val="auto"/>
              </w:rPr>
            </w:pPr>
          </w:p>
        </w:tc>
      </w:tr>
      <w:tr>
        <w:trPr>
          <w:trHeight w:val="142"/>
        </w:trPr>
        <w:tc>
          <w:tcPr>
            <w:tcW w:w="4480" w:type="dxa"/>
            <w:vAlign w:val="bottom"/>
            <w:shd w:val="clear" w:color="auto" w:fill="0F243E"/>
          </w:tcPr>
          <w:p>
            <w:pPr>
              <w:spacing w:after="0"/>
              <w:rPr>
                <w:sz w:val="12"/>
                <w:szCs w:val="12"/>
                <w:color w:val="auto"/>
              </w:rPr>
            </w:pPr>
          </w:p>
        </w:tc>
        <w:tc>
          <w:tcPr>
            <w:tcW w:w="2100" w:type="dxa"/>
            <w:vAlign w:val="bottom"/>
            <w:shd w:val="clear" w:color="auto" w:fill="0F243E"/>
          </w:tcPr>
          <w:p>
            <w:pPr>
              <w:spacing w:after="0"/>
              <w:rPr>
                <w:sz w:val="12"/>
                <w:szCs w:val="12"/>
                <w:color w:val="auto"/>
              </w:rPr>
            </w:pPr>
          </w:p>
        </w:tc>
        <w:tc>
          <w:tcPr>
            <w:tcW w:w="1560" w:type="dxa"/>
            <w:vAlign w:val="bottom"/>
            <w:shd w:val="clear" w:color="auto" w:fill="0F243E"/>
          </w:tcPr>
          <w:p>
            <w:pPr>
              <w:spacing w:after="0"/>
              <w:rPr>
                <w:sz w:val="12"/>
                <w:szCs w:val="12"/>
                <w:color w:val="auto"/>
              </w:rPr>
            </w:pPr>
          </w:p>
        </w:tc>
        <w:tc>
          <w:tcPr>
            <w:tcW w:w="780" w:type="dxa"/>
            <w:vAlign w:val="bottom"/>
            <w:shd w:val="clear" w:color="auto" w:fill="0F243E"/>
          </w:tcPr>
          <w:p>
            <w:pPr>
              <w:spacing w:after="0"/>
              <w:rPr>
                <w:sz w:val="12"/>
                <w:szCs w:val="12"/>
                <w:color w:val="auto"/>
              </w:rPr>
            </w:pPr>
          </w:p>
        </w:tc>
        <w:tc>
          <w:tcPr>
            <w:tcW w:w="960" w:type="dxa"/>
            <w:vAlign w:val="bottom"/>
            <w:shd w:val="clear" w:color="auto" w:fill="0F243E"/>
          </w:tcPr>
          <w:p>
            <w:pPr>
              <w:jc w:val="center"/>
              <w:ind w:left="426"/>
              <w:spacing w:after="0"/>
              <w:rPr>
                <w:sz w:val="20"/>
                <w:szCs w:val="20"/>
                <w:color w:val="auto"/>
              </w:rPr>
            </w:pPr>
            <w:r>
              <w:rPr>
                <w:rFonts w:ascii="Arial" w:cs="Arial" w:eastAsia="Arial" w:hAnsi="Arial"/>
                <w:sz w:val="11"/>
                <w:szCs w:val="11"/>
                <w:b w:val="1"/>
                <w:bCs w:val="1"/>
                <w:color w:val="FFFFFF"/>
                <w:w w:val="95"/>
              </w:rPr>
              <w:t>Forecast</w:t>
            </w:r>
          </w:p>
        </w:tc>
        <w:tc>
          <w:tcPr>
            <w:tcW w:w="1240" w:type="dxa"/>
            <w:vAlign w:val="bottom"/>
            <w:shd w:val="clear" w:color="auto" w:fill="0F243E"/>
          </w:tcPr>
          <w:p>
            <w:pPr>
              <w:spacing w:after="0"/>
              <w:rPr>
                <w:sz w:val="12"/>
                <w:szCs w:val="12"/>
                <w:color w:val="auto"/>
              </w:rPr>
            </w:pPr>
          </w:p>
        </w:tc>
        <w:tc>
          <w:tcPr>
            <w:tcW w:w="20" w:type="dxa"/>
            <w:vAlign w:val="bottom"/>
            <w:shd w:val="clear" w:color="auto" w:fill="0F243E"/>
          </w:tcPr>
          <w:p>
            <w:pPr>
              <w:spacing w:after="0"/>
              <w:rPr>
                <w:sz w:val="12"/>
                <w:szCs w:val="12"/>
                <w:color w:val="auto"/>
              </w:rPr>
            </w:pPr>
          </w:p>
        </w:tc>
      </w:tr>
      <w:tr>
        <w:trPr>
          <w:trHeight w:val="184"/>
        </w:trPr>
        <w:tc>
          <w:tcPr>
            <w:tcW w:w="4480" w:type="dxa"/>
            <w:vAlign w:val="bottom"/>
            <w:shd w:val="clear" w:color="auto" w:fill="0F243E"/>
          </w:tcPr>
          <w:p>
            <w:pPr>
              <w:ind w:left="40"/>
              <w:spacing w:after="0"/>
              <w:rPr>
                <w:sz w:val="20"/>
                <w:szCs w:val="20"/>
                <w:color w:val="auto"/>
              </w:rPr>
            </w:pPr>
            <w:r>
              <w:rPr>
                <w:rFonts w:ascii="Arial" w:cs="Arial" w:eastAsia="Arial" w:hAnsi="Arial"/>
                <w:sz w:val="11"/>
                <w:szCs w:val="11"/>
                <w:i w:val="1"/>
                <w:iCs w:val="1"/>
                <w:color w:val="FFFFFF"/>
              </w:rPr>
              <w:t>(in millions)</w:t>
            </w:r>
          </w:p>
        </w:tc>
        <w:tc>
          <w:tcPr>
            <w:tcW w:w="2100" w:type="dxa"/>
            <w:vAlign w:val="bottom"/>
            <w:shd w:val="clear" w:color="auto" w:fill="0F243E"/>
          </w:tcPr>
          <w:p>
            <w:pPr>
              <w:spacing w:after="0"/>
              <w:rPr>
                <w:sz w:val="16"/>
                <w:szCs w:val="16"/>
                <w:color w:val="auto"/>
              </w:rPr>
            </w:pPr>
          </w:p>
        </w:tc>
        <w:tc>
          <w:tcPr>
            <w:tcW w:w="1560" w:type="dxa"/>
            <w:vAlign w:val="bottom"/>
            <w:shd w:val="clear" w:color="auto" w:fill="0F243E"/>
          </w:tcPr>
          <w:p>
            <w:pPr>
              <w:spacing w:after="0"/>
              <w:rPr>
                <w:sz w:val="16"/>
                <w:szCs w:val="16"/>
                <w:color w:val="auto"/>
              </w:rPr>
            </w:pPr>
          </w:p>
        </w:tc>
        <w:tc>
          <w:tcPr>
            <w:tcW w:w="780" w:type="dxa"/>
            <w:vAlign w:val="bottom"/>
            <w:shd w:val="clear" w:color="auto" w:fill="0F243E"/>
          </w:tcPr>
          <w:p>
            <w:pPr>
              <w:spacing w:after="0"/>
              <w:rPr>
                <w:sz w:val="16"/>
                <w:szCs w:val="16"/>
                <w:color w:val="auto"/>
              </w:rPr>
            </w:pPr>
          </w:p>
        </w:tc>
        <w:tc>
          <w:tcPr>
            <w:tcW w:w="960" w:type="dxa"/>
            <w:vAlign w:val="bottom"/>
            <w:shd w:val="clear" w:color="auto" w:fill="0F243E"/>
          </w:tcPr>
          <w:p>
            <w:pPr>
              <w:jc w:val="center"/>
              <w:ind w:left="406"/>
              <w:spacing w:after="0"/>
              <w:rPr>
                <w:sz w:val="20"/>
                <w:szCs w:val="20"/>
                <w:color w:val="auto"/>
              </w:rPr>
            </w:pPr>
            <w:r>
              <w:rPr>
                <w:rFonts w:ascii="Arial" w:cs="Arial" w:eastAsia="Arial" w:hAnsi="Arial"/>
                <w:sz w:val="11"/>
                <w:szCs w:val="11"/>
                <w:b w:val="1"/>
                <w:bCs w:val="1"/>
                <w:color w:val="FFFFFF"/>
                <w:w w:val="96"/>
              </w:rPr>
              <w:t>2020F</w:t>
            </w:r>
          </w:p>
        </w:tc>
        <w:tc>
          <w:tcPr>
            <w:tcW w:w="1240" w:type="dxa"/>
            <w:vAlign w:val="bottom"/>
            <w:shd w:val="clear" w:color="auto" w:fill="0F243E"/>
          </w:tcPr>
          <w:p>
            <w:pPr>
              <w:spacing w:after="0"/>
              <w:rPr>
                <w:sz w:val="16"/>
                <w:szCs w:val="16"/>
                <w:color w:val="auto"/>
              </w:rPr>
            </w:pPr>
          </w:p>
        </w:tc>
        <w:tc>
          <w:tcPr>
            <w:tcW w:w="20" w:type="dxa"/>
            <w:vAlign w:val="bottom"/>
            <w:shd w:val="clear" w:color="auto" w:fill="0F243E"/>
          </w:tcPr>
          <w:p>
            <w:pPr>
              <w:spacing w:after="0"/>
              <w:rPr>
                <w:sz w:val="16"/>
                <w:szCs w:val="16"/>
                <w:color w:val="auto"/>
              </w:rPr>
            </w:pPr>
          </w:p>
        </w:tc>
      </w:tr>
      <w:tr>
        <w:trPr>
          <w:trHeight w:val="158"/>
        </w:trPr>
        <w:tc>
          <w:tcPr>
            <w:tcW w:w="4480" w:type="dxa"/>
            <w:vAlign w:val="bottom"/>
            <w:shd w:val="clear" w:color="auto" w:fill="CCCCCC"/>
          </w:tcPr>
          <w:p>
            <w:pPr>
              <w:ind w:left="40"/>
              <w:spacing w:after="0"/>
              <w:rPr>
                <w:sz w:val="20"/>
                <w:szCs w:val="20"/>
                <w:color w:val="auto"/>
              </w:rPr>
            </w:pPr>
            <w:r>
              <w:rPr>
                <w:rFonts w:ascii="Arial" w:cs="Arial" w:eastAsia="Arial" w:hAnsi="Arial"/>
                <w:sz w:val="11"/>
                <w:szCs w:val="11"/>
                <w:color w:val="auto"/>
              </w:rPr>
              <w:t>Net income</w:t>
            </w:r>
          </w:p>
        </w:tc>
        <w:tc>
          <w:tcPr>
            <w:tcW w:w="2100" w:type="dxa"/>
            <w:vAlign w:val="bottom"/>
            <w:shd w:val="clear" w:color="auto" w:fill="CCCCCC"/>
          </w:tcPr>
          <w:p>
            <w:pPr>
              <w:spacing w:after="0"/>
              <w:rPr>
                <w:sz w:val="13"/>
                <w:szCs w:val="13"/>
                <w:color w:val="auto"/>
              </w:rPr>
            </w:pPr>
          </w:p>
        </w:tc>
        <w:tc>
          <w:tcPr>
            <w:tcW w:w="1560" w:type="dxa"/>
            <w:vAlign w:val="bottom"/>
            <w:shd w:val="clear" w:color="auto" w:fill="CCCCCC"/>
          </w:tcPr>
          <w:p>
            <w:pPr>
              <w:spacing w:after="0"/>
              <w:rPr>
                <w:sz w:val="13"/>
                <w:szCs w:val="13"/>
                <w:color w:val="auto"/>
              </w:rPr>
            </w:pPr>
          </w:p>
        </w:tc>
        <w:tc>
          <w:tcPr>
            <w:tcW w:w="780" w:type="dxa"/>
            <w:vAlign w:val="bottom"/>
            <w:shd w:val="clear" w:color="auto" w:fill="CCCCCC"/>
          </w:tcPr>
          <w:p>
            <w:pPr>
              <w:spacing w:after="0"/>
              <w:rPr>
                <w:sz w:val="13"/>
                <w:szCs w:val="13"/>
                <w:color w:val="auto"/>
              </w:rPr>
            </w:pPr>
          </w:p>
        </w:tc>
        <w:tc>
          <w:tcPr>
            <w:tcW w:w="960" w:type="dxa"/>
            <w:vAlign w:val="bottom"/>
            <w:shd w:val="clear" w:color="auto" w:fill="CCCCCC"/>
          </w:tcPr>
          <w:p>
            <w:pPr>
              <w:spacing w:after="0"/>
              <w:rPr>
                <w:sz w:val="13"/>
                <w:szCs w:val="13"/>
                <w:color w:val="auto"/>
              </w:rPr>
            </w:pPr>
          </w:p>
        </w:tc>
        <w:tc>
          <w:tcPr>
            <w:tcW w:w="1240" w:type="dxa"/>
            <w:vAlign w:val="bottom"/>
            <w:shd w:val="clear" w:color="auto" w:fill="CCCCCC"/>
          </w:tcPr>
          <w:p>
            <w:pPr>
              <w:jc w:val="right"/>
              <w:ind w:right="106"/>
              <w:spacing w:after="0"/>
              <w:rPr>
                <w:sz w:val="20"/>
                <w:szCs w:val="20"/>
                <w:color w:val="auto"/>
              </w:rPr>
            </w:pPr>
            <w:r>
              <w:rPr>
                <w:rFonts w:ascii="Arial" w:cs="Arial" w:eastAsia="Arial" w:hAnsi="Arial"/>
                <w:sz w:val="11"/>
                <w:szCs w:val="11"/>
                <w:color w:val="auto"/>
              </w:rPr>
              <w:t>$105 - $155</w:t>
            </w:r>
          </w:p>
        </w:tc>
        <w:tc>
          <w:tcPr>
            <w:tcW w:w="20" w:type="dxa"/>
            <w:vAlign w:val="bottom"/>
            <w:shd w:val="clear" w:color="auto" w:fill="CCCCCC"/>
          </w:tcPr>
          <w:p>
            <w:pPr>
              <w:spacing w:after="0"/>
              <w:rPr>
                <w:sz w:val="13"/>
                <w:szCs w:val="13"/>
                <w:color w:val="auto"/>
              </w:rPr>
            </w:pPr>
          </w:p>
        </w:tc>
      </w:tr>
      <w:tr>
        <w:trPr>
          <w:trHeight w:val="171"/>
        </w:trPr>
        <w:tc>
          <w:tcPr>
            <w:tcW w:w="4480" w:type="dxa"/>
            <w:vAlign w:val="bottom"/>
            <w:shd w:val="clear" w:color="auto" w:fill="CCCCCC"/>
          </w:tcPr>
          <w:p>
            <w:pPr>
              <w:ind w:left="120"/>
              <w:spacing w:after="0"/>
              <w:rPr>
                <w:sz w:val="20"/>
                <w:szCs w:val="20"/>
                <w:color w:val="auto"/>
              </w:rPr>
            </w:pPr>
            <w:r>
              <w:rPr>
                <w:rFonts w:ascii="Arial" w:cs="Arial" w:eastAsia="Arial" w:hAnsi="Arial"/>
                <w:sz w:val="11"/>
                <w:szCs w:val="11"/>
                <w:color w:val="auto"/>
              </w:rPr>
              <w:t>Adjustments:</w:t>
            </w:r>
          </w:p>
        </w:tc>
        <w:tc>
          <w:tcPr>
            <w:tcW w:w="2100" w:type="dxa"/>
            <w:vAlign w:val="bottom"/>
            <w:shd w:val="clear" w:color="auto" w:fill="CCCCCC"/>
          </w:tcPr>
          <w:p>
            <w:pPr>
              <w:spacing w:after="0"/>
              <w:rPr>
                <w:sz w:val="14"/>
                <w:szCs w:val="14"/>
                <w:color w:val="auto"/>
              </w:rPr>
            </w:pPr>
          </w:p>
        </w:tc>
        <w:tc>
          <w:tcPr>
            <w:tcW w:w="1560" w:type="dxa"/>
            <w:vAlign w:val="bottom"/>
            <w:shd w:val="clear" w:color="auto" w:fill="CCCCCC"/>
          </w:tcPr>
          <w:p>
            <w:pPr>
              <w:spacing w:after="0"/>
              <w:rPr>
                <w:sz w:val="14"/>
                <w:szCs w:val="14"/>
                <w:color w:val="auto"/>
              </w:rPr>
            </w:pPr>
          </w:p>
        </w:tc>
        <w:tc>
          <w:tcPr>
            <w:tcW w:w="780" w:type="dxa"/>
            <w:vAlign w:val="bottom"/>
            <w:shd w:val="clear" w:color="auto" w:fill="CCCCCC"/>
          </w:tcPr>
          <w:p>
            <w:pPr>
              <w:spacing w:after="0"/>
              <w:rPr>
                <w:sz w:val="14"/>
                <w:szCs w:val="14"/>
                <w:color w:val="auto"/>
              </w:rPr>
            </w:pPr>
          </w:p>
        </w:tc>
        <w:tc>
          <w:tcPr>
            <w:tcW w:w="960" w:type="dxa"/>
            <w:vAlign w:val="bottom"/>
            <w:shd w:val="clear" w:color="auto" w:fill="CCCCCC"/>
          </w:tcPr>
          <w:p>
            <w:pPr>
              <w:spacing w:after="0"/>
              <w:rPr>
                <w:sz w:val="14"/>
                <w:szCs w:val="14"/>
                <w:color w:val="auto"/>
              </w:rPr>
            </w:pPr>
          </w:p>
        </w:tc>
        <w:tc>
          <w:tcPr>
            <w:tcW w:w="1240" w:type="dxa"/>
            <w:vAlign w:val="bottom"/>
            <w:shd w:val="clear" w:color="auto" w:fill="CCCCCC"/>
          </w:tcPr>
          <w:p>
            <w:pPr>
              <w:spacing w:after="0"/>
              <w:rPr>
                <w:sz w:val="14"/>
                <w:szCs w:val="14"/>
                <w:color w:val="auto"/>
              </w:rPr>
            </w:pPr>
          </w:p>
        </w:tc>
        <w:tc>
          <w:tcPr>
            <w:tcW w:w="20" w:type="dxa"/>
            <w:vAlign w:val="bottom"/>
            <w:shd w:val="clear" w:color="auto" w:fill="CCCCCC"/>
          </w:tcPr>
          <w:p>
            <w:pPr>
              <w:spacing w:after="0"/>
              <w:rPr>
                <w:sz w:val="14"/>
                <w:szCs w:val="14"/>
                <w:color w:val="auto"/>
              </w:rPr>
            </w:pPr>
          </w:p>
        </w:tc>
      </w:tr>
      <w:tr>
        <w:trPr>
          <w:trHeight w:val="171"/>
        </w:trPr>
        <w:tc>
          <w:tcPr>
            <w:tcW w:w="448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Depreciation &amp; amortization</w:t>
            </w:r>
          </w:p>
        </w:tc>
        <w:tc>
          <w:tcPr>
            <w:tcW w:w="2100" w:type="dxa"/>
            <w:vAlign w:val="bottom"/>
            <w:shd w:val="clear" w:color="auto" w:fill="CCCCCC"/>
          </w:tcPr>
          <w:p>
            <w:pPr>
              <w:spacing w:after="0"/>
              <w:rPr>
                <w:sz w:val="14"/>
                <w:szCs w:val="14"/>
                <w:color w:val="auto"/>
              </w:rPr>
            </w:pPr>
          </w:p>
        </w:tc>
        <w:tc>
          <w:tcPr>
            <w:tcW w:w="1560" w:type="dxa"/>
            <w:vAlign w:val="bottom"/>
            <w:shd w:val="clear" w:color="auto" w:fill="CCCCCC"/>
          </w:tcPr>
          <w:p>
            <w:pPr>
              <w:spacing w:after="0"/>
              <w:rPr>
                <w:sz w:val="14"/>
                <w:szCs w:val="14"/>
                <w:color w:val="auto"/>
              </w:rPr>
            </w:pPr>
          </w:p>
        </w:tc>
        <w:tc>
          <w:tcPr>
            <w:tcW w:w="780" w:type="dxa"/>
            <w:vAlign w:val="bottom"/>
            <w:shd w:val="clear" w:color="auto" w:fill="CCCCCC"/>
          </w:tcPr>
          <w:p>
            <w:pPr>
              <w:spacing w:after="0"/>
              <w:rPr>
                <w:sz w:val="14"/>
                <w:szCs w:val="14"/>
                <w:color w:val="auto"/>
              </w:rPr>
            </w:pPr>
          </w:p>
        </w:tc>
        <w:tc>
          <w:tcPr>
            <w:tcW w:w="960" w:type="dxa"/>
            <w:vAlign w:val="bottom"/>
            <w:shd w:val="clear" w:color="auto" w:fill="CCCCCC"/>
          </w:tcPr>
          <w:p>
            <w:pPr>
              <w:spacing w:after="0"/>
              <w:rPr>
                <w:sz w:val="14"/>
                <w:szCs w:val="14"/>
                <w:color w:val="auto"/>
              </w:rPr>
            </w:pPr>
          </w:p>
        </w:tc>
        <w:tc>
          <w:tcPr>
            <w:tcW w:w="1260" w:type="dxa"/>
            <w:vAlign w:val="bottom"/>
            <w:gridSpan w:val="2"/>
            <w:shd w:val="clear" w:color="auto" w:fill="CCCCCC"/>
          </w:tcPr>
          <w:p>
            <w:pPr>
              <w:ind w:left="580"/>
              <w:spacing w:after="0"/>
              <w:rPr>
                <w:sz w:val="20"/>
                <w:szCs w:val="20"/>
                <w:color w:val="auto"/>
              </w:rPr>
            </w:pPr>
            <w:r>
              <w:rPr>
                <w:rFonts w:ascii="Arial" w:cs="Arial" w:eastAsia="Arial" w:hAnsi="Arial"/>
                <w:sz w:val="11"/>
                <w:szCs w:val="11"/>
                <w:color w:val="auto"/>
              </w:rPr>
              <w:t>111 to 121</w:t>
            </w:r>
          </w:p>
        </w:tc>
      </w:tr>
      <w:tr>
        <w:trPr>
          <w:trHeight w:val="171"/>
        </w:trPr>
        <w:tc>
          <w:tcPr>
            <w:tcW w:w="448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Provision for income taxes</w:t>
            </w:r>
          </w:p>
        </w:tc>
        <w:tc>
          <w:tcPr>
            <w:tcW w:w="2100" w:type="dxa"/>
            <w:vAlign w:val="bottom"/>
            <w:shd w:val="clear" w:color="auto" w:fill="CCCCCC"/>
          </w:tcPr>
          <w:p>
            <w:pPr>
              <w:spacing w:after="0"/>
              <w:rPr>
                <w:sz w:val="14"/>
                <w:szCs w:val="14"/>
                <w:color w:val="auto"/>
              </w:rPr>
            </w:pPr>
          </w:p>
        </w:tc>
        <w:tc>
          <w:tcPr>
            <w:tcW w:w="1560" w:type="dxa"/>
            <w:vAlign w:val="bottom"/>
            <w:shd w:val="clear" w:color="auto" w:fill="CCCCCC"/>
          </w:tcPr>
          <w:p>
            <w:pPr>
              <w:spacing w:after="0"/>
              <w:rPr>
                <w:sz w:val="14"/>
                <w:szCs w:val="14"/>
                <w:color w:val="auto"/>
              </w:rPr>
            </w:pPr>
          </w:p>
        </w:tc>
        <w:tc>
          <w:tcPr>
            <w:tcW w:w="780" w:type="dxa"/>
            <w:vAlign w:val="bottom"/>
            <w:shd w:val="clear" w:color="auto" w:fill="CCCCCC"/>
          </w:tcPr>
          <w:p>
            <w:pPr>
              <w:spacing w:after="0"/>
              <w:rPr>
                <w:sz w:val="14"/>
                <w:szCs w:val="14"/>
                <w:color w:val="auto"/>
              </w:rPr>
            </w:pPr>
          </w:p>
        </w:tc>
        <w:tc>
          <w:tcPr>
            <w:tcW w:w="960" w:type="dxa"/>
            <w:vAlign w:val="bottom"/>
            <w:shd w:val="clear" w:color="auto" w:fill="CCCCCC"/>
          </w:tcPr>
          <w:p>
            <w:pPr>
              <w:spacing w:after="0"/>
              <w:rPr>
                <w:sz w:val="14"/>
                <w:szCs w:val="14"/>
                <w:color w:val="auto"/>
              </w:rPr>
            </w:pPr>
          </w:p>
        </w:tc>
        <w:tc>
          <w:tcPr>
            <w:tcW w:w="1240" w:type="dxa"/>
            <w:vAlign w:val="bottom"/>
            <w:shd w:val="clear" w:color="auto" w:fill="CCCCCC"/>
          </w:tcPr>
          <w:p>
            <w:pPr>
              <w:jc w:val="right"/>
              <w:ind w:right="106"/>
              <w:spacing w:after="0"/>
              <w:rPr>
                <w:sz w:val="20"/>
                <w:szCs w:val="20"/>
                <w:color w:val="auto"/>
              </w:rPr>
            </w:pPr>
            <w:r>
              <w:rPr>
                <w:rFonts w:ascii="Arial" w:cs="Arial" w:eastAsia="Arial" w:hAnsi="Arial"/>
                <w:sz w:val="11"/>
                <w:szCs w:val="11"/>
                <w:color w:val="auto"/>
              </w:rPr>
              <w:t>31</w:t>
            </w:r>
          </w:p>
        </w:tc>
        <w:tc>
          <w:tcPr>
            <w:tcW w:w="20" w:type="dxa"/>
            <w:vAlign w:val="bottom"/>
            <w:shd w:val="clear" w:color="auto" w:fill="CCCCCC"/>
          </w:tcPr>
          <w:p>
            <w:pPr>
              <w:spacing w:after="0"/>
              <w:rPr>
                <w:sz w:val="14"/>
                <w:szCs w:val="14"/>
                <w:color w:val="auto"/>
              </w:rPr>
            </w:pPr>
          </w:p>
        </w:tc>
      </w:tr>
      <w:tr>
        <w:trPr>
          <w:trHeight w:val="171"/>
        </w:trPr>
        <w:tc>
          <w:tcPr>
            <w:tcW w:w="448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Total interest expense</w:t>
            </w:r>
          </w:p>
        </w:tc>
        <w:tc>
          <w:tcPr>
            <w:tcW w:w="2100" w:type="dxa"/>
            <w:vAlign w:val="bottom"/>
            <w:shd w:val="clear" w:color="auto" w:fill="CCCCCC"/>
          </w:tcPr>
          <w:p>
            <w:pPr>
              <w:spacing w:after="0"/>
              <w:rPr>
                <w:sz w:val="14"/>
                <w:szCs w:val="14"/>
                <w:color w:val="auto"/>
              </w:rPr>
            </w:pPr>
          </w:p>
        </w:tc>
        <w:tc>
          <w:tcPr>
            <w:tcW w:w="1560" w:type="dxa"/>
            <w:vAlign w:val="bottom"/>
            <w:shd w:val="clear" w:color="auto" w:fill="CCCCCC"/>
          </w:tcPr>
          <w:p>
            <w:pPr>
              <w:spacing w:after="0"/>
              <w:rPr>
                <w:sz w:val="14"/>
                <w:szCs w:val="14"/>
                <w:color w:val="auto"/>
              </w:rPr>
            </w:pPr>
          </w:p>
        </w:tc>
        <w:tc>
          <w:tcPr>
            <w:tcW w:w="780" w:type="dxa"/>
            <w:vAlign w:val="bottom"/>
            <w:shd w:val="clear" w:color="auto" w:fill="CCCCCC"/>
          </w:tcPr>
          <w:p>
            <w:pPr>
              <w:spacing w:after="0"/>
              <w:rPr>
                <w:sz w:val="14"/>
                <w:szCs w:val="14"/>
                <w:color w:val="auto"/>
              </w:rPr>
            </w:pPr>
          </w:p>
        </w:tc>
        <w:tc>
          <w:tcPr>
            <w:tcW w:w="960" w:type="dxa"/>
            <w:vAlign w:val="bottom"/>
            <w:shd w:val="clear" w:color="auto" w:fill="CCCCCC"/>
          </w:tcPr>
          <w:p>
            <w:pPr>
              <w:spacing w:after="0"/>
              <w:rPr>
                <w:sz w:val="14"/>
                <w:szCs w:val="14"/>
                <w:color w:val="auto"/>
              </w:rPr>
            </w:pPr>
          </w:p>
        </w:tc>
        <w:tc>
          <w:tcPr>
            <w:tcW w:w="1240" w:type="dxa"/>
            <w:vAlign w:val="bottom"/>
            <w:shd w:val="clear" w:color="auto" w:fill="CCCCCC"/>
          </w:tcPr>
          <w:p>
            <w:pPr>
              <w:jc w:val="right"/>
              <w:ind w:right="106"/>
              <w:spacing w:after="0"/>
              <w:rPr>
                <w:sz w:val="20"/>
                <w:szCs w:val="20"/>
                <w:color w:val="auto"/>
              </w:rPr>
            </w:pPr>
            <w:r>
              <w:rPr>
                <w:rFonts w:ascii="Arial" w:cs="Arial" w:eastAsia="Arial" w:hAnsi="Arial"/>
                <w:sz w:val="11"/>
                <w:szCs w:val="11"/>
                <w:color w:val="auto"/>
              </w:rPr>
              <w:t>48</w:t>
            </w:r>
          </w:p>
        </w:tc>
        <w:tc>
          <w:tcPr>
            <w:tcW w:w="20" w:type="dxa"/>
            <w:vAlign w:val="bottom"/>
            <w:shd w:val="clear" w:color="auto" w:fill="CCCCCC"/>
          </w:tcPr>
          <w:p>
            <w:pPr>
              <w:spacing w:after="0"/>
              <w:rPr>
                <w:sz w:val="14"/>
                <w:szCs w:val="14"/>
                <w:color w:val="auto"/>
              </w:rPr>
            </w:pPr>
          </w:p>
        </w:tc>
      </w:tr>
      <w:tr>
        <w:trPr>
          <w:trHeight w:val="162"/>
        </w:trPr>
        <w:tc>
          <w:tcPr>
            <w:tcW w:w="4480" w:type="dxa"/>
            <w:vAlign w:val="bottom"/>
            <w:shd w:val="clear" w:color="auto" w:fill="CCCCCC"/>
          </w:tcPr>
          <w:p>
            <w:pPr>
              <w:ind w:left="200"/>
              <w:spacing w:after="0"/>
              <w:rPr>
                <w:sz w:val="20"/>
                <w:szCs w:val="20"/>
                <w:color w:val="auto"/>
              </w:rPr>
            </w:pPr>
            <w:r>
              <w:rPr>
                <w:rFonts w:ascii="Arial" w:cs="Arial" w:eastAsia="Arial" w:hAnsi="Arial"/>
                <w:sz w:val="11"/>
                <w:szCs w:val="11"/>
                <w:color w:val="auto"/>
              </w:rPr>
              <w:t>+ Acquisition-related costs (transaction &amp; integration)</w:t>
            </w:r>
          </w:p>
        </w:tc>
        <w:tc>
          <w:tcPr>
            <w:tcW w:w="2100" w:type="dxa"/>
            <w:vAlign w:val="bottom"/>
            <w:shd w:val="clear" w:color="auto" w:fill="CCCCCC"/>
          </w:tcPr>
          <w:p>
            <w:pPr>
              <w:spacing w:after="0"/>
              <w:rPr>
                <w:sz w:val="14"/>
                <w:szCs w:val="14"/>
                <w:color w:val="auto"/>
              </w:rPr>
            </w:pPr>
          </w:p>
        </w:tc>
        <w:tc>
          <w:tcPr>
            <w:tcW w:w="1560" w:type="dxa"/>
            <w:vAlign w:val="bottom"/>
            <w:shd w:val="clear" w:color="auto" w:fill="CCCCCC"/>
          </w:tcPr>
          <w:p>
            <w:pPr>
              <w:spacing w:after="0"/>
              <w:rPr>
                <w:sz w:val="14"/>
                <w:szCs w:val="14"/>
                <w:color w:val="auto"/>
              </w:rPr>
            </w:pPr>
          </w:p>
        </w:tc>
        <w:tc>
          <w:tcPr>
            <w:tcW w:w="780" w:type="dxa"/>
            <w:vAlign w:val="bottom"/>
            <w:shd w:val="clear" w:color="auto" w:fill="CCCCCC"/>
          </w:tcPr>
          <w:p>
            <w:pPr>
              <w:spacing w:after="0"/>
              <w:rPr>
                <w:sz w:val="14"/>
                <w:szCs w:val="14"/>
                <w:color w:val="auto"/>
              </w:rPr>
            </w:pPr>
          </w:p>
        </w:tc>
        <w:tc>
          <w:tcPr>
            <w:tcW w:w="960" w:type="dxa"/>
            <w:vAlign w:val="bottom"/>
            <w:shd w:val="clear" w:color="auto" w:fill="CCCCCC"/>
          </w:tcPr>
          <w:p>
            <w:pPr>
              <w:spacing w:after="0"/>
              <w:rPr>
                <w:sz w:val="14"/>
                <w:szCs w:val="14"/>
                <w:color w:val="auto"/>
              </w:rPr>
            </w:pPr>
          </w:p>
        </w:tc>
        <w:tc>
          <w:tcPr>
            <w:tcW w:w="1240" w:type="dxa"/>
            <w:vAlign w:val="bottom"/>
            <w:shd w:val="clear" w:color="auto" w:fill="CCCCCC"/>
          </w:tcPr>
          <w:p>
            <w:pPr>
              <w:jc w:val="right"/>
              <w:ind w:right="106"/>
              <w:spacing w:after="0"/>
              <w:rPr>
                <w:sz w:val="20"/>
                <w:szCs w:val="20"/>
                <w:color w:val="auto"/>
              </w:rPr>
            </w:pPr>
            <w:r>
              <w:rPr>
                <w:rFonts w:ascii="Arial" w:cs="Arial" w:eastAsia="Arial" w:hAnsi="Arial"/>
                <w:sz w:val="11"/>
                <w:szCs w:val="11"/>
                <w:color w:val="auto"/>
              </w:rPr>
              <w:t>4</w:t>
            </w:r>
          </w:p>
        </w:tc>
        <w:tc>
          <w:tcPr>
            <w:tcW w:w="20" w:type="dxa"/>
            <w:vAlign w:val="bottom"/>
            <w:shd w:val="clear" w:color="auto" w:fill="CCCCCC"/>
          </w:tcPr>
          <w:p>
            <w:pPr>
              <w:spacing w:after="0"/>
              <w:rPr>
                <w:sz w:val="14"/>
                <w:szCs w:val="14"/>
                <w:color w:val="auto"/>
              </w:rPr>
            </w:pPr>
          </w:p>
        </w:tc>
      </w:tr>
      <w:tr>
        <w:trPr>
          <w:trHeight w:val="178"/>
        </w:trPr>
        <w:tc>
          <w:tcPr>
            <w:tcW w:w="4480" w:type="dxa"/>
            <w:vAlign w:val="bottom"/>
            <w:tcBorders>
              <w:bottom w:val="single" w:sz="8" w:color="CCCCCC"/>
            </w:tcBorders>
            <w:shd w:val="clear" w:color="auto" w:fill="CCCCCC"/>
          </w:tcPr>
          <w:p>
            <w:pPr>
              <w:ind w:left="200"/>
              <w:spacing w:after="0"/>
              <w:rPr>
                <w:sz w:val="20"/>
                <w:szCs w:val="20"/>
                <w:color w:val="auto"/>
              </w:rPr>
            </w:pPr>
            <w:r>
              <w:rPr>
                <w:rFonts w:ascii="Arial" w:cs="Arial" w:eastAsia="Arial" w:hAnsi="Arial"/>
                <w:sz w:val="11"/>
                <w:szCs w:val="11"/>
                <w:color w:val="auto"/>
              </w:rPr>
              <w:t>+ Change in fair value of contingent consideration</w:t>
            </w:r>
          </w:p>
        </w:tc>
        <w:tc>
          <w:tcPr>
            <w:tcW w:w="2100" w:type="dxa"/>
            <w:vAlign w:val="bottom"/>
            <w:tcBorders>
              <w:bottom w:val="single" w:sz="8" w:color="CCCCCC"/>
            </w:tcBorders>
            <w:shd w:val="clear" w:color="auto" w:fill="CCCCCC"/>
          </w:tcPr>
          <w:p>
            <w:pPr>
              <w:spacing w:after="0"/>
              <w:rPr>
                <w:sz w:val="15"/>
                <w:szCs w:val="15"/>
                <w:color w:val="auto"/>
              </w:rPr>
            </w:pPr>
          </w:p>
        </w:tc>
        <w:tc>
          <w:tcPr>
            <w:tcW w:w="1560" w:type="dxa"/>
            <w:vAlign w:val="bottom"/>
            <w:tcBorders>
              <w:bottom w:val="single" w:sz="8" w:color="CCCCCC"/>
            </w:tcBorders>
            <w:shd w:val="clear" w:color="auto" w:fill="CCCCCC"/>
          </w:tcPr>
          <w:p>
            <w:pPr>
              <w:spacing w:after="0"/>
              <w:rPr>
                <w:sz w:val="15"/>
                <w:szCs w:val="15"/>
                <w:color w:val="auto"/>
              </w:rPr>
            </w:pPr>
          </w:p>
        </w:tc>
        <w:tc>
          <w:tcPr>
            <w:tcW w:w="780" w:type="dxa"/>
            <w:vAlign w:val="bottom"/>
            <w:tcBorders>
              <w:bottom w:val="single" w:sz="8" w:color="auto"/>
            </w:tcBorders>
            <w:shd w:val="clear" w:color="auto" w:fill="CCCCCC"/>
          </w:tcPr>
          <w:p>
            <w:pPr>
              <w:spacing w:after="0"/>
              <w:rPr>
                <w:sz w:val="15"/>
                <w:szCs w:val="15"/>
                <w:color w:val="auto"/>
              </w:rPr>
            </w:pPr>
          </w:p>
        </w:tc>
        <w:tc>
          <w:tcPr>
            <w:tcW w:w="960" w:type="dxa"/>
            <w:vAlign w:val="bottom"/>
            <w:tcBorders>
              <w:bottom w:val="single" w:sz="8" w:color="auto"/>
            </w:tcBorders>
            <w:shd w:val="clear" w:color="auto" w:fill="CCCCCC"/>
          </w:tcPr>
          <w:p>
            <w:pPr>
              <w:spacing w:after="0"/>
              <w:rPr>
                <w:sz w:val="15"/>
                <w:szCs w:val="15"/>
                <w:color w:val="auto"/>
              </w:rPr>
            </w:pPr>
          </w:p>
        </w:tc>
        <w:tc>
          <w:tcPr>
            <w:tcW w:w="1240" w:type="dxa"/>
            <w:vAlign w:val="bottom"/>
            <w:tcBorders>
              <w:bottom w:val="single" w:sz="8" w:color="auto"/>
            </w:tcBorders>
            <w:shd w:val="clear" w:color="auto" w:fill="CCCCCC"/>
          </w:tcPr>
          <w:p>
            <w:pPr>
              <w:jc w:val="right"/>
              <w:ind w:right="106"/>
              <w:spacing w:after="0"/>
              <w:rPr>
                <w:sz w:val="20"/>
                <w:szCs w:val="20"/>
                <w:color w:val="auto"/>
              </w:rPr>
            </w:pPr>
            <w:r>
              <w:rPr>
                <w:rFonts w:ascii="Arial" w:cs="Arial" w:eastAsia="Arial" w:hAnsi="Arial"/>
                <w:sz w:val="11"/>
                <w:szCs w:val="11"/>
                <w:color w:val="auto"/>
              </w:rPr>
              <w:t>1</w:t>
            </w:r>
          </w:p>
        </w:tc>
        <w:tc>
          <w:tcPr>
            <w:tcW w:w="20" w:type="dxa"/>
            <w:vAlign w:val="bottom"/>
            <w:tcBorders>
              <w:bottom w:val="single" w:sz="8" w:color="CCCCCC"/>
            </w:tcBorders>
            <w:shd w:val="clear" w:color="auto" w:fill="CCCCCC"/>
          </w:tcPr>
          <w:p>
            <w:pPr>
              <w:spacing w:after="0"/>
              <w:rPr>
                <w:sz w:val="15"/>
                <w:szCs w:val="15"/>
                <w:color w:val="auto"/>
              </w:rPr>
            </w:pPr>
          </w:p>
        </w:tc>
      </w:tr>
      <w:tr>
        <w:trPr>
          <w:trHeight w:val="151"/>
        </w:trPr>
        <w:tc>
          <w:tcPr>
            <w:tcW w:w="4480" w:type="dxa"/>
            <w:vAlign w:val="bottom"/>
            <w:shd w:val="clear" w:color="auto" w:fill="CCCCCC"/>
          </w:tcPr>
          <w:p>
            <w:pPr>
              <w:ind w:left="40"/>
              <w:spacing w:after="0"/>
              <w:rPr>
                <w:sz w:val="20"/>
                <w:szCs w:val="20"/>
                <w:color w:val="auto"/>
              </w:rPr>
            </w:pPr>
            <w:r>
              <w:rPr>
                <w:rFonts w:ascii="Arial" w:cs="Arial" w:eastAsia="Arial" w:hAnsi="Arial"/>
                <w:sz w:val="11"/>
                <w:szCs w:val="11"/>
                <w:color w:val="auto"/>
              </w:rPr>
              <w:t>Total additional adjustments</w:t>
            </w:r>
          </w:p>
        </w:tc>
        <w:tc>
          <w:tcPr>
            <w:tcW w:w="2100" w:type="dxa"/>
            <w:vAlign w:val="bottom"/>
            <w:shd w:val="clear" w:color="auto" w:fill="CCCCCC"/>
          </w:tcPr>
          <w:p>
            <w:pPr>
              <w:spacing w:after="0"/>
              <w:rPr>
                <w:sz w:val="13"/>
                <w:szCs w:val="13"/>
                <w:color w:val="auto"/>
              </w:rPr>
            </w:pPr>
          </w:p>
        </w:tc>
        <w:tc>
          <w:tcPr>
            <w:tcW w:w="1560" w:type="dxa"/>
            <w:vAlign w:val="bottom"/>
            <w:shd w:val="clear" w:color="auto" w:fill="CCCCCC"/>
          </w:tcPr>
          <w:p>
            <w:pPr>
              <w:spacing w:after="0"/>
              <w:rPr>
                <w:sz w:val="13"/>
                <w:szCs w:val="13"/>
                <w:color w:val="auto"/>
              </w:rPr>
            </w:pPr>
          </w:p>
        </w:tc>
        <w:tc>
          <w:tcPr>
            <w:tcW w:w="780" w:type="dxa"/>
            <w:vAlign w:val="bottom"/>
            <w:shd w:val="clear" w:color="auto" w:fill="CCCCCC"/>
          </w:tcPr>
          <w:p>
            <w:pPr>
              <w:spacing w:after="0"/>
              <w:rPr>
                <w:sz w:val="13"/>
                <w:szCs w:val="13"/>
                <w:color w:val="auto"/>
              </w:rPr>
            </w:pPr>
          </w:p>
        </w:tc>
        <w:tc>
          <w:tcPr>
            <w:tcW w:w="960" w:type="dxa"/>
            <w:vAlign w:val="bottom"/>
            <w:shd w:val="clear" w:color="auto" w:fill="CCCCCC"/>
          </w:tcPr>
          <w:p>
            <w:pPr>
              <w:spacing w:after="0"/>
              <w:rPr>
                <w:sz w:val="13"/>
                <w:szCs w:val="13"/>
                <w:color w:val="auto"/>
              </w:rPr>
            </w:pPr>
          </w:p>
        </w:tc>
        <w:tc>
          <w:tcPr>
            <w:tcW w:w="1260" w:type="dxa"/>
            <w:vAlign w:val="bottom"/>
            <w:gridSpan w:val="2"/>
            <w:shd w:val="clear" w:color="auto" w:fill="CCCCCC"/>
          </w:tcPr>
          <w:p>
            <w:pPr>
              <w:ind w:left="580"/>
              <w:spacing w:after="0"/>
              <w:rPr>
                <w:sz w:val="20"/>
                <w:szCs w:val="20"/>
                <w:color w:val="auto"/>
              </w:rPr>
            </w:pPr>
            <w:r>
              <w:rPr>
                <w:rFonts w:ascii="Arial" w:cs="Arial" w:eastAsia="Arial" w:hAnsi="Arial"/>
                <w:sz w:val="11"/>
                <w:szCs w:val="11"/>
                <w:color w:val="auto"/>
              </w:rPr>
              <w:t>195 to 205</w:t>
            </w:r>
          </w:p>
        </w:tc>
      </w:tr>
      <w:tr>
        <w:trPr>
          <w:trHeight w:val="158"/>
        </w:trPr>
        <w:tc>
          <w:tcPr>
            <w:tcW w:w="4480" w:type="dxa"/>
            <w:vAlign w:val="bottom"/>
            <w:tcBorders>
              <w:top w:val="single" w:sz="8" w:color="CCCCCC"/>
            </w:tcBorders>
            <w:shd w:val="clear" w:color="auto" w:fill="CCCCCC"/>
          </w:tcPr>
          <w:p>
            <w:pPr>
              <w:ind w:left="40"/>
              <w:spacing w:after="0"/>
              <w:rPr>
                <w:sz w:val="20"/>
                <w:szCs w:val="20"/>
                <w:color w:val="auto"/>
              </w:rPr>
            </w:pPr>
            <w:r>
              <w:rPr>
                <w:rFonts w:ascii="Arial" w:cs="Arial" w:eastAsia="Arial" w:hAnsi="Arial"/>
                <w:sz w:val="11"/>
                <w:szCs w:val="11"/>
                <w:color w:val="auto"/>
              </w:rPr>
              <w:t>Adjusted EBITDA</w:t>
            </w:r>
          </w:p>
        </w:tc>
        <w:tc>
          <w:tcPr>
            <w:tcW w:w="2100" w:type="dxa"/>
            <w:vAlign w:val="bottom"/>
            <w:tcBorders>
              <w:top w:val="single" w:sz="8" w:color="CCCCCC"/>
            </w:tcBorders>
            <w:shd w:val="clear" w:color="auto" w:fill="CCCCCC"/>
          </w:tcPr>
          <w:p>
            <w:pPr>
              <w:spacing w:after="0"/>
              <w:rPr>
                <w:sz w:val="13"/>
                <w:szCs w:val="13"/>
                <w:color w:val="auto"/>
              </w:rPr>
            </w:pPr>
          </w:p>
        </w:tc>
        <w:tc>
          <w:tcPr>
            <w:tcW w:w="1560" w:type="dxa"/>
            <w:vAlign w:val="bottom"/>
            <w:tcBorders>
              <w:top w:val="single" w:sz="8" w:color="CCCCCC"/>
            </w:tcBorders>
            <w:shd w:val="clear" w:color="auto" w:fill="CCCCCC"/>
          </w:tcPr>
          <w:p>
            <w:pPr>
              <w:spacing w:after="0"/>
              <w:rPr>
                <w:sz w:val="13"/>
                <w:szCs w:val="13"/>
                <w:color w:val="auto"/>
              </w:rPr>
            </w:pPr>
          </w:p>
        </w:tc>
        <w:tc>
          <w:tcPr>
            <w:tcW w:w="780" w:type="dxa"/>
            <w:vAlign w:val="bottom"/>
            <w:tcBorders>
              <w:top w:val="single" w:sz="8" w:color="auto"/>
            </w:tcBorders>
            <w:shd w:val="clear" w:color="auto" w:fill="CCCCCC"/>
          </w:tcPr>
          <w:p>
            <w:pPr>
              <w:spacing w:after="0"/>
              <w:rPr>
                <w:sz w:val="13"/>
                <w:szCs w:val="13"/>
                <w:color w:val="auto"/>
              </w:rPr>
            </w:pPr>
          </w:p>
        </w:tc>
        <w:tc>
          <w:tcPr>
            <w:tcW w:w="960" w:type="dxa"/>
            <w:vAlign w:val="bottom"/>
            <w:tcBorders>
              <w:top w:val="single" w:sz="8" w:color="auto"/>
            </w:tcBorders>
            <w:shd w:val="clear" w:color="auto" w:fill="CCCCCC"/>
          </w:tcPr>
          <w:p>
            <w:pPr>
              <w:spacing w:after="0"/>
              <w:rPr>
                <w:sz w:val="13"/>
                <w:szCs w:val="13"/>
                <w:color w:val="auto"/>
              </w:rPr>
            </w:pPr>
          </w:p>
        </w:tc>
        <w:tc>
          <w:tcPr>
            <w:tcW w:w="1240" w:type="dxa"/>
            <w:vAlign w:val="bottom"/>
            <w:tcBorders>
              <w:top w:val="single" w:sz="8" w:color="auto"/>
            </w:tcBorders>
            <w:shd w:val="clear" w:color="auto" w:fill="CCCCCC"/>
          </w:tcPr>
          <w:p>
            <w:pPr>
              <w:jc w:val="right"/>
              <w:ind w:right="106"/>
              <w:spacing w:after="0"/>
              <w:rPr>
                <w:sz w:val="20"/>
                <w:szCs w:val="20"/>
                <w:color w:val="auto"/>
              </w:rPr>
            </w:pPr>
            <w:r>
              <w:rPr>
                <w:rFonts w:ascii="Arial" w:cs="Arial" w:eastAsia="Arial" w:hAnsi="Arial"/>
                <w:sz w:val="11"/>
                <w:szCs w:val="11"/>
                <w:color w:val="auto"/>
              </w:rPr>
              <w:t>$300 - $360</w:t>
            </w:r>
          </w:p>
        </w:tc>
        <w:tc>
          <w:tcPr>
            <w:tcW w:w="20" w:type="dxa"/>
            <w:vAlign w:val="bottom"/>
            <w:tcBorders>
              <w:top w:val="single" w:sz="8" w:color="CCCCCC"/>
            </w:tcBorders>
            <w:shd w:val="clear" w:color="auto" w:fill="CCCCCC"/>
          </w:tcPr>
          <w:p>
            <w:pPr>
              <w:spacing w:after="0"/>
              <w:rPr>
                <w:sz w:val="13"/>
                <w:szCs w:val="13"/>
                <w:color w:val="auto"/>
              </w:rPr>
            </w:pPr>
          </w:p>
        </w:tc>
      </w:tr>
      <w:tr>
        <w:trPr>
          <w:trHeight w:val="428"/>
        </w:trPr>
        <w:tc>
          <w:tcPr>
            <w:tcW w:w="4480" w:type="dxa"/>
            <w:vAlign w:val="bottom"/>
          </w:tcPr>
          <w:p>
            <w:pPr>
              <w:spacing w:after="0"/>
              <w:rPr>
                <w:sz w:val="24"/>
                <w:szCs w:val="24"/>
                <w:color w:val="auto"/>
              </w:rPr>
            </w:pPr>
          </w:p>
        </w:tc>
        <w:tc>
          <w:tcPr>
            <w:tcW w:w="5400" w:type="dxa"/>
            <w:vAlign w:val="bottom"/>
            <w:gridSpan w:val="4"/>
          </w:tcPr>
          <w:p>
            <w:pPr>
              <w:ind w:left="940"/>
              <w:spacing w:after="0"/>
              <w:rPr>
                <w:sz w:val="20"/>
                <w:szCs w:val="20"/>
                <w:color w:val="auto"/>
              </w:rPr>
            </w:pPr>
            <w:r>
              <w:rPr>
                <w:rFonts w:ascii="Arial" w:cs="Arial" w:eastAsia="Arial" w:hAnsi="Arial"/>
                <w:sz w:val="11"/>
                <w:szCs w:val="11"/>
                <w:color w:val="auto"/>
              </w:rPr>
              <w:t>10 of 11</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-1539875</wp:posOffset>
            </wp:positionV>
            <wp:extent cx="7075170" cy="1274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75170" cy="1274445"/>
                    </a:xfrm>
                    <a:prstGeom prst="rect">
                      <a:avLst/>
                    </a:prstGeom>
                    <a:noFill/>
                  </pic:spPr>
                </pic:pic>
              </a:graphicData>
            </a:graphic>
          </wp:anchor>
        </w:drawing>
      </w:r>
    </w:p>
    <w:p>
      <w:pPr>
        <w:sectPr>
          <w:pgSz w:w="11900" w:h="16838" w:orient="portrait"/>
          <w:cols w:equalWidth="0" w:num="1">
            <w:col w:w="11180"/>
          </w:cols>
          <w:pgMar w:left="300" w:top="374" w:right="4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0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upperLetter"/>
      <w:start w:val="9"/>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2020-04-30T15:37:12Z</dcterms:created>
  <dcterms:modified xsi:type="dcterms:W3CDTF">2020-04-30T15:37:12Z</dcterms:modified>
</cp:coreProperties>
</file>