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19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22, 2015</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Emergent BioSolutions Inc.</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20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61"/>
        </w:trPr>
        <w:tc>
          <w:tcPr>
            <w:tcW w:w="646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400 Professional Drive, Gaithersburg, Maryland</w:t>
            </w:r>
          </w:p>
        </w:tc>
        <w:tc>
          <w:tcPr>
            <w:tcW w:w="26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20879</w:t>
            </w:r>
          </w:p>
        </w:tc>
      </w:tr>
      <w:tr>
        <w:trPr>
          <w:trHeight w:val="230"/>
        </w:trPr>
        <w:tc>
          <w:tcPr>
            <w:tcW w:w="420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(240) 631-3200</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468" w:right="459" w:bottom="1440" w:gutter="0" w:footer="0" w:header="0"/>
        </w:sectPr>
      </w:pPr>
    </w:p>
    <w:bookmarkStart w:id="1" w:name="page2"/>
    <w:bookmarkEnd w:id="1"/>
    <w:p>
      <w:pPr>
        <w:ind w:left="1000" w:right="260" w:hanging="1052"/>
        <w:spacing w:after="0" w:line="282" w:lineRule="auto"/>
        <w:tabs>
          <w:tab w:leader="none" w:pos="9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22, 2015, the Board of Directors of Emergent BioSolutions Inc. approved an increase in the size of the Board from 9 to 10 directors and appointed Jerome Hauer as a Class III director of the company, with an initial term expiring at the 2015 annual meeting of stockholders.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has determined that Mr. Hauer is "independent" within the meaning of the NYSE listing standards. It is contemplated that Mr. Hauer may serve on certain committees of the Board, but no such committee appointments have been made at this time. Mr. Hauer was not selected pursuant to any arrangement or understanding with any other person. There are no transactions in which the company is a party and in which Mr. Hauer has a material interest subject to disclosure under Item 404(a) of Regulation S-K.</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connection with his appointment to the Board, and pursuant to the company's Third Amended and Restated 2006 Stock Incentive Plan, the Company granted Mr. Hauer options to purchase 14,100 shares of the company's common stock at an exercise price of $27.93 per share and 7,050 restricted stock units. As a non-employee director, Mr. Hauer will receive compensation in accordance with the company's non-employee director compensation practices, which are summarized under the heading "Director Compensation" in the company's Proxy Statement on Schedule 14A filed with the Securities and Exchange Commission on April 7, 2014. Mr. Hauer also entered into the company's standard form of Indemnification Agreement, the form of which was filed as Exhibit 10 to the company's Current Report on Form 8-K, filed with the Securities and Exchange Commission on January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Date: January 22, 2015</w:t>
            </w:r>
          </w:p>
        </w:tc>
        <w:tc>
          <w:tcPr>
            <w:tcW w:w="7180" w:type="dxa"/>
            <w:vAlign w:val="bottom"/>
            <w:gridSpan w:val="3"/>
          </w:tcPr>
          <w:p>
            <w:pPr>
              <w:ind w:left="2000"/>
              <w:spacing w:after="0"/>
              <w:rPr>
                <w:sz w:val="20"/>
                <w:szCs w:val="20"/>
                <w:color w:val="auto"/>
              </w:rPr>
            </w:pPr>
            <w:r>
              <w:rPr>
                <w:rFonts w:ascii="Arial" w:cs="Arial" w:eastAsia="Arial" w:hAnsi="Arial"/>
                <w:sz w:val="18"/>
                <w:szCs w:val="18"/>
                <w:color w:val="auto"/>
              </w:rPr>
              <w:t>EMERGENT BIOSOLUTIONS INC.</w:t>
            </w:r>
          </w:p>
        </w:tc>
      </w:tr>
      <w:tr>
        <w:trPr>
          <w:trHeight w:val="190"/>
        </w:trPr>
        <w:tc>
          <w:tcPr>
            <w:tcW w:w="3740" w:type="dxa"/>
            <w:vAlign w:val="bottom"/>
          </w:tcPr>
          <w:p>
            <w:pPr>
              <w:spacing w:after="0"/>
              <w:rPr>
                <w:sz w:val="16"/>
                <w:szCs w:val="16"/>
                <w:color w:val="auto"/>
              </w:rPr>
            </w:pPr>
          </w:p>
        </w:tc>
        <w:tc>
          <w:tcPr>
            <w:tcW w:w="7180" w:type="dxa"/>
            <w:vAlign w:val="bottom"/>
            <w:gridSpan w:val="3"/>
          </w:tcPr>
          <w:p>
            <w:pPr>
              <w:ind w:left="2000"/>
              <w:spacing w:after="0" w:line="190" w:lineRule="exact"/>
              <w:rPr>
                <w:sz w:val="20"/>
                <w:szCs w:val="20"/>
                <w:color w:val="auto"/>
              </w:rPr>
            </w:pPr>
            <w:r>
              <w:rPr>
                <w:rFonts w:ascii="Arial" w:cs="Arial" w:eastAsia="Arial" w:hAnsi="Arial"/>
                <w:sz w:val="18"/>
                <w:szCs w:val="18"/>
                <w:color w:val="auto"/>
              </w:rPr>
              <w:t>By:/s/ A.B. Cruz III</w:t>
            </w:r>
          </w:p>
        </w:tc>
      </w:tr>
      <w:tr>
        <w:trPr>
          <w:trHeight w:val="20"/>
        </w:trPr>
        <w:tc>
          <w:tcPr>
            <w:tcW w:w="3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2"/>
        </w:trPr>
        <w:tc>
          <w:tcPr>
            <w:tcW w:w="3740" w:type="dxa"/>
            <w:vAlign w:val="bottom"/>
          </w:tcPr>
          <w:p>
            <w:pPr>
              <w:spacing w:after="0"/>
              <w:rPr>
                <w:sz w:val="19"/>
                <w:szCs w:val="19"/>
                <w:color w:val="auto"/>
              </w:rPr>
            </w:pPr>
          </w:p>
        </w:tc>
        <w:tc>
          <w:tcPr>
            <w:tcW w:w="7180" w:type="dxa"/>
            <w:vAlign w:val="bottom"/>
            <w:gridSpan w:val="3"/>
          </w:tcPr>
          <w:p>
            <w:pPr>
              <w:ind w:left="2280"/>
              <w:spacing w:after="0"/>
              <w:rPr>
                <w:sz w:val="20"/>
                <w:szCs w:val="20"/>
                <w:color w:val="auto"/>
              </w:rPr>
            </w:pPr>
            <w:r>
              <w:rPr>
                <w:rFonts w:ascii="Arial" w:cs="Arial" w:eastAsia="Arial" w:hAnsi="Arial"/>
                <w:sz w:val="18"/>
                <w:szCs w:val="18"/>
                <w:color w:val="auto"/>
              </w:rPr>
              <w:t>A.B. Cruz III</w:t>
            </w:r>
          </w:p>
        </w:tc>
      </w:tr>
      <w:tr>
        <w:trPr>
          <w:trHeight w:val="230"/>
        </w:trPr>
        <w:tc>
          <w:tcPr>
            <w:tcW w:w="3740" w:type="dxa"/>
            <w:vAlign w:val="bottom"/>
          </w:tcPr>
          <w:p>
            <w:pPr>
              <w:spacing w:after="0"/>
              <w:rPr>
                <w:sz w:val="20"/>
                <w:szCs w:val="20"/>
                <w:color w:val="auto"/>
              </w:rPr>
            </w:pPr>
          </w:p>
        </w:tc>
        <w:tc>
          <w:tcPr>
            <w:tcW w:w="7180" w:type="dxa"/>
            <w:vAlign w:val="bottom"/>
            <w:gridSpan w:val="3"/>
          </w:tcPr>
          <w:p>
            <w:pPr>
              <w:ind w:left="2280"/>
              <w:spacing w:after="0"/>
              <w:rPr>
                <w:sz w:val="20"/>
                <w:szCs w:val="20"/>
                <w:color w:val="auto"/>
              </w:rPr>
            </w:pPr>
            <w:r>
              <w:rPr>
                <w:rFonts w:ascii="Arial" w:cs="Arial" w:eastAsia="Arial" w:hAnsi="Arial"/>
                <w:sz w:val="18"/>
                <w:szCs w:val="18"/>
                <w:color w:val="auto"/>
                <w:w w:val="89"/>
              </w:rPr>
              <w:t>Executive Vice President, General Counsel and Corporate Secretary</w:t>
            </w:r>
          </w:p>
        </w:tc>
      </w:tr>
    </w:tbl>
    <w:p>
      <w:pPr>
        <w:spacing w:after="0" w:line="1" w:lineRule="exact"/>
        <w:rPr>
          <w:sz w:val="20"/>
          <w:szCs w:val="20"/>
          <w:color w:val="auto"/>
        </w:rPr>
      </w:pPr>
    </w:p>
    <w:sectPr>
      <w:pgSz w:w="11900" w:h="16838" w:orient="portrait"/>
      <w:cols w:equalWidth="0" w:num="1">
        <w:col w:w="11220"/>
      </w:cols>
      <w:pgMar w:left="240" w:top="109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2019-12-08T17:00:56Z</dcterms:created>
  <dcterms:modified xsi:type="dcterms:W3CDTF">2019-12-08T17:00:56Z</dcterms:modified>
</cp:coreProperties>
</file>