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UNITED STATES SECURITIES AND EXCHANGE COMMISSION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-1584325</wp:posOffset>
            </wp:positionH>
            <wp:positionV relativeFrom="paragraph">
              <wp:posOffset>29210</wp:posOffset>
            </wp:positionV>
            <wp:extent cx="6967220" cy="1624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-166370</wp:posOffset>
            </wp:positionV>
            <wp:extent cx="131953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80" w:space="220"/>
            <w:col w:w="6080" w:space="260"/>
            <w:col w:w="22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 Ronald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0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434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7,893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20.08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 xml:space="preserve">7,893 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$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20.08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7,893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05/19/2021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$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-2049145</wp:posOffset>
            </wp:positionV>
            <wp:extent cx="7033260" cy="2209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 xml:space="preserve">Buy) 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Mr. Richard.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options granted under the company's stock incentive plan as amended and restated.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grant vests in three equal installments on the day prior to the first, second and third anniversary dates of the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Scott Lieberman,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10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79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amp;CIK=0001380177" TargetMode="External"/><Relationship Id="rId12" Type="http://schemas.openxmlformats.org/officeDocument/2006/relationships/hyperlink" Target="http://www.sec.gov/cgi-bin/browse-edgar?action=getcompany&amp;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2020-04-29T15:37:23Z</dcterms:created>
  <dcterms:modified xsi:type="dcterms:W3CDTF">2020-04-29T15:37:23Z</dcterms:modified>
</cp:coreProperties>
</file>