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El-Hibri Fuad</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20"/>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11/02/2020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0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8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1580" w:type="dxa"/>
            <w:vAlign w:val="bottom"/>
          </w:tcPr>
          <w:p>
            <w:pPr>
              <w:ind w:left="820"/>
              <w:spacing w:after="0"/>
              <w:rPr>
                <w:sz w:val="20"/>
                <w:szCs w:val="20"/>
                <w:color w:val="auto"/>
              </w:rPr>
            </w:pPr>
            <w:r>
              <w:rPr>
                <w:rFonts w:ascii="Arial" w:cs="Arial" w:eastAsia="Arial" w:hAnsi="Arial"/>
                <w:sz w:val="17"/>
                <w:szCs w:val="17"/>
                <w:color w:val="0000FF"/>
              </w:rPr>
              <w:t>Chairman</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3" w:lineRule="exact"/>
        <w:rPr>
          <w:sz w:val="24"/>
          <w:szCs w:val="24"/>
          <w:color w:val="auto"/>
        </w:rPr>
      </w:pPr>
    </w:p>
    <w:p>
      <w:pPr>
        <w:sectPr>
          <w:pgSz w:w="11900" w:h="16838" w:orient="portrait"/>
          <w:cols w:equalWidth="0" w:num="3">
            <w:col w:w="3200" w:space="720"/>
            <w:col w:w="3100" w:space="720"/>
            <w:col w:w="3340"/>
          </w:cols>
          <w:pgMar w:left="460" w:top="221" w:right="359" w:bottom="0" w:gutter="0" w:footer="0" w:header="0"/>
          <w:type w:val="continuous"/>
        </w:sectPr>
      </w:pPr>
    </w:p>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680" w:type="dxa"/>
            <w:vAlign w:val="bottom"/>
            <w:gridSpan w:val="7"/>
            <w:vMerge w:val="restart"/>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7"/>
            <w:vMerge w:val="continue"/>
          </w:tcPr>
          <w:p>
            <w:pPr>
              <w:spacing w:after="0"/>
              <w:rPr>
                <w:sz w:val="11"/>
                <w:szCs w:val="11"/>
                <w:color w:val="auto"/>
              </w:rPr>
            </w:pPr>
          </w:p>
        </w:tc>
        <w:tc>
          <w:tcPr>
            <w:tcW w:w="36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gridSpan w:val="2"/>
          </w:tcPr>
          <w:p>
            <w:pPr>
              <w:ind w:left="300"/>
              <w:spacing w:after="0" w:line="147" w:lineRule="exact"/>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3"/>
          </w:tcPr>
          <w:p>
            <w:pPr>
              <w:ind w:left="20"/>
              <w:spacing w:after="0"/>
              <w:rPr>
                <w:sz w:val="20"/>
                <w:szCs w:val="20"/>
                <w:color w:val="auto"/>
              </w:rPr>
            </w:pPr>
            <w:r>
              <w:rPr>
                <w:rFonts w:ascii="Arial" w:cs="Arial" w:eastAsia="Arial" w:hAnsi="Arial"/>
                <w:sz w:val="17"/>
                <w:szCs w:val="17"/>
                <w:color w:val="0000FF"/>
              </w:rPr>
              <w:t>GAITHERSBURG MD</w:t>
            </w:r>
          </w:p>
        </w:tc>
        <w:tc>
          <w:tcPr>
            <w:tcW w:w="1140" w:type="dxa"/>
            <w:vAlign w:val="bottom"/>
          </w:tcPr>
          <w:p>
            <w:pPr>
              <w:ind w:left="100"/>
              <w:spacing w:after="0"/>
              <w:rPr>
                <w:sz w:val="20"/>
                <w:szCs w:val="20"/>
                <w:color w:val="auto"/>
              </w:rPr>
            </w:pPr>
            <w:r>
              <w:rPr>
                <w:rFonts w:ascii="Arial" w:cs="Arial" w:eastAsia="Arial" w:hAnsi="Arial"/>
                <w:sz w:val="17"/>
                <w:szCs w:val="17"/>
                <w:color w:val="0000FF"/>
              </w:rPr>
              <w:t>20879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40" w:type="dxa"/>
            <w:vAlign w:val="bottom"/>
            <w:gridSpan w:val="11"/>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94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11/02/2020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20,000</w:t>
            </w:r>
          </w:p>
        </w:tc>
        <w:tc>
          <w:tcPr>
            <w:tcW w:w="66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26.45</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1,143,988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11/02/2020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20,000</w:t>
            </w:r>
          </w:p>
        </w:tc>
        <w:tc>
          <w:tcPr>
            <w:tcW w:w="66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90.44</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1,123,988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11/03/2020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20,000</w:t>
            </w:r>
          </w:p>
        </w:tc>
        <w:tc>
          <w:tcPr>
            <w:tcW w:w="66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26.45</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1,143,988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11/03/2020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20,000</w:t>
            </w:r>
          </w:p>
        </w:tc>
        <w:tc>
          <w:tcPr>
            <w:tcW w:w="66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90.74</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1,123,988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
              <w:spacing w:after="0" w:line="207" w:lineRule="exact"/>
              <w:rPr>
                <w:sz w:val="20"/>
                <w:szCs w:val="20"/>
                <w:color w:val="auto"/>
              </w:rPr>
            </w:pPr>
            <w:r>
              <w:rPr>
                <w:rFonts w:ascii="Arial" w:cs="Arial" w:eastAsia="Arial" w:hAnsi="Arial"/>
                <w:sz w:val="17"/>
                <w:szCs w:val="17"/>
                <w:color w:val="0000FF"/>
                <w:w w:val="86"/>
              </w:rPr>
              <w:t>2,140,463</w:t>
            </w:r>
            <w:r>
              <w:rPr>
                <w:rFonts w:ascii="Arial" w:cs="Arial" w:eastAsia="Arial" w:hAnsi="Arial"/>
                <w:sz w:val="21"/>
                <w:szCs w:val="21"/>
                <w:color w:val="008000"/>
                <w:w w:val="86"/>
                <w:vertAlign w:val="superscript"/>
              </w:rPr>
              <w:t>(4)</w:t>
            </w:r>
          </w:p>
        </w:tc>
        <w:tc>
          <w:tcPr>
            <w:tcW w:w="28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Intervac,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
              <w:spacing w:after="0" w:line="207" w:lineRule="exact"/>
              <w:rPr>
                <w:sz w:val="20"/>
                <w:szCs w:val="20"/>
                <w:color w:val="auto"/>
              </w:rPr>
            </w:pPr>
            <w:r>
              <w:rPr>
                <w:rFonts w:ascii="Arial" w:cs="Arial" w:eastAsia="Arial" w:hAnsi="Arial"/>
                <w:sz w:val="17"/>
                <w:szCs w:val="17"/>
                <w:color w:val="0000FF"/>
                <w:w w:val="86"/>
              </w:rPr>
              <w:t>1,524,155</w:t>
            </w:r>
            <w:r>
              <w:rPr>
                <w:rFonts w:ascii="Arial" w:cs="Arial" w:eastAsia="Arial" w:hAnsi="Arial"/>
                <w:sz w:val="21"/>
                <w:szCs w:val="21"/>
                <w:color w:val="008000"/>
                <w:w w:val="86"/>
                <w:vertAlign w:val="superscript"/>
              </w:rPr>
              <w:t>(5)</w:t>
            </w:r>
          </w:p>
        </w:tc>
        <w:tc>
          <w:tcPr>
            <w:tcW w:w="28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Biovac,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gridSpan w:val="6"/>
          </w:tcPr>
          <w:p>
            <w:pPr>
              <w:spacing w:after="0"/>
              <w:rPr>
                <w:sz w:val="8"/>
                <w:szCs w:val="8"/>
                <w:color w:val="auto"/>
              </w:rPr>
            </w:pPr>
          </w:p>
        </w:tc>
        <w:tc>
          <w:tcPr>
            <w:tcW w:w="264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26.45</w:t>
            </w:r>
          </w:p>
        </w:tc>
        <w:tc>
          <w:tcPr>
            <w:tcW w:w="1040" w:type="dxa"/>
            <w:vAlign w:val="bottom"/>
          </w:tcPr>
          <w:p>
            <w:pPr>
              <w:jc w:val="right"/>
              <w:ind w:right="136"/>
              <w:spacing w:after="0"/>
              <w:rPr>
                <w:sz w:val="20"/>
                <w:szCs w:val="20"/>
                <w:color w:val="auto"/>
              </w:rPr>
            </w:pPr>
            <w:r>
              <w:rPr>
                <w:rFonts w:ascii="Arial" w:cs="Arial" w:eastAsia="Arial" w:hAnsi="Arial"/>
                <w:sz w:val="13"/>
                <w:szCs w:val="13"/>
                <w:color w:val="0000FF"/>
              </w:rPr>
              <w:t>11/02/2020</w:t>
            </w:r>
          </w:p>
        </w:tc>
        <w:tc>
          <w:tcPr>
            <w:tcW w:w="1140" w:type="dxa"/>
            <w:vAlign w:val="bottom"/>
          </w:tcPr>
          <w:p>
            <w:pPr>
              <w:spacing w:after="0"/>
              <w:rPr>
                <w:sz w:val="16"/>
                <w:szCs w:val="16"/>
                <w:color w:val="auto"/>
              </w:rPr>
            </w:pPr>
          </w:p>
        </w:tc>
        <w:tc>
          <w:tcPr>
            <w:tcW w:w="620" w:type="dxa"/>
            <w:vAlign w:val="bottom"/>
            <w:gridSpan w:val="2"/>
          </w:tcPr>
          <w:p>
            <w:pPr>
              <w:ind w:left="80"/>
              <w:spacing w:after="0" w:line="190" w:lineRule="exact"/>
              <w:rPr>
                <w:sz w:val="20"/>
                <w:szCs w:val="20"/>
                <w:color w:val="auto"/>
              </w:rPr>
            </w:pPr>
            <w:r>
              <w:rPr>
                <w:rFonts w:ascii="Arial" w:cs="Arial" w:eastAsia="Arial" w:hAnsi="Arial"/>
                <w:sz w:val="21"/>
                <w:szCs w:val="21"/>
                <w:color w:val="0000FF"/>
                <w:vertAlign w:val="subscript"/>
              </w:rPr>
              <w:t>M</w:t>
            </w:r>
            <w:r>
              <w:rPr>
                <w:rFonts w:ascii="Arial" w:cs="Arial" w:eastAsia="Arial" w:hAnsi="Arial"/>
                <w:sz w:val="10"/>
                <w:szCs w:val="10"/>
                <w:color w:val="008000"/>
              </w:rPr>
              <w:t>(1)</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20,000</w:t>
            </w: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(6)</w:t>
            </w:r>
          </w:p>
        </w:tc>
        <w:tc>
          <w:tcPr>
            <w:tcW w:w="700" w:type="dxa"/>
            <w:vAlign w:val="bottom"/>
          </w:tcPr>
          <w:p>
            <w:pPr>
              <w:ind w:left="20"/>
              <w:spacing w:after="0"/>
              <w:rPr>
                <w:sz w:val="20"/>
                <w:szCs w:val="20"/>
                <w:color w:val="auto"/>
              </w:rPr>
            </w:pPr>
            <w:r>
              <w:rPr>
                <w:rFonts w:ascii="Arial" w:cs="Arial" w:eastAsia="Arial" w:hAnsi="Arial"/>
                <w:sz w:val="13"/>
                <w:szCs w:val="13"/>
                <w:color w:val="0000FF"/>
              </w:rPr>
              <w:t>03/09/2022</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20,000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59,391</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jc w:val="right"/>
              <w:ind w:right="155"/>
              <w:spacing w:after="0" w:line="94"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26.45</w:t>
            </w:r>
          </w:p>
        </w:tc>
        <w:tc>
          <w:tcPr>
            <w:tcW w:w="1040" w:type="dxa"/>
            <w:vAlign w:val="bottom"/>
          </w:tcPr>
          <w:p>
            <w:pPr>
              <w:jc w:val="right"/>
              <w:ind w:right="136"/>
              <w:spacing w:after="0"/>
              <w:rPr>
                <w:sz w:val="20"/>
                <w:szCs w:val="20"/>
                <w:color w:val="auto"/>
              </w:rPr>
            </w:pPr>
            <w:r>
              <w:rPr>
                <w:rFonts w:ascii="Arial" w:cs="Arial" w:eastAsia="Arial" w:hAnsi="Arial"/>
                <w:sz w:val="13"/>
                <w:szCs w:val="13"/>
                <w:color w:val="0000FF"/>
              </w:rPr>
              <w:t>11/03/2020</w:t>
            </w:r>
          </w:p>
        </w:tc>
        <w:tc>
          <w:tcPr>
            <w:tcW w:w="1140" w:type="dxa"/>
            <w:vAlign w:val="bottom"/>
          </w:tcPr>
          <w:p>
            <w:pPr>
              <w:spacing w:after="0"/>
              <w:rPr>
                <w:sz w:val="16"/>
                <w:szCs w:val="16"/>
                <w:color w:val="auto"/>
              </w:rPr>
            </w:pPr>
          </w:p>
        </w:tc>
        <w:tc>
          <w:tcPr>
            <w:tcW w:w="620" w:type="dxa"/>
            <w:vAlign w:val="bottom"/>
            <w:gridSpan w:val="2"/>
          </w:tcPr>
          <w:p>
            <w:pPr>
              <w:ind w:left="80"/>
              <w:spacing w:after="0" w:line="190" w:lineRule="exact"/>
              <w:rPr>
                <w:sz w:val="20"/>
                <w:szCs w:val="20"/>
                <w:color w:val="auto"/>
              </w:rPr>
            </w:pPr>
            <w:r>
              <w:rPr>
                <w:rFonts w:ascii="Arial" w:cs="Arial" w:eastAsia="Arial" w:hAnsi="Arial"/>
                <w:sz w:val="21"/>
                <w:szCs w:val="21"/>
                <w:color w:val="0000FF"/>
                <w:vertAlign w:val="subscript"/>
              </w:rPr>
              <w:t>M</w:t>
            </w:r>
            <w:r>
              <w:rPr>
                <w:rFonts w:ascii="Arial" w:cs="Arial" w:eastAsia="Arial" w:hAnsi="Arial"/>
                <w:sz w:val="10"/>
                <w:szCs w:val="10"/>
                <w:color w:val="008000"/>
              </w:rPr>
              <w:t>(1)</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20,000</w:t>
            </w: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(6)</w:t>
            </w:r>
          </w:p>
        </w:tc>
        <w:tc>
          <w:tcPr>
            <w:tcW w:w="700" w:type="dxa"/>
            <w:vAlign w:val="bottom"/>
          </w:tcPr>
          <w:p>
            <w:pPr>
              <w:ind w:left="20"/>
              <w:spacing w:after="0"/>
              <w:rPr>
                <w:sz w:val="20"/>
                <w:szCs w:val="20"/>
                <w:color w:val="auto"/>
              </w:rPr>
            </w:pPr>
            <w:r>
              <w:rPr>
                <w:rFonts w:ascii="Arial" w:cs="Arial" w:eastAsia="Arial" w:hAnsi="Arial"/>
                <w:sz w:val="13"/>
                <w:szCs w:val="13"/>
                <w:color w:val="0000FF"/>
              </w:rPr>
              <w:t>03/09/2022</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20,000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39,391</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5"/>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-5076825</wp:posOffset>
            </wp:positionV>
            <wp:extent cx="7033895" cy="5215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52158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68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All transactions listed on this Form 4 were made by the Reporting Person pursuant to a trading plan adopted on February 25, 2020 that is intended to comply with Rule 10b5-1(c) under the Securities Exchange Act of 1934, as amended (the "Exchange Act").</w:t>
      </w:r>
    </w:p>
    <w:p>
      <w:pPr>
        <w:spacing w:after="0" w:line="25" w:lineRule="exact"/>
        <w:rPr>
          <w:rFonts w:ascii="Arial" w:cs="Arial" w:eastAsia="Arial" w:hAnsi="Arial"/>
          <w:sz w:val="13"/>
          <w:szCs w:val="13"/>
          <w:color w:val="008000"/>
        </w:rPr>
      </w:pPr>
    </w:p>
    <w:p>
      <w:pPr>
        <w:ind w:left="40" w:right="4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reflects a weighted average price. These shares were sold in multiple transactions at prices ranging from $89.40 to $91.62. The Reporting Person will provide to the Issuer, any security holder of the Issuer or the SEC staff, upon request, information regarding the number of shares sold at each price within the range.</w:t>
      </w:r>
    </w:p>
    <w:p>
      <w:pPr>
        <w:spacing w:after="0" w:line="25" w:lineRule="exact"/>
        <w:rPr>
          <w:rFonts w:ascii="Arial" w:cs="Arial" w:eastAsia="Arial" w:hAnsi="Arial"/>
          <w:sz w:val="13"/>
          <w:szCs w:val="13"/>
          <w:color w:val="008000"/>
        </w:rPr>
      </w:pPr>
    </w:p>
    <w:p>
      <w:pPr>
        <w:ind w:left="40" w:right="4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reflects a weighted average price. These shares were sold in multiple transactions at prices ranging from $89.97 to $92.24. The Reporting Person will provide to the Issuer, any security holder of the Issuer or the SEC staff, upon request, information regarding the number of shares sold at each price within the range.</w:t>
      </w:r>
    </w:p>
    <w:p>
      <w:pPr>
        <w:spacing w:after="0" w:line="25" w:lineRule="exact"/>
        <w:rPr>
          <w:rFonts w:ascii="Arial" w:cs="Arial" w:eastAsia="Arial" w:hAnsi="Arial"/>
          <w:sz w:val="13"/>
          <w:szCs w:val="13"/>
          <w:color w:val="008000"/>
        </w:rPr>
      </w:pPr>
    </w:p>
    <w:p>
      <w:pPr>
        <w:ind w:left="40" w:right="18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Intervac, L.L.C. ("Intervac") is the direct owner of 2,140,463 shares of the Issuer's common stock. The Reporting Person serves as the managing member of Intervac and the Reporting Person or his wife serve as the trustee of each of the members of Intervac. The Reporting Person disclaims beneficial ownership of the shares of the Issuer's common stock directly owned by Intervac for purposes of Section 16 of the Exchange Act or otherwise, except to the extent of his pecuniary interest therein.</w:t>
      </w:r>
    </w:p>
    <w:p>
      <w:pPr>
        <w:spacing w:after="0" w:line="32" w:lineRule="exact"/>
        <w:rPr>
          <w:rFonts w:ascii="Arial" w:cs="Arial" w:eastAsia="Arial" w:hAnsi="Arial"/>
          <w:sz w:val="13"/>
          <w:szCs w:val="13"/>
          <w:color w:val="008000"/>
        </w:rPr>
      </w:pPr>
    </w:p>
    <w:p>
      <w:pPr>
        <w:ind w:left="40" w:right="1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individually, and the Reporting Person and his wife, as tenants by the entirety, collectively hold an aggregate 89.2% equity interest in Biovac, L.L.C., which in turn is the direct owner of 1,524,155 shares of the Issuer's common stock. The Reporting Person disclaims beneficial ownership of the shares of the Issuer's common stock directly owned by Biovac, L.L.C. for purposes of Section 16 of the Exchange Act or otherwise, except to the extent of his pecuniary interest therein.</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options vested in three equal installments on March 9, 2016, March 9, 2017 and March 9, 2018.</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4" w:lineRule="auto"/>
        <w:rPr>
          <w:sz w:val="20"/>
          <w:szCs w:val="20"/>
          <w:color w:val="auto"/>
        </w:rPr>
      </w:pPr>
      <w:r>
        <w:rPr>
          <w:rFonts w:ascii="Arial" w:cs="Arial" w:eastAsia="Arial" w:hAnsi="Arial"/>
          <w:sz w:val="17"/>
          <w:szCs w:val="17"/>
          <w:color w:val="0000FF"/>
        </w:rPr>
        <w:t xml:space="preserve">/s/ Carl A. Valenstein, attorney- </w:t>
      </w:r>
      <w:r>
        <w:rPr>
          <w:rFonts w:ascii="Arial" w:cs="Arial" w:eastAsia="Arial" w:hAnsi="Arial"/>
          <w:sz w:val="33"/>
          <w:szCs w:val="33"/>
          <w:color w:val="0000FF"/>
          <w:vertAlign w:val="subscript"/>
        </w:rPr>
        <w:t>11/04/2020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81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277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74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0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38" w:orient="portrait"/>
          <w:cols w:equalWidth="0" w:num="1">
            <w:col w:w="11080"/>
          </w:cols>
          <w:pgMar w:left="460" w:top="221"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80185" TargetMode="External"/><Relationship Id="rId14"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2020-11-04T19:54:24Z</dcterms:created>
  <dcterms:modified xsi:type="dcterms:W3CDTF">2020-11-04T19:54:24Z</dcterms:modified>
</cp:coreProperties>
</file>