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15,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44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001-33137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14-1902018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400 Professional Drive, Suite 400,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Gaithersburg, Maryland 20879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544"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u w:val="single" w:color="auto"/>
          <w:color w:val="auto"/>
        </w:rPr>
        <w:t>Explanatory Note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Form 8-K/A is filed as an amendment (“Amendment No. 1”) to the Current Report on Form 8-K filed by Emergent BioSolutions Inc. (“Emergent”) on October 15, 2018 (the “Initial 8-K”). As previously reported in the Initial 8-K, on October 15, 2018, pursuant to the share purchase agreement, dated August 28, 2018 (the “Share Purchase Agreement”), by and among Emergent, Adapt Pharma Limited, an Irish private company limited by shares (“Adapt”), the shareholders of Adapt identified in the Share Purchase Agreement (the “Adapt Sellers”) and Seamus Mulligan, an individual, as the Sellers’ representative, Emergent completed the purchase of all of the issued and outstanding ordinary shares of Adapt from the Sellers (the “Adapt Acquisition”). Prior to the Adapt Acquisition, on October 4, 2018, pursuant to the Agreement and Plan of Merger by and among Emergent, PaxVax Holding Company Ltd., an exempted company incorporated with limited liability in the Cayman Islands (“PaxVax”(1)), Panama Merger Sub, Ltd., an exempted company incorporated with limited liability in the Cayman Islands and an indirect wholly-owned subsidiary of Emergent (“Merger Sub”), and PaxVax SH Representative LLC, a limited liability company organized under the laws of the Cayman Islands , Emergent completed the acquisition of PaxVax via merger, whereby Merger Sub was merged with and into PaxVax and PaxVax continued as the surviving company (the “PaxVax Merger”). This Amendment No. 1 is being filed to include the historical financial statements of Adapt, as required by Item 9.01(a) of Form 8-K and the pro forma financial information required by Item 9.01(b) of Form 8-K, which information was excluded from the Initial 8-K in reliance upon Item 9.01(a)(4) and Item 9.01(b)(2) of Form 8-K. Because the closing of the PaxVax Merger and Adapt Acquisition occurred close in time, the proforma financial information includes combined financial information of Emergent, PaxVax and Adapt.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Businesses Acquired</w:t>
      </w:r>
      <w:r>
        <w:rPr>
          <w:rFonts w:ascii="Arial" w:cs="Arial" w:eastAsia="Arial" w:hAnsi="Arial"/>
          <w:sz w:val="18"/>
          <w:szCs w:val="18"/>
          <w:color w:val="auto"/>
        </w:rPr>
        <w:t>.</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unaudited condensed consolidated interim financial statements of Adapt as of June 30, 2018 and for the six months ended June 30, 2018 and 2017 and accompanying notes are included in Exhibit 99.2 hereto and are incorporated herein by reference.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audited consolidated financial statements of Adapt, as of December 31, 2017 and 2016, and for the years ended December 31, 2017, 2016 and 2015, and accompanying notes, are included in Exhibit 99.3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r>
        <w:rPr>
          <w:rFonts w:ascii="Arial" w:cs="Arial" w:eastAsia="Arial" w:hAnsi="Arial"/>
          <w:sz w:val="18"/>
          <w:szCs w:val="18"/>
          <w:color w:val="auto"/>
        </w:rPr>
        <w:t>.</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unaudited pro forma condensed combined financial information of Emergent, PaxVax and Adapt for the year ended December 31, 2017 and for the six months ended June 30, 2018, including the notes related thereto, are filed as Exhibit 99.4 hereto and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1500" w:right="40" w:hanging="963"/>
        <w:spacing w:after="0" w:line="259" w:lineRule="auto"/>
        <w:tabs>
          <w:tab w:leader="none" w:pos="1500" w:val="left"/>
        </w:tabs>
        <w:numPr>
          <w:ilvl w:val="0"/>
          <w:numId w:val="1"/>
        </w:numPr>
        <w:rPr>
          <w:rFonts w:ascii="Arial" w:cs="Arial" w:eastAsia="Arial" w:hAnsi="Arial"/>
          <w:sz w:val="18"/>
          <w:szCs w:val="18"/>
          <w:u w:val="single" w:color="auto"/>
          <w:color w:val="0000EE"/>
        </w:rPr>
      </w:pPr>
      <w:hyperlink r:id="rId14">
        <w:r>
          <w:rPr>
            <w:rFonts w:ascii="Arial" w:cs="Arial" w:eastAsia="Arial" w:hAnsi="Arial"/>
            <w:sz w:val="18"/>
            <w:szCs w:val="18"/>
            <w:u w:val="single" w:color="auto"/>
            <w:color w:val="0000EE"/>
          </w:rPr>
          <w:t>Share Purchase Agreement, dated August 28, 2018, between Emergent, the Adapt Sellers identified therein, Seamus Mulligan and Adapt</w:t>
        </w:r>
      </w:hyperlink>
      <w:r>
        <w:rPr>
          <w:rFonts w:ascii="Arial" w:cs="Arial" w:eastAsia="Arial" w:hAnsi="Arial"/>
          <w:sz w:val="18"/>
          <w:szCs w:val="18"/>
          <w:u w:val="single" w:color="auto"/>
          <w:color w:val="0000EE"/>
        </w:rPr>
        <w:t xml:space="preserve"> </w:t>
      </w:r>
      <w:hyperlink r:id="rId14">
        <w:r>
          <w:rPr>
            <w:rFonts w:ascii="Arial" w:cs="Arial" w:eastAsia="Arial" w:hAnsi="Arial"/>
            <w:sz w:val="18"/>
            <w:szCs w:val="18"/>
            <w:u w:val="single" w:color="auto"/>
            <w:color w:val="0000EE"/>
          </w:rPr>
          <w:t>Pharma Limited.*, **†</w:t>
        </w:r>
      </w:hyperlink>
    </w:p>
    <w:p>
      <w:pPr>
        <w:spacing w:after="0" w:line="186" w:lineRule="exact"/>
        <w:rPr>
          <w:rFonts w:ascii="Arial" w:cs="Arial" w:eastAsia="Arial" w:hAnsi="Arial"/>
          <w:sz w:val="18"/>
          <w:szCs w:val="18"/>
          <w:color w:val="auto"/>
        </w:rPr>
      </w:pPr>
    </w:p>
    <w:p>
      <w:pPr>
        <w:ind w:left="1500" w:right="100" w:hanging="1008"/>
        <w:spacing w:after="0" w:line="277" w:lineRule="auto"/>
        <w:tabs>
          <w:tab w:leader="none" w:pos="1500" w:val="left"/>
        </w:tabs>
        <w:numPr>
          <w:ilvl w:val="0"/>
          <w:numId w:val="2"/>
        </w:numPr>
        <w:rPr>
          <w:rFonts w:ascii="Arial" w:cs="Arial" w:eastAsia="Arial" w:hAnsi="Arial"/>
          <w:sz w:val="18"/>
          <w:szCs w:val="18"/>
          <w:u w:val="single" w:color="auto"/>
          <w:color w:val="0000EE"/>
        </w:rPr>
      </w:pPr>
      <w:hyperlink r:id="rId15">
        <w:r>
          <w:rPr>
            <w:rFonts w:ascii="Arial" w:cs="Arial" w:eastAsia="Arial" w:hAnsi="Arial"/>
            <w:sz w:val="18"/>
            <w:szCs w:val="18"/>
            <w:u w:val="single" w:color="auto"/>
            <w:color w:val="0000EE"/>
          </w:rPr>
          <w:t>Amended and Restated Credit Agreement, dated October 15, 2018, by and among Emergent BioSolutions Inc., the lenders party thereto</w:t>
        </w:r>
      </w:hyperlink>
      <w:r>
        <w:rPr>
          <w:rFonts w:ascii="Arial" w:cs="Arial" w:eastAsia="Arial" w:hAnsi="Arial"/>
          <w:sz w:val="18"/>
          <w:szCs w:val="18"/>
          <w:u w:val="single" w:color="auto"/>
          <w:color w:val="0000EE"/>
        </w:rPr>
        <w:t xml:space="preserve"> </w:t>
      </w:r>
      <w:hyperlink r:id="rId15">
        <w:r>
          <w:rPr>
            <w:rFonts w:ascii="Arial" w:cs="Arial" w:eastAsia="Arial" w:hAnsi="Arial"/>
            <w:sz w:val="18"/>
            <w:szCs w:val="18"/>
            <w:u w:val="single" w:color="auto"/>
            <w:color w:val="0000EE"/>
          </w:rPr>
          <w:t>from time to time, and Wells Fargo Bank, National Association, as the Administrative Agent.*,**†</w:t>
        </w:r>
      </w:hyperlink>
    </w:p>
    <w:p>
      <w:pPr>
        <w:spacing w:after="0" w:line="170" w:lineRule="exact"/>
        <w:rPr>
          <w:rFonts w:ascii="Arial" w:cs="Arial" w:eastAsia="Arial" w:hAnsi="Arial"/>
          <w:sz w:val="18"/>
          <w:szCs w:val="18"/>
          <w:color w:val="auto"/>
        </w:rPr>
      </w:pPr>
    </w:p>
    <w:p>
      <w:pPr>
        <w:ind w:left="1500" w:hanging="1008"/>
        <w:spacing w:after="0"/>
        <w:tabs>
          <w:tab w:leader="none" w:pos="150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Consent of KPMG, independent auditor for Adapt.</w:t>
        </w:r>
      </w:hyperlink>
    </w:p>
    <w:p>
      <w:pPr>
        <w:spacing w:after="0" w:line="208" w:lineRule="exact"/>
        <w:rPr>
          <w:rFonts w:ascii="Arial" w:cs="Arial" w:eastAsia="Arial" w:hAnsi="Arial"/>
          <w:sz w:val="18"/>
          <w:szCs w:val="18"/>
          <w:color w:val="auto"/>
        </w:rPr>
      </w:pPr>
    </w:p>
    <w:tbl>
      <w:tblPr>
        <w:tblLayout w:type="fixed"/>
        <w:tblInd w:w="420" w:type="dxa"/>
        <w:tblCellMar>
          <w:top w:w="0" w:type="dxa"/>
          <w:left w:w="0" w:type="dxa"/>
          <w:bottom w:w="0" w:type="dxa"/>
          <w:right w:w="0" w:type="dxa"/>
        </w:tblCellMar>
      </w:tblPr>
      <w:tr>
        <w:trPr>
          <w:trHeight w:val="207"/>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99.1</w:t>
            </w:r>
          </w:p>
        </w:tc>
        <w:tc>
          <w:tcPr>
            <w:tcW w:w="2900" w:type="dxa"/>
            <w:vAlign w:val="bottom"/>
            <w:tcBorders>
              <w:bottom w:val="single" w:sz="8" w:color="0000EE"/>
            </w:tcBorders>
            <w:gridSpan w:val="2"/>
          </w:tcPr>
          <w:p>
            <w:pPr>
              <w:spacing w:after="0"/>
              <w:rPr>
                <w:rFonts w:ascii="Arial" w:cs="Arial" w:eastAsia="Arial" w:hAnsi="Arial"/>
                <w:sz w:val="18"/>
                <w:szCs w:val="18"/>
                <w:color w:val="0000EE"/>
                <w:w w:val="86"/>
              </w:rPr>
            </w:pPr>
            <w:hyperlink r:id="rId16">
              <w:r>
                <w:rPr>
                  <w:rFonts w:ascii="Arial" w:cs="Arial" w:eastAsia="Arial" w:hAnsi="Arial"/>
                  <w:sz w:val="18"/>
                  <w:szCs w:val="18"/>
                  <w:color w:val="0000EE"/>
                  <w:w w:val="86"/>
                </w:rPr>
                <w:t>Press Release, dated October 15, 2018.†</w:t>
              </w:r>
            </w:hyperlink>
          </w:p>
        </w:tc>
        <w:tc>
          <w:tcPr>
            <w:tcW w:w="6720" w:type="dxa"/>
            <w:vAlign w:val="bottom"/>
            <w:gridSpan w:val="5"/>
          </w:tcPr>
          <w:p>
            <w:pPr>
              <w:spacing w:after="0"/>
              <w:rPr>
                <w:sz w:val="18"/>
                <w:szCs w:val="18"/>
                <w:color w:val="auto"/>
              </w:rPr>
            </w:pPr>
          </w:p>
        </w:tc>
      </w:tr>
      <w:tr>
        <w:trPr>
          <w:trHeight w:val="412"/>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99.2</w:t>
            </w:r>
          </w:p>
        </w:tc>
        <w:tc>
          <w:tcPr>
            <w:tcW w:w="9620" w:type="dxa"/>
            <w:vAlign w:val="bottom"/>
            <w:gridSpan w:val="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consolidated financial statements of Adapt as of June 30, 2018 and for the six months ended June 30, 2018 and</w:t>
              </w:r>
            </w:hyperlink>
          </w:p>
        </w:tc>
      </w:tr>
      <w:tr>
        <w:trPr>
          <w:trHeight w:val="196"/>
        </w:trPr>
        <w:tc>
          <w:tcPr>
            <w:tcW w:w="1080" w:type="dxa"/>
            <w:vAlign w:val="bottom"/>
          </w:tcPr>
          <w:p>
            <w:pPr>
              <w:spacing w:after="0"/>
              <w:rPr>
                <w:sz w:val="17"/>
                <w:szCs w:val="17"/>
                <w:color w:val="auto"/>
              </w:rPr>
            </w:pPr>
          </w:p>
        </w:tc>
        <w:tc>
          <w:tcPr>
            <w:tcW w:w="9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2017 and accompanying notes thereto.</w:t>
              </w:r>
            </w:hyperlink>
          </w:p>
        </w:tc>
        <w:tc>
          <w:tcPr>
            <w:tcW w:w="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99.3</w:t>
            </w:r>
          </w:p>
        </w:tc>
        <w:tc>
          <w:tcPr>
            <w:tcW w:w="9620" w:type="dxa"/>
            <w:vAlign w:val="bottom"/>
            <w:gridSpan w:val="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Audited consolidated financial statements of Adapt, as of December 31, 2017 and 2016, and for the years ended December 31, 2017,</w:t>
              </w:r>
            </w:hyperlink>
          </w:p>
        </w:tc>
      </w:tr>
      <w:tr>
        <w:trPr>
          <w:trHeight w:val="196"/>
        </w:trPr>
        <w:tc>
          <w:tcPr>
            <w:tcW w:w="10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2016 and 2015 and accompanying notes thereto.</w:t>
              </w:r>
            </w:hyperlink>
          </w:p>
        </w:tc>
        <w:tc>
          <w:tcPr>
            <w:tcW w:w="608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1080" w:type="dxa"/>
            <w:vAlign w:val="bottom"/>
          </w:tcPr>
          <w:p>
            <w:pPr>
              <w:jc w:val="right"/>
              <w:ind w:right="670"/>
              <w:spacing w:after="0"/>
              <w:rPr>
                <w:sz w:val="20"/>
                <w:szCs w:val="20"/>
                <w:color w:val="auto"/>
              </w:rPr>
            </w:pPr>
            <w:r>
              <w:rPr>
                <w:rFonts w:ascii="Arial" w:cs="Arial" w:eastAsia="Arial" w:hAnsi="Arial"/>
                <w:sz w:val="18"/>
                <w:szCs w:val="18"/>
                <w:color w:val="auto"/>
                <w:w w:val="85"/>
              </w:rPr>
              <w:t>99.4</w:t>
            </w:r>
          </w:p>
        </w:tc>
        <w:tc>
          <w:tcPr>
            <w:tcW w:w="96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Unaudited pro forma condensed combined financial information of Emergent, PaxVax and Adapt as of June 30, 2018 and for the year</w:t>
              </w:r>
            </w:hyperlink>
          </w:p>
        </w:tc>
      </w:tr>
      <w:tr>
        <w:trPr>
          <w:trHeight w:val="196"/>
        </w:trPr>
        <w:tc>
          <w:tcPr>
            <w:tcW w:w="1080" w:type="dxa"/>
            <w:vAlign w:val="bottom"/>
          </w:tcPr>
          <w:p>
            <w:pPr>
              <w:spacing w:after="0"/>
              <w:rPr>
                <w:sz w:val="17"/>
                <w:szCs w:val="17"/>
                <w:color w:val="auto"/>
              </w:rPr>
            </w:pPr>
          </w:p>
        </w:tc>
        <w:tc>
          <w:tcPr>
            <w:tcW w:w="74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ended December 31, 2017 and for the six months ended June 30, 2018 and accompanying notes thereto.</w:t>
              </w:r>
            </w:hyperlink>
          </w:p>
        </w:tc>
        <w:tc>
          <w:tcPr>
            <w:tcW w:w="2140" w:type="dxa"/>
            <w:vAlign w:val="bottom"/>
            <w:gridSpan w:val="3"/>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right="280" w:firstLine="8"/>
        <w:spacing w:after="0" w:line="279" w:lineRule="auto"/>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Prior to the completion of the PaxVax Merger, but after June 30, 2018, PaxVax Global L.P. contributed all of its subsidiaries, operations, assets and liabilities to a newly-formed entity, PaxVax Holding Company Ltd. Therefore, PaxVax Global L.P. and PaxVax Holding Company Ltd are collectively referred to herein as “PaxVax” and the historical financial information of PaxVax Global L.P. has been used to prepare the unaudited pro forma condensed combined financial information statements attached hereto as well as satisfy the requirements per Regulation S-X Rule 3-05.</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620" w:type="dxa"/>
            <w:vAlign w:val="bottom"/>
          </w:tcPr>
          <w:p>
            <w:pPr>
              <w:ind w:left="660"/>
              <w:spacing w:after="0"/>
              <w:rPr>
                <w:sz w:val="20"/>
                <w:szCs w:val="20"/>
                <w:color w:val="auto"/>
              </w:rPr>
            </w:pPr>
            <w:r>
              <w:rPr>
                <w:rFonts w:ascii="Arial" w:cs="Arial" w:eastAsia="Arial" w:hAnsi="Arial"/>
                <w:sz w:val="18"/>
                <w:szCs w:val="18"/>
                <w:color w:val="auto"/>
              </w:rPr>
              <w:t>Previously filed.</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620" w:type="dxa"/>
            <w:vAlign w:val="bottom"/>
          </w:tcPr>
          <w:p>
            <w:pPr>
              <w:ind w:left="660"/>
              <w:spacing w:after="0"/>
              <w:rPr>
                <w:sz w:val="20"/>
                <w:szCs w:val="20"/>
                <w:color w:val="auto"/>
              </w:rPr>
            </w:pPr>
            <w:r>
              <w:rPr>
                <w:rFonts w:ascii="Arial" w:cs="Arial" w:eastAsia="Arial" w:hAnsi="Arial"/>
                <w:sz w:val="18"/>
                <w:szCs w:val="18"/>
                <w:color w:val="auto"/>
                <w:w w:val="92"/>
              </w:rPr>
              <w:t>Confidential treatment has been requested for certain portions of this exhibit. The confidential portions of this exhibit have been omitted</w:t>
            </w:r>
          </w:p>
        </w:tc>
      </w:tr>
      <w:tr>
        <w:trPr>
          <w:trHeight w:val="216"/>
        </w:trPr>
        <w:tc>
          <w:tcPr>
            <w:tcW w:w="840" w:type="dxa"/>
            <w:vAlign w:val="bottom"/>
          </w:tcPr>
          <w:p>
            <w:pPr>
              <w:spacing w:after="0"/>
              <w:rPr>
                <w:sz w:val="18"/>
                <w:szCs w:val="18"/>
                <w:color w:val="auto"/>
              </w:rPr>
            </w:pPr>
          </w:p>
        </w:tc>
        <w:tc>
          <w:tcPr>
            <w:tcW w:w="10620" w:type="dxa"/>
            <w:vAlign w:val="bottom"/>
          </w:tcPr>
          <w:p>
            <w:pPr>
              <w:ind w:left="660"/>
              <w:spacing w:after="0"/>
              <w:rPr>
                <w:sz w:val="20"/>
                <w:szCs w:val="20"/>
                <w:color w:val="auto"/>
              </w:rPr>
            </w:pPr>
            <w:r>
              <w:rPr>
                <w:rFonts w:ascii="Arial" w:cs="Arial" w:eastAsia="Arial" w:hAnsi="Arial"/>
                <w:sz w:val="18"/>
                <w:szCs w:val="18"/>
                <w:color w:val="auto"/>
                <w:w w:val="90"/>
              </w:rPr>
              <w:t>and filed separately with the Securities and Exchange Commission. In addition, schedules and exhibits to the Share Purchase Agreement</w:t>
            </w:r>
          </w:p>
        </w:tc>
      </w:tr>
      <w:tr>
        <w:trPr>
          <w:trHeight w:val="216"/>
        </w:trPr>
        <w:tc>
          <w:tcPr>
            <w:tcW w:w="840" w:type="dxa"/>
            <w:vAlign w:val="bottom"/>
          </w:tcPr>
          <w:p>
            <w:pPr>
              <w:spacing w:after="0"/>
              <w:rPr>
                <w:sz w:val="18"/>
                <w:szCs w:val="18"/>
                <w:color w:val="auto"/>
              </w:rPr>
            </w:pPr>
          </w:p>
        </w:tc>
        <w:tc>
          <w:tcPr>
            <w:tcW w:w="10620" w:type="dxa"/>
            <w:vAlign w:val="bottom"/>
          </w:tcPr>
          <w:p>
            <w:pPr>
              <w:ind w:left="660"/>
              <w:spacing w:after="0"/>
              <w:rPr>
                <w:sz w:val="20"/>
                <w:szCs w:val="20"/>
                <w:color w:val="auto"/>
              </w:rPr>
            </w:pPr>
            <w:r>
              <w:rPr>
                <w:rFonts w:ascii="Arial" w:cs="Arial" w:eastAsia="Arial" w:hAnsi="Arial"/>
                <w:sz w:val="18"/>
                <w:szCs w:val="18"/>
                <w:color w:val="auto"/>
                <w:w w:val="91"/>
              </w:rPr>
              <w:t>have been omitted pursuant to Item 601(b)(2) of Regulation S-K. Emergent hereby undertakes to furnish supplementally copies of any of</w:t>
            </w:r>
          </w:p>
        </w:tc>
      </w:tr>
      <w:tr>
        <w:trPr>
          <w:trHeight w:val="216"/>
        </w:trPr>
        <w:tc>
          <w:tcPr>
            <w:tcW w:w="840" w:type="dxa"/>
            <w:vAlign w:val="bottom"/>
          </w:tcPr>
          <w:p>
            <w:pPr>
              <w:spacing w:after="0"/>
              <w:rPr>
                <w:sz w:val="18"/>
                <w:szCs w:val="18"/>
                <w:color w:val="auto"/>
              </w:rPr>
            </w:pPr>
          </w:p>
        </w:tc>
        <w:tc>
          <w:tcPr>
            <w:tcW w:w="10620" w:type="dxa"/>
            <w:vAlign w:val="bottom"/>
          </w:tcPr>
          <w:p>
            <w:pPr>
              <w:ind w:left="660"/>
              <w:spacing w:after="0"/>
              <w:rPr>
                <w:sz w:val="20"/>
                <w:szCs w:val="20"/>
                <w:color w:val="auto"/>
              </w:rPr>
            </w:pPr>
            <w:r>
              <w:rPr>
                <w:rFonts w:ascii="Arial" w:cs="Arial" w:eastAsia="Arial" w:hAnsi="Arial"/>
                <w:sz w:val="18"/>
                <w:szCs w:val="18"/>
                <w:color w:val="auto"/>
                <w:w w:val="91"/>
              </w:rPr>
              <w:t>the omitted schedules and/or exhibits upon request by the U.S. Securities and Exchange Commission; provided, however, that Emergent</w:t>
            </w:r>
          </w:p>
        </w:tc>
      </w:tr>
      <w:tr>
        <w:trPr>
          <w:trHeight w:val="230"/>
        </w:trPr>
        <w:tc>
          <w:tcPr>
            <w:tcW w:w="840" w:type="dxa"/>
            <w:vAlign w:val="bottom"/>
          </w:tcPr>
          <w:p>
            <w:pPr>
              <w:spacing w:after="0"/>
              <w:rPr>
                <w:sz w:val="20"/>
                <w:szCs w:val="20"/>
                <w:color w:val="auto"/>
              </w:rPr>
            </w:pPr>
          </w:p>
        </w:tc>
        <w:tc>
          <w:tcPr>
            <w:tcW w:w="10620" w:type="dxa"/>
            <w:vAlign w:val="bottom"/>
          </w:tcPr>
          <w:p>
            <w:pPr>
              <w:ind w:left="660"/>
              <w:spacing w:after="0"/>
              <w:rPr>
                <w:sz w:val="20"/>
                <w:szCs w:val="20"/>
                <w:color w:val="auto"/>
              </w:rPr>
            </w:pPr>
            <w:r>
              <w:rPr>
                <w:rFonts w:ascii="Arial" w:cs="Arial" w:eastAsia="Arial" w:hAnsi="Arial"/>
                <w:sz w:val="18"/>
                <w:szCs w:val="18"/>
                <w:color w:val="auto"/>
              </w:rPr>
              <w:t>may request confidential treatment for any schedule and/or exhibit so furnished.</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w:t>
            </w:r>
          </w:p>
        </w:tc>
        <w:tc>
          <w:tcPr>
            <w:tcW w:w="10620" w:type="dxa"/>
            <w:vAlign w:val="bottom"/>
          </w:tcPr>
          <w:p>
            <w:pPr>
              <w:ind w:left="660"/>
              <w:spacing w:after="0"/>
              <w:rPr>
                <w:sz w:val="20"/>
                <w:szCs w:val="20"/>
                <w:color w:val="auto"/>
              </w:rPr>
            </w:pPr>
            <w:r>
              <w:rPr>
                <w:rFonts w:ascii="Arial" w:cs="Arial" w:eastAsia="Arial" w:hAnsi="Arial"/>
                <w:sz w:val="18"/>
                <w:szCs w:val="18"/>
                <w:color w:val="auto"/>
                <w:w w:val="94"/>
              </w:rPr>
              <w:t>Disclosure schedules have been omitted. A copy of any omitted schedule or exhibit will be furnished to the Securities and Exchange</w:t>
            </w:r>
          </w:p>
        </w:tc>
      </w:tr>
      <w:tr>
        <w:trPr>
          <w:trHeight w:val="230"/>
        </w:trPr>
        <w:tc>
          <w:tcPr>
            <w:tcW w:w="840" w:type="dxa"/>
            <w:vAlign w:val="bottom"/>
          </w:tcPr>
          <w:p>
            <w:pPr>
              <w:spacing w:after="0"/>
              <w:rPr>
                <w:sz w:val="20"/>
                <w:szCs w:val="20"/>
                <w:color w:val="auto"/>
              </w:rPr>
            </w:pPr>
          </w:p>
        </w:tc>
        <w:tc>
          <w:tcPr>
            <w:tcW w:w="10620" w:type="dxa"/>
            <w:vAlign w:val="bottom"/>
          </w:tcPr>
          <w:p>
            <w:pPr>
              <w:ind w:left="660"/>
              <w:spacing w:after="0"/>
              <w:rPr>
                <w:sz w:val="20"/>
                <w:szCs w:val="20"/>
                <w:color w:val="auto"/>
              </w:rPr>
            </w:pPr>
            <w:r>
              <w:rPr>
                <w:rFonts w:ascii="Arial" w:cs="Arial" w:eastAsia="Arial" w:hAnsi="Arial"/>
                <w:sz w:val="18"/>
                <w:szCs w:val="18"/>
                <w:color w:val="auto"/>
              </w:rPr>
              <w:t>Commission upon request.</w:t>
            </w:r>
          </w:p>
        </w:tc>
      </w:tr>
      <w:tr>
        <w:trPr>
          <w:trHeight w:val="432"/>
        </w:trPr>
        <w:tc>
          <w:tcPr>
            <w:tcW w:w="84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3</w:t>
            </w:r>
          </w:p>
        </w:tc>
      </w:tr>
      <w:tr>
        <w:trPr>
          <w:trHeight w:val="132"/>
        </w:trPr>
        <w:tc>
          <w:tcPr>
            <w:tcW w:w="840" w:type="dxa"/>
            <w:vAlign w:val="bottom"/>
            <w:tcBorders>
              <w:bottom w:val="single" w:sz="8" w:color="808080"/>
            </w:tcBorders>
          </w:tcPr>
          <w:p>
            <w:pPr>
              <w:spacing w:after="0"/>
              <w:rPr>
                <w:sz w:val="11"/>
                <w:szCs w:val="11"/>
                <w:color w:val="auto"/>
              </w:rPr>
            </w:pPr>
          </w:p>
        </w:tc>
        <w:tc>
          <w:tcPr>
            <w:tcW w:w="106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EMERGENT BIOSOLUTIONS INC.</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December 12, 2018</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RICHARD S. LINDAHL</w:t>
            </w:r>
          </w:p>
        </w:tc>
        <w:tc>
          <w:tcPr>
            <w:tcW w:w="4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Richard S. Lindahl</w:t>
            </w:r>
          </w:p>
        </w:tc>
        <w:tc>
          <w:tcPr>
            <w:tcW w:w="40" w:type="dxa"/>
            <w:vAlign w:val="bottom"/>
          </w:tcPr>
          <w:p>
            <w:pPr>
              <w:spacing w:after="0"/>
              <w:rPr>
                <w:sz w:val="16"/>
                <w:szCs w:val="16"/>
                <w:color w:val="auto"/>
              </w:rPr>
            </w:pPr>
          </w:p>
        </w:tc>
      </w:tr>
      <w:tr>
        <w:trPr>
          <w:trHeight w:val="230"/>
        </w:trPr>
        <w:tc>
          <w:tcPr>
            <w:tcW w:w="38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w w:val="94"/>
              </w:rPr>
              <w:t>Title:  Executive Vice President, Chief Financial Officer and Treasurer</w:t>
            </w:r>
          </w:p>
        </w:tc>
        <w:tc>
          <w:tcPr>
            <w:tcW w:w="40" w:type="dxa"/>
            <w:vAlign w:val="bottom"/>
          </w:tcPr>
          <w:p>
            <w:pPr>
              <w:spacing w:after="0"/>
              <w:rPr>
                <w:sz w:val="20"/>
                <w:szCs w:val="20"/>
                <w:color w:val="auto"/>
              </w:rPr>
            </w:pPr>
          </w:p>
        </w:tc>
      </w:tr>
      <w:tr>
        <w:trPr>
          <w:trHeight w:val="432"/>
        </w:trPr>
        <w:tc>
          <w:tcPr>
            <w:tcW w:w="3800" w:type="dxa"/>
            <w:vAlign w:val="bottom"/>
          </w:tcPr>
          <w:p>
            <w:pPr>
              <w:spacing w:after="0"/>
              <w:rPr>
                <w:sz w:val="24"/>
                <w:szCs w:val="24"/>
                <w:color w:val="auto"/>
              </w:rPr>
            </w:pPr>
          </w:p>
        </w:tc>
        <w:tc>
          <w:tcPr>
            <w:tcW w:w="2360" w:type="dxa"/>
            <w:vAlign w:val="bottom"/>
          </w:tcPr>
          <w:p>
            <w:pPr>
              <w:jc w:val="right"/>
              <w:ind w:right="310"/>
              <w:spacing w:after="0"/>
              <w:rPr>
                <w:sz w:val="20"/>
                <w:szCs w:val="20"/>
                <w:color w:val="auto"/>
              </w:rPr>
            </w:pPr>
            <w:r>
              <w:rPr>
                <w:rFonts w:ascii="Arial" w:cs="Arial" w:eastAsia="Arial" w:hAnsi="Arial"/>
                <w:sz w:val="18"/>
                <w:szCs w:val="18"/>
                <w:color w:val="auto"/>
              </w:rPr>
              <w:t>4</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80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tcPr>
          <w:p>
            <w:pPr>
              <w:spacing w:after="0"/>
              <w:rPr>
                <w:sz w:val="11"/>
                <w:szCs w:val="11"/>
                <w:color w:val="auto"/>
              </w:rPr>
            </w:pPr>
          </w:p>
        </w:tc>
        <w:tc>
          <w:tcPr>
            <w:tcW w:w="5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Adapt Pharma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 of Emergent BioSolutions Inc.:</w:t>
      </w:r>
    </w:p>
    <w:p>
      <w:pPr>
        <w:spacing w:after="0" w:line="225" w:lineRule="exact"/>
        <w:rPr>
          <w:sz w:val="20"/>
          <w:szCs w:val="20"/>
          <w:color w:val="auto"/>
        </w:rPr>
      </w:pPr>
    </w:p>
    <w:p>
      <w:pPr>
        <w:ind w:left="960" w:right="360" w:hanging="822"/>
        <w:spacing w:after="0" w:line="258"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Registration Statement (Form S-8 No. 333-139190) pertaining to the Employee Stock Option Plan, as amended and restated, the 2006 Stock Incentive Plan and individual director options agreements of Emergent BioSolutions Inc.,</w:t>
      </w:r>
    </w:p>
    <w:p>
      <w:pPr>
        <w:spacing w:after="0" w:line="1" w:lineRule="exact"/>
        <w:rPr>
          <w:sz w:val="20"/>
          <w:szCs w:val="20"/>
          <w:color w:val="auto"/>
        </w:rPr>
      </w:pPr>
    </w:p>
    <w:p>
      <w:pPr>
        <w:ind w:left="960" w:right="920" w:hanging="822"/>
        <w:spacing w:after="0" w:line="250"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Registration Statement (Form S-8 No. 333-161154) pertaining to the Amended and Restated 2006 Stock Incentive Plan of Emergent BioSolutions Inc.,</w:t>
      </w:r>
    </w:p>
    <w:p>
      <w:pPr>
        <w:spacing w:after="0" w:line="1" w:lineRule="exact"/>
        <w:rPr>
          <w:sz w:val="20"/>
          <w:szCs w:val="20"/>
          <w:color w:val="auto"/>
        </w:rPr>
      </w:pPr>
    </w:p>
    <w:p>
      <w:pPr>
        <w:ind w:left="960" w:hanging="82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Statement (Form S-4 No. 333-169351) of Emergent BioSolutions Inc. and Subsidiaries,</w:t>
      </w:r>
    </w:p>
    <w:p>
      <w:pPr>
        <w:spacing w:after="0" w:line="9" w:lineRule="exact"/>
        <w:rPr>
          <w:sz w:val="20"/>
          <w:szCs w:val="20"/>
          <w:color w:val="auto"/>
        </w:rPr>
      </w:pPr>
    </w:p>
    <w:p>
      <w:pPr>
        <w:ind w:left="960" w:hanging="82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Statement (Form S-3 No. 333-181133) of Emergent BioSolutions Inc. and Subsidiaries,</w:t>
      </w:r>
    </w:p>
    <w:p>
      <w:pPr>
        <w:spacing w:after="0" w:line="9" w:lineRule="exact"/>
        <w:rPr>
          <w:sz w:val="20"/>
          <w:szCs w:val="20"/>
          <w:color w:val="auto"/>
        </w:rPr>
      </w:pPr>
    </w:p>
    <w:p>
      <w:pPr>
        <w:ind w:left="960" w:right="620" w:hanging="822"/>
        <w:spacing w:after="0" w:line="250"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Registration Statement (Form S-8 No. 333-184699) pertaining to the 2012 Employee Stock Purchase Plan and the Second Amended and Restated Emergent BioSolutions Inc. 2006 Stock Incentive Plan,</w:t>
      </w:r>
    </w:p>
    <w:p>
      <w:pPr>
        <w:spacing w:after="0" w:line="1" w:lineRule="exact"/>
        <w:rPr>
          <w:sz w:val="20"/>
          <w:szCs w:val="20"/>
          <w:color w:val="auto"/>
        </w:rPr>
      </w:pPr>
    </w:p>
    <w:p>
      <w:pPr>
        <w:ind w:left="960" w:hanging="822"/>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Registration Statement (Form S-8 No. 333-196232) pertaining to the Third Amended and Restated Emergent BioSolutions Inc. 2006 Stock</w:t>
      </w:r>
    </w:p>
    <w:p>
      <w:pPr>
        <w:spacing w:after="0" w:line="222" w:lineRule="exact"/>
        <w:rPr>
          <w:sz w:val="20"/>
          <w:szCs w:val="20"/>
          <w:color w:val="auto"/>
        </w:rPr>
      </w:pPr>
    </w:p>
    <w:p>
      <w:pPr>
        <w:ind w:left="960" w:right="360" w:hanging="822"/>
        <w:spacing w:after="0" w:line="258"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Registration Statement (Form S-8 No. 333-216294) pertaining to the Fourth Amended and Restated Emergent BioSolutions Inc. 2006 Stock Incentive Plan,</w:t>
      </w:r>
    </w:p>
    <w:p>
      <w:pPr>
        <w:spacing w:after="0" w:line="1" w:lineRule="exact"/>
        <w:rPr>
          <w:sz w:val="20"/>
          <w:szCs w:val="20"/>
          <w:color w:val="auto"/>
        </w:rPr>
      </w:pPr>
    </w:p>
    <w:p>
      <w:pPr>
        <w:ind w:left="960" w:right="500" w:hanging="822"/>
        <w:spacing w:after="0" w:line="250"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Registration Statement (Form S-8 No. 333-225283) pertaining to the Fifth Amended and Restated Emergent BioSolutions Inc. 2006 Stock Incentive Plan, and</w:t>
      </w:r>
    </w:p>
    <w:p>
      <w:pPr>
        <w:spacing w:after="0" w:line="1" w:lineRule="exact"/>
        <w:rPr>
          <w:sz w:val="20"/>
          <w:szCs w:val="20"/>
          <w:color w:val="auto"/>
        </w:rPr>
      </w:pPr>
    </w:p>
    <w:p>
      <w:pPr>
        <w:ind w:left="960" w:hanging="82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Registration Statement (Form S-3 No. 333-226544) of Emergent BioSolutions Inc. and Subsidiaries;</w:t>
      </w: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of our report dated October 11, 2018, with respect to the consolidated statements of financial position of Adapt Pharma Limited and its subsidiaries as of 31 December 2017 and 31 December 2016, and the related consolidated income statements, consolidated statements of comprehensive income, consolidated statements of changes in equity, and consolidated statements of cash flows for each of the years ended 31 December 2017, 31 December 2016 and 31 December 2015, and the related notes to the consolidated financial statements, which report appears in the Form 8-K/A of Emergent BioSolutions Inc. dated December 12,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Adapt Pharma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condensed consolidated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income statement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Six Month Period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Note</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994"/>
              <w:spacing w:after="0"/>
              <w:rPr>
                <w:sz w:val="20"/>
                <w:szCs w:val="20"/>
                <w:color w:val="auto"/>
              </w:rPr>
            </w:pPr>
            <w:r>
              <w:rPr>
                <w:rFonts w:ascii="Arial" w:cs="Arial" w:eastAsia="Arial" w:hAnsi="Arial"/>
                <w:sz w:val="14"/>
                <w:szCs w:val="14"/>
                <w:b w:val="1"/>
                <w:bCs w:val="1"/>
                <w:color w:val="auto"/>
                <w:w w:val="91"/>
              </w:rPr>
              <w:t>30 June:</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352"/>
              <w:spacing w:after="0"/>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79,740</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(30,535)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49,205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(18,852)</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Development expenses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(3,492)</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26,861</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finance (cost)/income</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before tax</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26,290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profit from continuing operations</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22,101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Discontinued operation</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(1,513)</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Net profit for the period</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20,588</w:t>
            </w:r>
          </w:p>
        </w:tc>
        <w:tc>
          <w:tcPr>
            <w:tcW w:w="28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rPr>
          <w:sz w:val="20"/>
          <w:szCs w:val="20"/>
          <w:color w:val="auto"/>
        </w:rPr>
      </w:pPr>
      <w:r>
        <w:rPr>
          <w:rFonts w:ascii="Arial" w:cs="Arial" w:eastAsia="Arial" w:hAnsi="Arial"/>
          <w:sz w:val="18"/>
          <w:szCs w:val="18"/>
          <w:i w:val="1"/>
          <w:iCs w:val="1"/>
          <w:color w:val="auto"/>
        </w:rPr>
        <w:t>Net profit/(loss) attributable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holders of Adapt Pharma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Non-controlling interest</w:t>
      </w:r>
    </w:p>
    <w:p>
      <w:pPr>
        <w:spacing w:after="0" w:line="27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21,354</w:t>
            </w:r>
          </w:p>
        </w:tc>
        <w:tc>
          <w:tcPr>
            <w:tcW w:w="1380" w:type="dxa"/>
            <w:vAlign w:val="bottom"/>
          </w:tcPr>
          <w:p>
            <w:pPr>
              <w:jc w:val="right"/>
              <w:spacing w:after="0"/>
              <w:rPr>
                <w:sz w:val="20"/>
                <w:szCs w:val="20"/>
                <w:color w:val="auto"/>
              </w:rPr>
            </w:pPr>
            <w:r>
              <w:rPr>
                <w:rFonts w:ascii="Arial" w:cs="Arial" w:eastAsia="Arial" w:hAnsi="Arial"/>
                <w:sz w:val="18"/>
                <w:szCs w:val="18"/>
                <w:color w:val="auto"/>
              </w:rPr>
              <w:t>4,266</w:t>
            </w:r>
          </w:p>
        </w:tc>
        <w:tc>
          <w:tcPr>
            <w:tcW w:w="60" w:type="dxa"/>
            <w:vAlign w:val="bottom"/>
          </w:tcPr>
          <w:p>
            <w:pPr>
              <w:spacing w:after="0"/>
              <w:rPr>
                <w:sz w:val="18"/>
                <w:szCs w:val="18"/>
                <w:color w:val="auto"/>
              </w:rPr>
            </w:pPr>
          </w:p>
        </w:tc>
      </w:tr>
      <w:tr>
        <w:trPr>
          <w:trHeight w:val="257"/>
        </w:trPr>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(766)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(1,036)</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580" w:space="720"/>
            <w:col w:w="3120"/>
          </w:cols>
          <w:pgMar w:left="240" w:top="341"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 of other comprehensive income</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Six Month Period Ended</w:t>
      </w:r>
    </w:p>
    <w:p>
      <w:pPr>
        <w:jc w:val="center"/>
        <w:ind w:left="8200"/>
        <w:spacing w:after="0" w:line="236" w:lineRule="auto"/>
        <w:rPr>
          <w:sz w:val="20"/>
          <w:szCs w:val="20"/>
          <w:color w:val="auto"/>
        </w:rPr>
      </w:pPr>
      <w:r>
        <w:rPr>
          <w:rFonts w:ascii="Arial" w:cs="Arial" w:eastAsia="Arial" w:hAnsi="Arial"/>
          <w:sz w:val="14"/>
          <w:szCs w:val="14"/>
          <w:b w:val="1"/>
          <w:bCs w:val="1"/>
          <w:color w:val="auto"/>
        </w:rPr>
        <w:t>30 June: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80" w:type="dxa"/>
            <w:vAlign w:val="bottom"/>
          </w:tcPr>
          <w:p>
            <w:pPr>
              <w:jc w:val="right"/>
              <w:ind w:right="356"/>
              <w:spacing w:after="0"/>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for the period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20,588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(loss)/income: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i w:val="1"/>
                <w:iCs w:val="1"/>
                <w:color w:val="auto"/>
              </w:rPr>
              <w:t>Items that are or may be reclassified to profit or loss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differences</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 net of tax</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period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20,340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comprehensive income/(loss)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Equity holders of Adapt Pharma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21,223</w:t>
            </w:r>
          </w:p>
        </w:tc>
        <w:tc>
          <w:tcPr>
            <w:tcW w:w="1380" w:type="dxa"/>
            <w:vAlign w:val="bottom"/>
          </w:tcPr>
          <w:p>
            <w:pPr>
              <w:jc w:val="right"/>
              <w:spacing w:after="0"/>
              <w:rPr>
                <w:sz w:val="20"/>
                <w:szCs w:val="20"/>
                <w:color w:val="auto"/>
              </w:rPr>
            </w:pPr>
            <w:r>
              <w:rPr>
                <w:rFonts w:ascii="Arial" w:cs="Arial" w:eastAsia="Arial" w:hAnsi="Arial"/>
                <w:sz w:val="18"/>
                <w:szCs w:val="18"/>
                <w:color w:val="auto"/>
              </w:rPr>
              <w:t>4,454</w:t>
            </w:r>
          </w:p>
        </w:tc>
        <w:tc>
          <w:tcPr>
            <w:tcW w:w="60" w:type="dxa"/>
            <w:vAlign w:val="bottom"/>
          </w:tcPr>
          <w:p>
            <w:pPr>
              <w:spacing w:after="0"/>
              <w:rPr>
                <w:sz w:val="18"/>
                <w:szCs w:val="18"/>
                <w:color w:val="auto"/>
              </w:rPr>
            </w:pPr>
          </w:p>
        </w:tc>
      </w:tr>
      <w:tr>
        <w:trPr>
          <w:trHeight w:val="257"/>
        </w:trPr>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(747)</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580" w:space="720"/>
            <w:col w:w="3120"/>
          </w:cols>
          <w:pgMar w:left="240" w:top="341"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 of financial position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Note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At 30 Jun</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At 31 Dec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16,939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17,749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82,750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117,438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42,863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3,815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46,915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48,450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164,353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164,411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34,350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payable</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borrowings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Embedded financial liabilities</w:t>
            </w:r>
          </w:p>
        </w:tc>
        <w:tc>
          <w:tcPr>
            <w:tcW w:w="3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37,897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48,582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37,897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96,993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Share based payment reserve</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1,012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earnings/(loss)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27,127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Adapt Pharma Limited shareholders’ equity</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126,456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126,456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114,769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164,353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164,411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jc w:val="right"/>
              <w:ind w:right="79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6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six-month period ended 30 June 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4"/>
                <w:szCs w:val="14"/>
                <w:b w:val="1"/>
                <w:bCs w:val="1"/>
                <w:color w:val="auto"/>
              </w:rPr>
              <w:t>Attributable to owners of Adapt Pharma Limited</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Share</w:t>
            </w:r>
          </w:p>
        </w:tc>
        <w:tc>
          <w:tcPr>
            <w:tcW w:w="8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Foreign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based</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currency</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payment</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earnings/</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premium</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reserve</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reserve</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reserves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780" w:type="dxa"/>
            <w:vAlign w:val="bottom"/>
            <w:gridSpan w:val="2"/>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120,025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96,993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13,860</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112,249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i w:val="1"/>
                <w:iCs w:val="1"/>
                <w:color w:val="auto"/>
              </w:rPr>
              <w:t>Comprehensive income/(loss)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profit/(loss) for the period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comprehensive profit/(loss)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21,354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21,223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i w:val="1"/>
                <w:iCs w:val="1"/>
                <w:color w:val="auto"/>
              </w:rPr>
              <w:t>Transactions with owners of the Company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ownership interest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Acquisition of NCI without a change in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control</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(1,187)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(1,227)</w:t>
            </w:r>
          </w:p>
        </w:tc>
        <w:tc>
          <w:tcPr>
            <w:tcW w:w="66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Disposal of subsidiary company</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changes in ownership interest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Contributions and distributions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contributions and distributions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Total transactions with owners of the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Company</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(8,087)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(7,016)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(1,637)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(8,653)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Balance at 30 June 2018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120,025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96,993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1,012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27,127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8"/>
              </w:rPr>
              <w:t>126,456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six-month period ended 30 June 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4"/>
                <w:szCs w:val="14"/>
                <w:b w:val="1"/>
                <w:bCs w:val="1"/>
                <w:color w:val="auto"/>
              </w:rPr>
              <w:t>Attributable to owners of Adapt Pharma Limited</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Share</w:t>
            </w:r>
          </w:p>
        </w:tc>
        <w:tc>
          <w:tcPr>
            <w:tcW w:w="8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Foreign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Retained</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based</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Currency</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payment</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earnings/</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premium</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reserve</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reserve</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reserves</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780" w:type="dxa"/>
            <w:vAlign w:val="bottom"/>
            <w:gridSpan w:val="2"/>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interest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120,025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111,993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92,681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i w:val="1"/>
                <w:iCs w:val="1"/>
                <w:color w:val="auto"/>
              </w:rPr>
              <w:t>Comprehensive income/(loss)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profit for the period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4,454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i w:val="1"/>
                <w:iCs w:val="1"/>
                <w:color w:val="auto"/>
              </w:rPr>
              <w:t>Transactions with owners of the Company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ownership interest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tcPr>
          <w:p>
            <w:pPr>
              <w:spacing w:after="0" w:line="201" w:lineRule="exact"/>
              <w:rPr>
                <w:sz w:val="20"/>
                <w:szCs w:val="20"/>
                <w:color w:val="auto"/>
              </w:rPr>
            </w:pPr>
            <w:r>
              <w:rPr>
                <w:rFonts w:ascii="Arial" w:cs="Arial" w:eastAsia="Arial" w:hAnsi="Arial"/>
                <w:sz w:val="18"/>
                <w:szCs w:val="18"/>
                <w:color w:val="auto"/>
              </w:rPr>
              <w:t>Acquisition of NCI without a change in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control</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(789)</w:t>
            </w:r>
          </w:p>
        </w:tc>
        <w:tc>
          <w:tcPr>
            <w:tcW w:w="66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changes in ownership interest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(789)</w:t>
            </w:r>
          </w:p>
        </w:tc>
        <w:tc>
          <w:tcPr>
            <w:tcW w:w="66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i w:val="1"/>
                <w:iCs w:val="1"/>
                <w:color w:val="auto"/>
              </w:rPr>
              <w:t>Contributions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transactions with owners of the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Company</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66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Balance at 30 June 2017</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120,025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111,993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584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(16,539)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96,535</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3,203</w:t>
            </w: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99,738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period ended 30 June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Six Month Period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Note</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Borders>
              <w:bottom w:val="single" w:sz="8" w:color="auto"/>
            </w:tcBorders>
            <w:gridSpan w:val="3"/>
          </w:tcPr>
          <w:p>
            <w:pPr>
              <w:jc w:val="center"/>
              <w:ind w:left="992"/>
              <w:spacing w:after="0"/>
              <w:rPr>
                <w:sz w:val="20"/>
                <w:szCs w:val="20"/>
                <w:color w:val="auto"/>
              </w:rPr>
            </w:pPr>
            <w:r>
              <w:rPr>
                <w:rFonts w:ascii="Arial" w:cs="Arial" w:eastAsia="Arial" w:hAnsi="Arial"/>
                <w:sz w:val="14"/>
                <w:szCs w:val="14"/>
                <w:b w:val="1"/>
                <w:bCs w:val="1"/>
                <w:color w:val="auto"/>
                <w:w w:val="91"/>
              </w:rPr>
              <w:t>30 June:</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profit for the period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20,588</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profit to net cash from/(used in) operating activities: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Share based payment expense</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278</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Depreciation of property, plant and equipment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912</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Other non-cash expense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(1,854)</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and other receivables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6</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generated from operating activities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28,853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paid</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from/(used in) operating activities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27,434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Purchase of intangible assets</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(31,322)</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Purchase of other assets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(2,661)</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 of subsidiary, net of cash</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2</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Interest received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(35,956)</w:t>
            </w:r>
          </w:p>
        </w:tc>
        <w:tc>
          <w:tcPr>
            <w:tcW w:w="2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shareholders’ loans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Net proceeds from issuance of share capital in Avectas to NCI</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Net cash (used in)/from financing activities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(9,288)</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92,038</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82,750</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form an integral part of these financial statements.</w:t>
            </w: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jc w:val="right"/>
              <w:ind w:right="790"/>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6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condensed consolidated interim financial statements</w:t>
      </w:r>
    </w:p>
    <w:p>
      <w:pPr>
        <w:spacing w:after="0" w:line="211"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preparation and significant accounting policies</w:t>
      </w:r>
    </w:p>
    <w:p>
      <w:pPr>
        <w:spacing w:after="0" w:line="225" w:lineRule="exact"/>
        <w:rPr>
          <w:rFonts w:ascii="Arial" w:cs="Arial" w:eastAsia="Arial" w:hAnsi="Arial"/>
          <w:sz w:val="18"/>
          <w:szCs w:val="18"/>
          <w:b w:val="1"/>
          <w:bCs w:val="1"/>
          <w:color w:val="auto"/>
        </w:rPr>
      </w:pPr>
    </w:p>
    <w:p>
      <w:pPr>
        <w:ind w:left="42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Adapt Pharma Limited (the “Company”) is a company incorporated and domiciled in Ireland. The principal activity of the Company and its subsidiary undertakings (collectively “the Group”) is the research, development, acquisition/disposal, marketing and sale of pharmaceutical products and intellectual property. The Group’s lead marketed product is Narcan® Nasal Spray which is marketed, distributed and sold in the United States (“U.S.”) and Canada for the emergency treatment of known or suspected opioid overdose.</w:t>
      </w:r>
    </w:p>
    <w:p>
      <w:pPr>
        <w:spacing w:after="0" w:line="186"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preparation</w:t>
      </w:r>
    </w:p>
    <w:p>
      <w:pPr>
        <w:spacing w:after="0" w:line="225" w:lineRule="exact"/>
        <w:rPr>
          <w:rFonts w:ascii="Arial" w:cs="Arial" w:eastAsia="Arial" w:hAnsi="Arial"/>
          <w:sz w:val="18"/>
          <w:szCs w:val="18"/>
          <w:b w:val="1"/>
          <w:bCs w:val="1"/>
          <w:color w:val="auto"/>
        </w:rPr>
      </w:pPr>
    </w:p>
    <w:p>
      <w:pPr>
        <w:ind w:left="42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These unaudited condensed consolidated interim financial statements (“the interim financial statements”), have been prepared in accordance with International Financial Reporting Standards as issued by the International Accounting Standards Board (“IFRS”). Specifically, these interim financial statements have been prepared in accordance with International Accounting Standard No. 34 “Interim Financial Reporting” (“IAS 34”) and should be read in conjunction with our consolidated financial statements for the year ended 31 December 2017.</w:t>
      </w:r>
    </w:p>
    <w:p>
      <w:pPr>
        <w:spacing w:after="0" w:line="171" w:lineRule="exact"/>
        <w:rPr>
          <w:rFonts w:ascii="Arial" w:cs="Arial" w:eastAsia="Arial" w:hAnsi="Arial"/>
          <w:sz w:val="18"/>
          <w:szCs w:val="18"/>
          <w:b w:val="1"/>
          <w:bCs w:val="1"/>
          <w:color w:val="auto"/>
        </w:rPr>
      </w:pPr>
    </w:p>
    <w:p>
      <w:pPr>
        <w:ind w:left="420" w:right="4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interim financial statements have been prepared on the same basis as the annual consolidated financial statements and include all adjustments, consisting only of normal recurring adjustments, considered necessary for the fair presentation of the financial position and operating result</w:t>
      </w:r>
    </w:p>
    <w:p>
      <w:pPr>
        <w:spacing w:after="0" w:line="123" w:lineRule="exact"/>
        <w:rPr>
          <w:rFonts w:ascii="Arial" w:cs="Arial" w:eastAsia="Arial" w:hAnsi="Arial"/>
          <w:sz w:val="18"/>
          <w:szCs w:val="18"/>
          <w:b w:val="1"/>
          <w:bCs w:val="1"/>
          <w:color w:val="auto"/>
        </w:rPr>
      </w:pPr>
    </w:p>
    <w:p>
      <w:pPr>
        <w:ind w:left="42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results for the six months ended 30 June 2018 are not necessarily indicative of the results for the year ending 31 December 2018, for any other interim period or for any future period.</w:t>
      </w:r>
    </w:p>
    <w:p>
      <w:pPr>
        <w:spacing w:after="0" w:line="170" w:lineRule="exact"/>
        <w:rPr>
          <w:rFonts w:ascii="Arial" w:cs="Arial" w:eastAsia="Arial" w:hAnsi="Arial"/>
          <w:sz w:val="18"/>
          <w:szCs w:val="18"/>
          <w:b w:val="1"/>
          <w:bCs w:val="1"/>
          <w:color w:val="auto"/>
        </w:rPr>
      </w:pPr>
    </w:p>
    <w:p>
      <w:pPr>
        <w:ind w:left="4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Except for the revenue recognition accounting policy that was updated as a result of adopting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our significant accounting policies have not changed substantially from those previously described in our consolidated financial statements for the year ended December 31, 2017.</w:t>
      </w:r>
    </w:p>
    <w:p>
      <w:pPr>
        <w:spacing w:after="0" w:line="181" w:lineRule="exact"/>
        <w:rPr>
          <w:rFonts w:ascii="Arial" w:cs="Arial" w:eastAsia="Arial" w:hAnsi="Arial"/>
          <w:sz w:val="18"/>
          <w:szCs w:val="18"/>
          <w:b w:val="1"/>
          <w:bCs w:val="1"/>
          <w:color w:val="auto"/>
        </w:rPr>
      </w:pPr>
    </w:p>
    <w:p>
      <w:pPr>
        <w:jc w:val="both"/>
        <w:ind w:left="420" w:right="2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These interim financial statements include the financial statements of the Company and all of its subsidiary undertakings. They are presented in U.S. dollars, being the functional and presentational currency of Adapt Pharma Limited. All values are rounded to the nearest thousand (US$000), except when otherwise indicated. The interim financial statements are prepared on the historical cost basis, except for share-based payments and embedded derivatives which are based on fair value determined at the grant date and the balance sheet date, respectively.</w:t>
      </w:r>
    </w:p>
    <w:p>
      <w:pPr>
        <w:spacing w:after="0" w:line="17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judgements and estimates</w:t>
      </w:r>
    </w:p>
    <w:p>
      <w:pPr>
        <w:spacing w:after="0" w:line="225" w:lineRule="exact"/>
        <w:rPr>
          <w:rFonts w:ascii="Arial" w:cs="Arial" w:eastAsia="Arial" w:hAnsi="Arial"/>
          <w:sz w:val="18"/>
          <w:szCs w:val="18"/>
          <w:b w:val="1"/>
          <w:bCs w:val="1"/>
          <w:color w:val="auto"/>
        </w:rPr>
      </w:pPr>
    </w:p>
    <w:p>
      <w:pPr>
        <w:ind w:left="4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condensed consolidated interim financial statements in conformity with IFRS requires management to make judgements, estimates and assumptions that affect the application of policies and reported amounts of assets and liabilities, income and expenses. The estimates and assumptions are based on historical experience and various other factors that are believed to be reasonable under the circumstances, the results of which are the basis of making the judgement about carrying values of assets and liabilities that are not readily apparent from other sources. Actual results may differ from these estimates.</w:t>
      </w:r>
    </w:p>
    <w:p>
      <w:pPr>
        <w:spacing w:after="0" w:line="188" w:lineRule="exact"/>
        <w:rPr>
          <w:rFonts w:ascii="Arial" w:cs="Arial" w:eastAsia="Arial" w:hAnsi="Arial"/>
          <w:sz w:val="18"/>
          <w:szCs w:val="18"/>
          <w:b w:val="1"/>
          <w:bCs w:val="1"/>
          <w:color w:val="auto"/>
        </w:rPr>
      </w:pPr>
    </w:p>
    <w:p>
      <w:pPr>
        <w:jc w:val="both"/>
        <w:ind w:left="42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estimates and underlying assumptions are reviewed on an ongoing basis. Revisions to accounting estimates are recognised in the period in which the estimate is revised if the revision affects only that period, or in the period of the revision and future periods if the revision affects both current and future periods.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11"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Basis of preparation and significant accounting policies </w:t>
      </w:r>
      <w:r>
        <w:rPr>
          <w:rFonts w:ascii="Arial" w:cs="Arial" w:eastAsia="Arial" w:hAnsi="Arial"/>
          <w:sz w:val="18"/>
          <w:szCs w:val="18"/>
          <w:i w:val="1"/>
          <w:iCs w:val="1"/>
          <w:color w:val="auto"/>
        </w:rPr>
        <w:t>(continued)</w:t>
      </w:r>
    </w:p>
    <w:p>
      <w:pPr>
        <w:spacing w:after="0" w:line="225"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Adoption of New Accounting Standards</w:t>
      </w:r>
    </w:p>
    <w:p>
      <w:pPr>
        <w:spacing w:after="0" w:line="22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 xml:space="preserve">IFRS 15 </w:t>
      </w:r>
      <w:r>
        <w:rPr>
          <w:rFonts w:ascii="Arial" w:cs="Arial" w:eastAsia="Arial" w:hAnsi="Arial"/>
          <w:sz w:val="18"/>
          <w:szCs w:val="18"/>
          <w:i w:val="1"/>
          <w:iCs w:val="1"/>
          <w:u w:val="single" w:color="auto"/>
          <w:color w:val="auto"/>
        </w:rPr>
        <w:t>Revenue from Contracts with Customers</w:t>
      </w:r>
    </w:p>
    <w:p>
      <w:pPr>
        <w:spacing w:after="0" w:line="225" w:lineRule="exact"/>
        <w:rPr>
          <w:rFonts w:ascii="Arial" w:cs="Arial" w:eastAsia="Arial" w:hAnsi="Arial"/>
          <w:sz w:val="18"/>
          <w:szCs w:val="18"/>
          <w:b w:val="1"/>
          <w:bCs w:val="1"/>
          <w:color w:val="auto"/>
        </w:rPr>
      </w:pPr>
    </w:p>
    <w:p>
      <w:pPr>
        <w:ind w:left="420" w:right="1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 xml:space="preserve">IFRS 15 applies to the Group’s financial statements beginning 1 January 2018. IFRS 15 establishes a comprehensive framework for determining whether, how much and when revenue is recognised. It replaced IAS 18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and related interpretations. The core principle of IFRS 15 is that an entity should recognise revenue to depict the transfer of promised goods or services to customers in an amount that reflects the consideration to which the entity expects to be entitled in exchange for those goods or services. Under IFRS 15, an entity recognises revenue when (or as) a performance obligation is satisfied i.e. when ‘control’ of the goods or services underlying the particular performance obligation is transferred to the customer. At the date of adoption, the Group assessed the impact on its consolidated financial statements resulting from the application of IFRS 15. Generally, legal title of goods sold by the Group is transferred on delivery. The Group has adopted IFRS 15 using the cumulative effect method (without practical expedients), with the effect of initially applying this standard recognised at the date of initial application (i.e. 1 January 2018). Based on the Group’s contractual and trading relationships, the impact of adopting IFRS 15 on the consolidated financial statements was not material for the Group and there was no adjustment to retained earnings on application at 1 January 2018. The Group has not restated the 2017 prior year / interim results on adoption. The Group has updated its revenue recognition accounting policy as follows:</w:t>
      </w:r>
    </w:p>
    <w:p>
      <w:pPr>
        <w:spacing w:after="0" w:line="172"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Revenue Recognition</w:t>
      </w:r>
    </w:p>
    <w:p>
      <w:pPr>
        <w:spacing w:after="0" w:line="225" w:lineRule="exact"/>
        <w:rPr>
          <w:rFonts w:ascii="Arial" w:cs="Arial" w:eastAsia="Arial" w:hAnsi="Arial"/>
          <w:sz w:val="18"/>
          <w:szCs w:val="18"/>
          <w:b w:val="1"/>
          <w:bCs w:val="1"/>
          <w:color w:val="auto"/>
        </w:rPr>
      </w:pPr>
    </w:p>
    <w:p>
      <w:pPr>
        <w:ind w:left="4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Our revenue comprises product sales. Revenues are recognised when control of the goods are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Allowances for returns, specialty distributor fees, wholesaler fees, prompt payment discounts, government rebates, chargebacks and rebates under managed care plans are considered in determining the variable consideration. Revenues from sales of products is recognised to the extent that it is probable that a significant reversal in the amount of cumulative revenue recognised will not occur when the uncertainty associated with such variable consideration is subsequently resolved.</w:t>
      </w:r>
    </w:p>
    <w:p>
      <w:pPr>
        <w:spacing w:after="0" w:line="178" w:lineRule="exact"/>
        <w:rPr>
          <w:rFonts w:ascii="Arial" w:cs="Arial" w:eastAsia="Arial" w:hAnsi="Arial"/>
          <w:sz w:val="18"/>
          <w:szCs w:val="18"/>
          <w:b w:val="1"/>
          <w:bCs w:val="1"/>
          <w:color w:val="auto"/>
        </w:rPr>
      </w:pPr>
    </w:p>
    <w:p>
      <w:pPr>
        <w:ind w:left="4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Product sales revenue is recognised when control has transferred to the customer, which occurs at a point in time, which is typically on delivery to the customer. Reserves for variable consideration revenues from sales of products are recorded at the net sales price, which includes estimates of variable consideration for which reserves are established and which relate to returns, specialty distributor fees, wholesaler fees, prompt payment discounts, government rebates, government chargebacks and rebates under managed care plans. Calculating certain of these reserves involves estimates and judgments and we determine their expected value based on sales or invoice data, contractual terms, historical utilisation rates, new information regarding changes in these programs’ regulations and guidelines that would impact the amount of the actual rebates, our expectations regarding future utilisation rates for these programs and channel inventory data. These reserves reflect our best estimates of the amount of consideration to which we are entitled based on the terms of the contract.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We reassess our reserves for variable consideration at each reporting date. Historically, adjustments to estimates for these reserves have not been material.</w:t>
      </w:r>
    </w:p>
    <w:p>
      <w:pPr>
        <w:spacing w:after="0" w:line="183" w:lineRule="exact"/>
        <w:rPr>
          <w:sz w:val="20"/>
          <w:szCs w:val="20"/>
          <w:color w:val="auto"/>
        </w:rPr>
      </w:pPr>
    </w:p>
    <w:p>
      <w:pPr>
        <w:ind w:left="420" w:right="100"/>
        <w:spacing w:after="0" w:line="264" w:lineRule="auto"/>
        <w:rPr>
          <w:sz w:val="20"/>
          <w:szCs w:val="20"/>
          <w:color w:val="auto"/>
        </w:rPr>
      </w:pPr>
      <w:r>
        <w:rPr>
          <w:rFonts w:ascii="Arial" w:cs="Arial" w:eastAsia="Arial" w:hAnsi="Arial"/>
          <w:sz w:val="18"/>
          <w:szCs w:val="18"/>
          <w:color w:val="auto"/>
        </w:rPr>
        <w:t>Reserves for returns, specialty distributor fees, wholesaler fees, government rebates and rebates under managed care plans are included within current liabilities in our condensed consolidated balance sheets. Reserves for government chargebacks and prompt payment discounts are shown as a reduction in accounts receivable.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11" w:lineRule="exact"/>
        <w:rPr>
          <w:sz w:val="20"/>
          <w:szCs w:val="20"/>
          <w:color w:val="auto"/>
        </w:rPr>
      </w:pPr>
    </w:p>
    <w:p>
      <w:pPr>
        <w:ind w:left="400" w:right="5960" w:hanging="392"/>
        <w:spacing w:after="0" w:line="530" w:lineRule="auto"/>
        <w:tabs>
          <w:tab w:leader="none" w:pos="399"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Basis of preparation and significant accounting policies </w:t>
      </w:r>
      <w:r>
        <w:rPr>
          <w:rFonts w:ascii="Arial" w:cs="Arial" w:eastAsia="Arial" w:hAnsi="Arial"/>
          <w:sz w:val="17"/>
          <w:szCs w:val="17"/>
          <w:i w:val="1"/>
          <w:iCs w:val="1"/>
          <w:color w:val="auto"/>
        </w:rPr>
        <w:t>(continued)</w:t>
      </w:r>
      <w:r>
        <w:rPr>
          <w:rFonts w:ascii="Arial" w:cs="Arial" w:eastAsia="Arial" w:hAnsi="Arial"/>
          <w:sz w:val="17"/>
          <w:szCs w:val="17"/>
          <w:b w:val="1"/>
          <w:bCs w:val="1"/>
          <w:i w:val="1"/>
          <w:iCs w:val="1"/>
          <w:color w:val="auto"/>
        </w:rPr>
        <w:t xml:space="preserve"> Adoption of New Accounting Standards </w:t>
      </w:r>
      <w:r>
        <w:rPr>
          <w:rFonts w:ascii="Arial" w:cs="Arial" w:eastAsia="Arial" w:hAnsi="Arial"/>
          <w:sz w:val="17"/>
          <w:szCs w:val="17"/>
          <w:i w:val="1"/>
          <w:iCs w:val="1"/>
          <w:color w:val="auto"/>
        </w:rPr>
        <w:t>(continued)</w:t>
      </w:r>
    </w:p>
    <w:p>
      <w:pPr>
        <w:ind w:left="420"/>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IFRS 9 Financial Instruments</w:t>
      </w:r>
    </w:p>
    <w:p>
      <w:pPr>
        <w:spacing w:after="0" w:line="225" w:lineRule="exact"/>
        <w:rPr>
          <w:rFonts w:ascii="Arial" w:cs="Arial" w:eastAsia="Arial" w:hAnsi="Arial"/>
          <w:sz w:val="17"/>
          <w:szCs w:val="17"/>
          <w:b w:val="1"/>
          <w:bCs w:val="1"/>
          <w:color w:val="auto"/>
        </w:rPr>
      </w:pPr>
    </w:p>
    <w:p>
      <w:pPr>
        <w:ind w:left="420" w:right="14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IFRS 9 applies to the Group’s financial statements beginning 1 January 2018. IFRS 9 sets out requirements for recognising and measuring financial assets, financial liabilities and some contracts to buy or sell non-financial items. This standard replaces IAS 39 Financial Instruments: Recognition and Measurement.</w:t>
      </w:r>
    </w:p>
    <w:p>
      <w:pPr>
        <w:spacing w:after="0" w:line="181" w:lineRule="exact"/>
        <w:rPr>
          <w:rFonts w:ascii="Arial" w:cs="Arial" w:eastAsia="Arial" w:hAnsi="Arial"/>
          <w:sz w:val="17"/>
          <w:szCs w:val="17"/>
          <w:b w:val="1"/>
          <w:bCs w:val="1"/>
          <w:color w:val="auto"/>
        </w:rPr>
      </w:pPr>
    </w:p>
    <w:p>
      <w:pPr>
        <w:ind w:left="640" w:hanging="132"/>
        <w:spacing w:after="0"/>
        <w:tabs>
          <w:tab w:leader="none" w:pos="6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Classification and measurement of financial assets and financial liabilities</w:t>
      </w:r>
    </w:p>
    <w:p>
      <w:pPr>
        <w:spacing w:after="0" w:line="225"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IFRS 9 contains three principal classification categories for financial assets: measured at amortised cost, fair value through other comprehensive income (FVOCI) and fair value through profit or loss (FVTPL). The classification of financial assets under IFRS 9 is generally based on the business model in which a financial asset is managed and its contractual cash flow characteristics. IFRS 9 eliminates the previous IAS 39 categories of held to maturity, loans and receivables and available for sale. IFRS 9 largely retains the existing requirements in IAS 39 for the classification and measurement of financial liabilities. The adoption of IFRS 9 has not had a significant effect on the Group’s accounting policies related to financial liabilities and derivative financial instruments.</w:t>
      </w:r>
    </w:p>
    <w:p>
      <w:pPr>
        <w:spacing w:after="0" w:line="193" w:lineRule="exact"/>
        <w:rPr>
          <w:rFonts w:ascii="Arial" w:cs="Arial" w:eastAsia="Arial" w:hAnsi="Arial"/>
          <w:sz w:val="18"/>
          <w:szCs w:val="18"/>
          <w:color w:val="auto"/>
        </w:rPr>
      </w:pPr>
    </w:p>
    <w:p>
      <w:pPr>
        <w:ind w:left="660" w:right="14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sets out the original measurement categories under IAS 39 and the new measurement categories under IFRS 9 for each class of the Group’s financial assets and financial liabilities as at 1 January 2018.</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Original classification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0"/>
              </w:rPr>
              <w:t>New 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under IAS 39</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7"/>
              </w:rPr>
              <w:t>under IFRS 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3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Loans and receivable</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Amortised cost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1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Loans and receivable</w:t>
            </w:r>
          </w:p>
        </w:tc>
        <w:tc>
          <w:tcPr>
            <w:tcW w:w="2940" w:type="dxa"/>
            <w:vAlign w:val="bottom"/>
          </w:tcPr>
          <w:p>
            <w:pPr>
              <w:jc w:val="center"/>
              <w:spacing w:after="0"/>
              <w:rPr>
                <w:sz w:val="20"/>
                <w:szCs w:val="20"/>
                <w:color w:val="auto"/>
              </w:rPr>
            </w:pPr>
            <w:r>
              <w:rPr>
                <w:rFonts w:ascii="Arial" w:cs="Arial" w:eastAsia="Arial" w:hAnsi="Arial"/>
                <w:sz w:val="18"/>
                <w:szCs w:val="18"/>
                <w:color w:val="auto"/>
                <w:w w:val="92"/>
              </w:rPr>
              <w:t>Amortised cost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Other financial liabilities</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Other financial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Loans and borrowing</w:t>
            </w:r>
          </w:p>
        </w:tc>
        <w:tc>
          <w:tcPr>
            <w:tcW w:w="31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Other financial liabilities</w:t>
            </w: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Other financial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Embedded financial liabilities</w:t>
            </w:r>
          </w:p>
        </w:tc>
        <w:tc>
          <w:tcPr>
            <w:tcW w:w="3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FVPTL</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FVPTL</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ii. Impairment of financial assets</w:t>
            </w:r>
          </w:p>
        </w:tc>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00"/>
        <w:spacing w:after="0" w:line="293" w:lineRule="auto"/>
        <w:rPr>
          <w:sz w:val="20"/>
          <w:szCs w:val="20"/>
          <w:color w:val="auto"/>
        </w:rPr>
      </w:pPr>
      <w:r>
        <w:rPr>
          <w:rFonts w:ascii="Arial" w:cs="Arial" w:eastAsia="Arial" w:hAnsi="Arial"/>
          <w:sz w:val="16"/>
          <w:szCs w:val="16"/>
          <w:color w:val="auto"/>
        </w:rPr>
        <w:t>Trade receivables and cash will continue to be accounted for at amortised cost. IFRS 9 introduces a forward looking expected credit losses model, rather than the current incurred loss model, when assessing the impairment of financial assets in the scope of IFRS 9. Given historic loss rates and normal receivable ageing, the move from an incurred loss model to an expected loss model has not had a material impact. On this basis, the classification and measurement changes do not have a material impact on the Group’s consolidated financial statements. The impact of adopting IFRS 9 on the consolidated financial statements was not material for the Group and there was no adjustment to retained earnings on application at 1 January 2018. In line with the transition guidance in IFRS 9 the Group has not restated the 2017 prior year / interim results on adoption.</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IFRS 16 Leases</w:t>
      </w:r>
    </w:p>
    <w:p>
      <w:pPr>
        <w:spacing w:after="0" w:line="225" w:lineRule="exact"/>
        <w:rPr>
          <w:sz w:val="20"/>
          <w:szCs w:val="20"/>
          <w:color w:val="auto"/>
        </w:rPr>
      </w:pPr>
    </w:p>
    <w:p>
      <w:pPr>
        <w:ind w:left="420" w:right="20"/>
        <w:spacing w:after="0" w:line="302" w:lineRule="auto"/>
        <w:rPr>
          <w:sz w:val="20"/>
          <w:szCs w:val="20"/>
          <w:color w:val="auto"/>
        </w:rPr>
      </w:pPr>
      <w:r>
        <w:rPr>
          <w:rFonts w:ascii="Arial" w:cs="Arial" w:eastAsia="Arial" w:hAnsi="Arial"/>
          <w:sz w:val="16"/>
          <w:szCs w:val="16"/>
          <w:color w:val="auto"/>
        </w:rPr>
        <w:t>IFRS 16 applies to the Groups financial statements beginning 1 January 2019. IFRS 16 specifies how an entity will recognise, measure, present and disclose leases. The standard provides a single lessee accounting model, requiring lessees to recognise assets and liabilities for all leases unless the lease term is 12 months or less or the underlying asset has a low value. On transitioning to the new standard, the Group will apply a modified retrospective approach and will apply IFRS 16 from 1 January 2019. The Group is still evaluating the impact of adopting this new standard.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07"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Disposal of Avectas Business</w:t>
      </w:r>
    </w:p>
    <w:p>
      <w:pPr>
        <w:spacing w:after="0" w:line="229" w:lineRule="exact"/>
        <w:rPr>
          <w:rFonts w:ascii="Arial" w:cs="Arial" w:eastAsia="Arial" w:hAnsi="Arial"/>
          <w:sz w:val="18"/>
          <w:szCs w:val="18"/>
          <w:b w:val="1"/>
          <w:bCs w:val="1"/>
          <w:color w:val="auto"/>
        </w:rPr>
      </w:pPr>
    </w:p>
    <w:p>
      <w:pPr>
        <w:ind w:left="400" w:right="3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March 2018, Avectas Limited issued €1.6 million (US$1.9 million) of 2018 Convertible Loan Notes. Adapt Pharma Limited subscribed for €1.5 million (US$1.8 million) of the 2018 Convertible Loan Notes. Adapt Pharma Limited had the right to convert the 2018 Convertible Loan Notes into Ordinary Shares of Avectas Limited at a fixed conversion price in the period from the issuance date to 31 December 2018. On 31 December 2018, all outstanding notes would have automatically converted into Ordinary Shares at the fixed conversion price.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May 2018, following Adapt Pharma Limited serving notice on Avectas Limited, €3.5 million of the 2017 Convertible Loan Notes and €1.5 million of</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2018 Convertible Loan Notes were converted into 277,777 ordinary shares of Avectas Limited, increasing its equity interest in Avectas from 45.24%</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to 61.98%. In 2018, non-controlling shareholders of Avectas invested a further US$1.0 million in Avectas through the conversion of €0.7 million</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(US$0.9 million) convertible loans notes and conversion of €0.1 million (US$0.1 million) of 2018 Convertible Loan Notes into shares in Avectas. The</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change in the Group’s interest in Avectas in 2018 has been accounted for as an equity transaction by way of an increase of US$2.3 million to non-</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controlling interest within equity, representing an increase in the portion of the net assets of Avectas attributable to non-controlling shareholders.</w:t>
      </w:r>
    </w:p>
    <w:p>
      <w:pPr>
        <w:spacing w:after="0" w:line="222" w:lineRule="exact"/>
        <w:rPr>
          <w:sz w:val="20"/>
          <w:szCs w:val="20"/>
          <w:color w:val="auto"/>
        </w:rPr>
      </w:pPr>
    </w:p>
    <w:p>
      <w:pPr>
        <w:ind w:left="400" w:right="180"/>
        <w:spacing w:after="0" w:line="277" w:lineRule="auto"/>
        <w:rPr>
          <w:sz w:val="20"/>
          <w:szCs w:val="20"/>
          <w:color w:val="auto"/>
        </w:rPr>
      </w:pPr>
      <w:r>
        <w:rPr>
          <w:rFonts w:ascii="Arial" w:cs="Arial" w:eastAsia="Arial" w:hAnsi="Arial"/>
          <w:sz w:val="18"/>
          <w:szCs w:val="18"/>
          <w:color w:val="auto"/>
        </w:rPr>
        <w:t>In May 2018, Adapt Pharma Limited disposed of its entire investment in Avectas Limited by transferring its investment in Avectas to ALSHC Limited, by way of a distribution. ALSHC Limited is owned by the shareholders of the Company.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 of the assets and liabilities of Avectas Limited at the date of disposal, are summarised below:</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9360" w:type="dxa"/>
            <w:vAlign w:val="bottom"/>
          </w:tcPr>
          <w:p>
            <w:pPr>
              <w:spacing w:after="0"/>
              <w:rPr>
                <w:sz w:val="14"/>
                <w:szCs w:val="14"/>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US$’000</w:t>
            </w:r>
          </w:p>
        </w:tc>
      </w:tr>
      <w:tr>
        <w:trPr>
          <w:trHeight w:val="210"/>
        </w:trPr>
        <w:tc>
          <w:tcPr>
            <w:tcW w:w="9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2,094</w:t>
            </w:r>
          </w:p>
        </w:tc>
        <w:tc>
          <w:tcPr>
            <w:tcW w:w="8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Intangible assets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8,278</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(539)</w:t>
            </w: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(1,034)</w:t>
            </w:r>
          </w:p>
        </w:tc>
      </w:tr>
      <w:tr>
        <w:trPr>
          <w:trHeight w:val="210"/>
        </w:trPr>
        <w:tc>
          <w:tcPr>
            <w:tcW w:w="9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Total identifiable net assets disposed</w:t>
            </w: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10,117</w:t>
            </w:r>
          </w:p>
        </w:tc>
        <w:tc>
          <w:tcPr>
            <w:tcW w:w="80" w:type="dxa"/>
            <w:vAlign w:val="bottom"/>
          </w:tcPr>
          <w:p>
            <w:pPr>
              <w:spacing w:after="0"/>
              <w:rPr>
                <w:sz w:val="18"/>
                <w:szCs w:val="18"/>
                <w:color w:val="auto"/>
              </w:rPr>
            </w:pPr>
          </w:p>
        </w:tc>
      </w:tr>
      <w:tr>
        <w:trPr>
          <w:trHeight w:val="20"/>
        </w:trPr>
        <w:tc>
          <w:tcPr>
            <w:tcW w:w="9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right="460"/>
        <w:spacing w:after="0" w:line="308" w:lineRule="auto"/>
        <w:rPr>
          <w:sz w:val="20"/>
          <w:szCs w:val="20"/>
          <w:color w:val="auto"/>
        </w:rPr>
      </w:pPr>
      <w:r>
        <w:rPr>
          <w:rFonts w:ascii="Arial" w:cs="Arial" w:eastAsia="Arial" w:hAnsi="Arial"/>
          <w:sz w:val="17"/>
          <w:szCs w:val="17"/>
          <w:color w:val="auto"/>
        </w:rPr>
        <w:t>The distribution of the business is reflected in the unaudited condensed consolidated statement of changes in equity, under the heading ‘Disposal of subsidiary company’ and includes in addition, the recycling of the foreign currency translation reserve related to this entity.</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Results of discontinued operations</w:t>
      </w:r>
    </w:p>
    <w:p>
      <w:pPr>
        <w:spacing w:after="0" w:line="221"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Six Months Ended</w:t>
      </w:r>
    </w:p>
    <w:p>
      <w:pPr>
        <w:jc w:val="center"/>
        <w:ind w:left="7860"/>
        <w:spacing w:after="0" w:line="236" w:lineRule="auto"/>
        <w:rPr>
          <w:sz w:val="20"/>
          <w:szCs w:val="20"/>
          <w:color w:val="auto"/>
        </w:rPr>
      </w:pPr>
      <w:r>
        <w:rPr>
          <w:rFonts w:ascii="Arial" w:cs="Arial" w:eastAsia="Arial" w:hAnsi="Arial"/>
          <w:sz w:val="14"/>
          <w:szCs w:val="14"/>
          <w:b w:val="1"/>
          <w:bCs w:val="1"/>
          <w:color w:val="auto"/>
        </w:rPr>
        <w:t>30 June: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4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439</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Expenses</w:t>
            </w:r>
          </w:p>
        </w:tc>
        <w:tc>
          <w:tcPr>
            <w:tcW w:w="5020" w:type="dxa"/>
            <w:vAlign w:val="bottom"/>
            <w:gridSpan w:val="3"/>
          </w:tcPr>
          <w:p>
            <w:pPr>
              <w:jc w:val="right"/>
              <w:ind w:right="220"/>
              <w:spacing w:after="0"/>
              <w:rPr>
                <w:sz w:val="20"/>
                <w:szCs w:val="20"/>
                <w:color w:val="auto"/>
              </w:rPr>
            </w:pPr>
            <w:r>
              <w:rPr>
                <w:rFonts w:ascii="Arial" w:cs="Arial" w:eastAsia="Arial" w:hAnsi="Arial"/>
                <w:sz w:val="18"/>
                <w:szCs w:val="18"/>
                <w:color w:val="auto"/>
              </w:rPr>
              <w:t>(1,808)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(1,932)</w:t>
            </w:r>
          </w:p>
        </w:tc>
        <w:tc>
          <w:tcPr>
            <w:tcW w:w="22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Results from operating activities</w:t>
            </w:r>
          </w:p>
        </w:tc>
        <w:tc>
          <w:tcPr>
            <w:tcW w:w="5020" w:type="dxa"/>
            <w:vAlign w:val="bottom"/>
            <w:gridSpan w:val="3"/>
          </w:tcPr>
          <w:p>
            <w:pPr>
              <w:jc w:val="right"/>
              <w:ind w:right="220"/>
              <w:spacing w:after="0"/>
              <w:rPr>
                <w:sz w:val="20"/>
                <w:szCs w:val="20"/>
                <w:color w:val="auto"/>
              </w:rPr>
            </w:pPr>
            <w:r>
              <w:rPr>
                <w:rFonts w:ascii="Arial" w:cs="Arial" w:eastAsia="Arial" w:hAnsi="Arial"/>
                <w:sz w:val="18"/>
                <w:szCs w:val="18"/>
                <w:color w:val="auto"/>
              </w:rPr>
              <w:t>(1,369)</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(1,446)</w:t>
            </w:r>
          </w:p>
        </w:tc>
        <w:tc>
          <w:tcPr>
            <w:tcW w:w="2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w:t>
            </w:r>
          </w:p>
        </w:tc>
        <w:tc>
          <w:tcPr>
            <w:tcW w:w="3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Results from operating activities, net of tax</w:t>
            </w:r>
          </w:p>
        </w:tc>
        <w:tc>
          <w:tcPr>
            <w:tcW w:w="5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(1,446)</w:t>
            </w:r>
          </w:p>
        </w:tc>
        <w:tc>
          <w:tcPr>
            <w:tcW w:w="2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Foreign exchange loss on disposal</w:t>
            </w:r>
          </w:p>
        </w:tc>
        <w:tc>
          <w:tcPr>
            <w:tcW w:w="5020" w:type="dxa"/>
            <w:vAlign w:val="bottom"/>
            <w:gridSpan w:val="3"/>
          </w:tcPr>
          <w:p>
            <w:pPr>
              <w:jc w:val="right"/>
              <w:ind w:right="220"/>
              <w:spacing w:after="0"/>
              <w:rPr>
                <w:sz w:val="20"/>
                <w:szCs w:val="20"/>
                <w:color w:val="auto"/>
              </w:rPr>
            </w:pPr>
            <w:r>
              <w:rPr>
                <w:rFonts w:ascii="Arial" w:cs="Arial" w:eastAsia="Arial" w:hAnsi="Arial"/>
                <w:sz w:val="18"/>
                <w:szCs w:val="18"/>
                <w:color w:val="auto"/>
              </w:rPr>
              <w:t>(144)</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50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(1,513)</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(1,446)</w:t>
            </w:r>
          </w:p>
        </w:tc>
        <w:tc>
          <w:tcPr>
            <w:tcW w:w="220" w:type="dxa"/>
            <w:vAlign w:val="bottom"/>
          </w:tcPr>
          <w:p>
            <w:pPr>
              <w:spacing w:after="0"/>
              <w:rPr>
                <w:sz w:val="19"/>
                <w:szCs w:val="19"/>
                <w:color w:val="auto"/>
              </w:rPr>
            </w:pPr>
          </w:p>
        </w:tc>
      </w:tr>
      <w:tr>
        <w:trPr>
          <w:trHeight w:val="426"/>
        </w:trPr>
        <w:tc>
          <w:tcPr>
            <w:tcW w:w="4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0" w:type="dxa"/>
            <w:vAlign w:val="bottom"/>
          </w:tcPr>
          <w:p>
            <w:pPr>
              <w:jc w:val="right"/>
              <w:ind w:right="2270"/>
              <w:spacing w:after="0"/>
              <w:rPr>
                <w:sz w:val="20"/>
                <w:szCs w:val="20"/>
                <w:color w:val="auto"/>
              </w:rPr>
            </w:pPr>
            <w:r>
              <w:rPr>
                <w:rFonts w:ascii="Arial" w:cs="Arial" w:eastAsia="Arial" w:hAnsi="Arial"/>
                <w:sz w:val="18"/>
                <w:szCs w:val="18"/>
                <w:color w:val="auto"/>
              </w:rPr>
              <w:t>11</w:t>
            </w:r>
          </w:p>
        </w:tc>
        <w:tc>
          <w:tcPr>
            <w:tcW w:w="13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434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07"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Disposal of Avectas Business </w:t>
      </w:r>
      <w:r>
        <w:rPr>
          <w:rFonts w:ascii="Arial" w:cs="Arial" w:eastAsia="Arial" w:hAnsi="Arial"/>
          <w:sz w:val="18"/>
          <w:szCs w:val="18"/>
          <w:i w:val="1"/>
          <w:iCs w:val="1"/>
          <w:color w:val="auto"/>
        </w:rPr>
        <w:t>(continued)</w:t>
      </w:r>
    </w:p>
    <w:p>
      <w:pPr>
        <w:spacing w:after="0" w:line="229" w:lineRule="exact"/>
        <w:rPr>
          <w:sz w:val="20"/>
          <w:szCs w:val="20"/>
          <w:color w:val="auto"/>
        </w:rPr>
      </w:pPr>
    </w:p>
    <w:p>
      <w:pPr>
        <w:ind w:left="420" w:right="180"/>
        <w:spacing w:after="0" w:line="264" w:lineRule="auto"/>
        <w:rPr>
          <w:sz w:val="20"/>
          <w:szCs w:val="20"/>
          <w:color w:val="auto"/>
        </w:rPr>
      </w:pPr>
      <w:r>
        <w:rPr>
          <w:rFonts w:ascii="Arial" w:cs="Arial" w:eastAsia="Arial" w:hAnsi="Arial"/>
          <w:sz w:val="18"/>
          <w:szCs w:val="18"/>
          <w:color w:val="auto"/>
        </w:rPr>
        <w:t>The unaudited condensed consolidated statement of cashflows, as shown at page 7, reflects the combined cashflows of continuing and discontinued operations. The table below outlines the impact of cashflow from discontinued operations for the six months ended 30 June 2018 and 30 June 2017 are shown below on the consolidated statement of cashflows, as shown at page 7:</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Discontinued operations</w:t>
      </w:r>
    </w:p>
    <w:p>
      <w:pPr>
        <w:spacing w:after="0" w:line="221"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Six Months Ended</w:t>
      </w:r>
    </w:p>
    <w:p>
      <w:pPr>
        <w:jc w:val="center"/>
        <w:ind w:left="7840"/>
        <w:spacing w:after="0" w:line="236" w:lineRule="auto"/>
        <w:rPr>
          <w:sz w:val="20"/>
          <w:szCs w:val="20"/>
          <w:color w:val="auto"/>
        </w:rPr>
      </w:pPr>
      <w:r>
        <w:rPr>
          <w:rFonts w:ascii="Arial" w:cs="Arial" w:eastAsia="Arial" w:hAnsi="Arial"/>
          <w:sz w:val="14"/>
          <w:szCs w:val="14"/>
          <w:b w:val="1"/>
          <w:bCs w:val="1"/>
          <w:color w:val="auto"/>
        </w:rPr>
        <w:t>30 June:</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134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2"/>
                <w:szCs w:val="12"/>
                <w:color w:val="auto"/>
              </w:rPr>
            </w:pPr>
          </w:p>
        </w:tc>
        <w:tc>
          <w:tcPr>
            <w:tcW w:w="13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US$’000</w:t>
            </w:r>
          </w:p>
        </w:tc>
        <w:tc>
          <w:tcPr>
            <w:tcW w:w="120" w:type="dxa"/>
            <w:vAlign w:val="bottom"/>
            <w:gridSpan w:val="2"/>
          </w:tcPr>
          <w:p>
            <w:pPr>
              <w:spacing w:after="0"/>
              <w:rPr>
                <w:sz w:val="12"/>
                <w:szCs w:val="12"/>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outflow from operating activities</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cash outflow from investing activities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(2,127)</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cash inflow from financing activities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r>
      <w:tr>
        <w:trPr>
          <w:trHeight w:val="210"/>
        </w:trPr>
        <w:tc>
          <w:tcPr>
            <w:tcW w:w="77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b w:val="1"/>
                <w:bCs w:val="1"/>
                <w:color w:val="auto"/>
              </w:rPr>
              <w:t>Net decrease in cash related to discontinued operations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(3,297)</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(1,014)</w:t>
            </w:r>
          </w:p>
        </w:tc>
      </w:tr>
      <w:tr>
        <w:trPr>
          <w:trHeight w:val="20"/>
        </w:trPr>
        <w:tc>
          <w:tcPr>
            <w:tcW w:w="77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20" w:right="440"/>
        <w:spacing w:after="0" w:line="264" w:lineRule="auto"/>
        <w:rPr>
          <w:sz w:val="20"/>
          <w:szCs w:val="20"/>
          <w:color w:val="auto"/>
        </w:rPr>
      </w:pPr>
      <w:r>
        <w:rPr>
          <w:rFonts w:ascii="Arial" w:cs="Arial" w:eastAsia="Arial" w:hAnsi="Arial"/>
          <w:sz w:val="18"/>
          <w:szCs w:val="18"/>
          <w:color w:val="auto"/>
        </w:rPr>
        <w:t>No gain or loss was recognised on the disposal of Avectas Limited as the assets and liabilities of Avectas Limited were transferred to a commonly controlled entity at their carrying values. The cumulative foreign exchange loss of US$0.14 million, previously recognised in other comprehensive income, was recycled through the profit and loss on disposal.</w:t>
      </w:r>
    </w:p>
    <w:p>
      <w:pPr>
        <w:spacing w:after="0" w:line="177"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Revenue from continuing operation comprises revenue from the sale of the Group’s pharmaceutical products.</w:t>
      </w:r>
    </w:p>
    <w:p>
      <w:pPr>
        <w:spacing w:after="0" w:line="217"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Six Months Ended</w:t>
      </w:r>
    </w:p>
    <w:p>
      <w:pPr>
        <w:jc w:val="center"/>
        <w:ind w:left="8060"/>
        <w:spacing w:after="0" w:line="236" w:lineRule="auto"/>
        <w:rPr>
          <w:sz w:val="20"/>
          <w:szCs w:val="20"/>
          <w:color w:val="auto"/>
        </w:rPr>
      </w:pPr>
      <w:r>
        <w:rPr>
          <w:rFonts w:ascii="Arial" w:cs="Arial" w:eastAsia="Arial" w:hAnsi="Arial"/>
          <w:sz w:val="14"/>
          <w:szCs w:val="14"/>
          <w:b w:val="1"/>
          <w:bCs w:val="1"/>
          <w:color w:val="auto"/>
        </w:rPr>
        <w:t>30 June:</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62"/>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Sale of NARCAN® Nasal Spray</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79,740</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28,808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nature and effect of initially applying IFRS 15 on the Group’s interim financial statements is disclosed in note 1.</w:t>
      </w:r>
    </w:p>
    <w:p>
      <w:pPr>
        <w:spacing w:after="0" w:line="221" w:lineRule="exact"/>
        <w:rPr>
          <w:sz w:val="20"/>
          <w:szCs w:val="20"/>
          <w:color w:val="auto"/>
        </w:rPr>
      </w:pPr>
    </w:p>
    <w:p>
      <w:pPr>
        <w:ind w:left="420" w:right="9660" w:hanging="412"/>
        <w:spacing w:after="0" w:line="566" w:lineRule="auto"/>
        <w:tabs>
          <w:tab w:leader="none" w:pos="417"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w:t>
      </w:r>
      <w:r>
        <w:rPr>
          <w:rFonts w:ascii="Arial" w:cs="Arial" w:eastAsia="Arial" w:hAnsi="Arial"/>
          <w:sz w:val="16"/>
          <w:szCs w:val="16"/>
          <w:i w:val="1"/>
          <w:iCs w:val="1"/>
          <w:color w:val="auto"/>
        </w:rPr>
        <w:t>Current income tax</w:t>
      </w: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In the period to 30 June 2018, the Group recognised the following current and deferred tax expense/(credit) from continuing operations:</w:t>
      </w:r>
    </w:p>
    <w:p>
      <w:pPr>
        <w:spacing w:after="0" w:line="217"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Six Months Ended</w:t>
      </w:r>
    </w:p>
    <w:p>
      <w:pPr>
        <w:jc w:val="center"/>
        <w:ind w:left="8060"/>
        <w:spacing w:after="0" w:line="236" w:lineRule="auto"/>
        <w:rPr>
          <w:sz w:val="20"/>
          <w:szCs w:val="20"/>
          <w:color w:val="auto"/>
        </w:rPr>
      </w:pPr>
      <w:r>
        <w:rPr>
          <w:rFonts w:ascii="Arial" w:cs="Arial" w:eastAsia="Arial" w:hAnsi="Arial"/>
          <w:sz w:val="14"/>
          <w:szCs w:val="14"/>
          <w:b w:val="1"/>
          <w:bCs w:val="1"/>
          <w:color w:val="auto"/>
        </w:rPr>
        <w:t>30 June: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240" w:type="dxa"/>
            <w:vAlign w:val="bottom"/>
            <w:gridSpan w:val="2"/>
          </w:tcPr>
          <w:p>
            <w:pPr>
              <w:spacing w:after="0"/>
              <w:rPr>
                <w:sz w:val="12"/>
                <w:szCs w:val="12"/>
                <w:color w:val="auto"/>
              </w:rPr>
            </w:pPr>
          </w:p>
        </w:tc>
        <w:tc>
          <w:tcPr>
            <w:tcW w:w="9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940" w:type="dxa"/>
            <w:vAlign w:val="bottom"/>
          </w:tcPr>
          <w:p>
            <w:pPr>
              <w:jc w:val="center"/>
              <w:ind w:left="348"/>
              <w:spacing w:after="0" w:line="142" w:lineRule="exact"/>
              <w:rPr>
                <w:sz w:val="20"/>
                <w:szCs w:val="20"/>
                <w:color w:val="auto"/>
              </w:rPr>
            </w:pPr>
            <w:r>
              <w:rPr>
                <w:rFonts w:ascii="Arial" w:cs="Arial" w:eastAsia="Arial" w:hAnsi="Arial"/>
                <w:sz w:val="14"/>
                <w:szCs w:val="14"/>
                <w:b w:val="1"/>
                <w:bCs w:val="1"/>
                <w:color w:val="auto"/>
                <w:w w:val="95"/>
              </w:rPr>
              <w:t>US$’000</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(Decrease)/increase in deferred tax liability</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3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vMerge w:val="restart"/>
          </w:tcPr>
          <w:p>
            <w:pPr>
              <w:spacing w:after="0"/>
              <w:rPr>
                <w:sz w:val="18"/>
                <w:szCs w:val="18"/>
                <w:color w:val="auto"/>
              </w:rPr>
            </w:pPr>
          </w:p>
        </w:tc>
        <w:tc>
          <w:tcPr>
            <w:tcW w:w="78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Tax expense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4,189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jc w:val="right"/>
              <w:ind w:right="2350"/>
              <w:spacing w:after="0"/>
              <w:rPr>
                <w:sz w:val="20"/>
                <w:szCs w:val="20"/>
                <w:color w:val="auto"/>
              </w:rPr>
            </w:pPr>
            <w:r>
              <w:rPr>
                <w:rFonts w:ascii="Arial" w:cs="Arial" w:eastAsia="Arial" w:hAnsi="Arial"/>
                <w:sz w:val="18"/>
                <w:szCs w:val="18"/>
                <w:color w:val="auto"/>
              </w:rPr>
              <w:t>12</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78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07"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expected tax expense of the Group and the actual income tax charge is as follows:</w:t>
      </w:r>
    </w:p>
    <w:p>
      <w:pPr>
        <w:spacing w:after="0" w:line="217"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Six Months Ended</w:t>
      </w:r>
    </w:p>
    <w:p>
      <w:pPr>
        <w:jc w:val="center"/>
        <w:ind w:left="7860"/>
        <w:spacing w:after="0" w:line="236" w:lineRule="auto"/>
        <w:rPr>
          <w:sz w:val="20"/>
          <w:szCs w:val="20"/>
          <w:color w:val="auto"/>
        </w:rPr>
      </w:pPr>
      <w:r>
        <w:rPr>
          <w:rFonts w:ascii="Arial" w:cs="Arial" w:eastAsia="Arial" w:hAnsi="Arial"/>
          <w:sz w:val="14"/>
          <w:szCs w:val="14"/>
          <w:b w:val="1"/>
          <w:bCs w:val="1"/>
          <w:color w:val="auto"/>
        </w:rPr>
        <w:t>30 June:</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US$’000</w:t>
            </w:r>
          </w:p>
        </w:tc>
        <w:tc>
          <w:tcPr>
            <w:tcW w:w="260" w:type="dxa"/>
            <w:vAlign w:val="bottom"/>
          </w:tcPr>
          <w:p>
            <w:pPr>
              <w:spacing w:after="0"/>
              <w:rPr>
                <w:sz w:val="15"/>
                <w:szCs w:val="15"/>
                <w:color w:val="auto"/>
              </w:rPr>
            </w:pPr>
          </w:p>
        </w:tc>
        <w:tc>
          <w:tcPr>
            <w:tcW w:w="1360" w:type="dxa"/>
            <w:vAlign w:val="bottom"/>
          </w:tcPr>
          <w:p>
            <w:pPr>
              <w:jc w:val="right"/>
              <w:ind w:right="333"/>
              <w:spacing w:after="0"/>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7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on ordinary activities before tax</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26,290</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Expected tax using corporation tax rate of 12.5%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Effects of:</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Expenses not deductible for tax purposes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Temporary differences</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Income taxed at a higher rate of tax</w:t>
            </w: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Exempt from income tax</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Unrelieved tax losses and other deductions</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Losses utilised</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tax expense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4,262</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Deferred tax assets</w:t>
      </w:r>
    </w:p>
    <w:p>
      <w:pPr>
        <w:spacing w:after="0" w:line="225" w:lineRule="exact"/>
        <w:rPr>
          <w:sz w:val="20"/>
          <w:szCs w:val="20"/>
          <w:color w:val="auto"/>
        </w:rPr>
      </w:pPr>
    </w:p>
    <w:p>
      <w:pPr>
        <w:ind w:left="420" w:right="320"/>
        <w:spacing w:after="0" w:line="264" w:lineRule="auto"/>
        <w:rPr>
          <w:sz w:val="20"/>
          <w:szCs w:val="20"/>
          <w:color w:val="auto"/>
        </w:rPr>
      </w:pPr>
      <w:r>
        <w:rPr>
          <w:rFonts w:ascii="Arial" w:cs="Arial" w:eastAsia="Arial" w:hAnsi="Arial"/>
          <w:sz w:val="18"/>
          <w:szCs w:val="18"/>
          <w:color w:val="auto"/>
        </w:rPr>
        <w:t>At 30 June 2018, deferred tax assets have not been recognised in respect of net operating loss (“NOL”) carry-forwards for U.S. state tax totalling US$4.6 million because it is not probable that future taxable profits will be available against which we can utilise the benefits therefrom. NOL carry-forwards for state tax will expire in 2035.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79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Inventories</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30 Jun</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31 Dec</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7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Work in progress</w:t>
            </w:r>
          </w:p>
        </w:tc>
        <w:tc>
          <w:tcPr>
            <w:tcW w:w="1340" w:type="dxa"/>
            <w:vAlign w:val="bottom"/>
          </w:tcPr>
          <w:p>
            <w:pPr>
              <w:jc w:val="right"/>
              <w:spacing w:after="0"/>
              <w:rPr>
                <w:sz w:val="20"/>
                <w:szCs w:val="20"/>
                <w:color w:val="auto"/>
              </w:rPr>
            </w:pPr>
            <w:r>
              <w:rPr>
                <w:rFonts w:ascii="Arial" w:cs="Arial" w:eastAsia="Arial" w:hAnsi="Arial"/>
                <w:sz w:val="18"/>
                <w:szCs w:val="18"/>
                <w:color w:val="auto"/>
              </w:rPr>
              <w:t>3,141</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8,239</w:t>
            </w:r>
          </w:p>
        </w:tc>
        <w:tc>
          <w:tcPr>
            <w:tcW w:w="2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16,939</w:t>
            </w:r>
          </w:p>
        </w:tc>
        <w:tc>
          <w:tcPr>
            <w:tcW w:w="2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30 Jun</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31 Dec</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520" w:type="dxa"/>
            <w:vAlign w:val="bottom"/>
            <w:gridSpan w:val="2"/>
          </w:tcPr>
          <w:p>
            <w:pPr>
              <w:jc w:val="center"/>
              <w:ind w:left="4093"/>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35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Prepayments</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939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VAT receivable</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receivables</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 receivable</w:t>
            </w:r>
          </w:p>
        </w:tc>
        <w:tc>
          <w:tcPr>
            <w:tcW w:w="4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17,749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12,099</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bottom w:val="single" w:sz="8" w:color="CCEEFF"/>
            </w:tcBorders>
            <w:vMerge w:val="restart"/>
          </w:tcPr>
          <w:p>
            <w:pPr>
              <w:jc w:val="right"/>
              <w:ind w:right="2253"/>
              <w:spacing w:after="0"/>
              <w:rPr>
                <w:sz w:val="20"/>
                <w:szCs w:val="20"/>
                <w:color w:val="auto"/>
              </w:rPr>
            </w:pPr>
            <w:r>
              <w:rPr>
                <w:rFonts w:ascii="Arial" w:cs="Arial" w:eastAsia="Arial" w:hAnsi="Arial"/>
                <w:sz w:val="18"/>
                <w:szCs w:val="18"/>
                <w:color w:val="auto"/>
              </w:rPr>
              <w:t>13</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41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2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Intangible assets</w:t>
            </w: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Acquired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In-process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developed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research &amp;</w:t>
            </w:r>
          </w:p>
        </w:tc>
        <w:tc>
          <w:tcPr>
            <w:tcW w:w="14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technologies</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development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Cost</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Balance at 1 January 2018</w:t>
            </w:r>
          </w:p>
        </w:tc>
        <w:tc>
          <w:tcPr>
            <w:tcW w:w="1360" w:type="dxa"/>
            <w:vAlign w:val="bottom"/>
          </w:tcPr>
          <w:p>
            <w:pPr>
              <w:jc w:val="right"/>
              <w:spacing w:after="0"/>
              <w:rPr>
                <w:sz w:val="20"/>
                <w:szCs w:val="20"/>
                <w:color w:val="auto"/>
              </w:rPr>
            </w:pPr>
            <w:r>
              <w:rPr>
                <w:rFonts w:ascii="Arial" w:cs="Arial" w:eastAsia="Arial" w:hAnsi="Arial"/>
                <w:sz w:val="18"/>
                <w:szCs w:val="18"/>
                <w:color w:val="auto"/>
              </w:rPr>
              <w:t>39,151</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8,478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Additions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15,072</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Disposals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(8,278)</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(8,278)</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At 30 June 2018</w:t>
            </w:r>
          </w:p>
        </w:tc>
        <w:tc>
          <w:tcPr>
            <w:tcW w:w="1360" w:type="dxa"/>
            <w:vAlign w:val="bottom"/>
          </w:tcPr>
          <w:p>
            <w:pPr>
              <w:jc w:val="right"/>
              <w:spacing w:after="0"/>
              <w:rPr>
                <w:sz w:val="20"/>
                <w:szCs w:val="20"/>
                <w:color w:val="auto"/>
              </w:rPr>
            </w:pPr>
            <w:r>
              <w:rPr>
                <w:rFonts w:ascii="Arial" w:cs="Arial" w:eastAsia="Arial" w:hAnsi="Arial"/>
                <w:sz w:val="18"/>
                <w:szCs w:val="18"/>
                <w:color w:val="auto"/>
              </w:rPr>
              <w:t>47,973</w:t>
            </w:r>
          </w:p>
        </w:tc>
        <w:tc>
          <w:tcPr>
            <w:tcW w:w="260" w:type="dxa"/>
            <w:vAlign w:val="bottom"/>
          </w:tcPr>
          <w:p>
            <w:pPr>
              <w:spacing w:after="0"/>
              <w:rPr>
                <w:sz w:val="22"/>
                <w:szCs w:val="22"/>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47,973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Amortisation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Balance at 1 January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Charge for year</w:t>
            </w:r>
          </w:p>
        </w:tc>
        <w:tc>
          <w:tcPr>
            <w:tcW w:w="1360" w:type="dxa"/>
            <w:vAlign w:val="bottom"/>
          </w:tcPr>
          <w:p>
            <w:pPr>
              <w:jc w:val="right"/>
              <w:spacing w:after="0"/>
              <w:rPr>
                <w:sz w:val="20"/>
                <w:szCs w:val="20"/>
                <w:color w:val="auto"/>
              </w:rPr>
            </w:pPr>
            <w:r>
              <w:rPr>
                <w:rFonts w:ascii="Arial" w:cs="Arial" w:eastAsia="Arial" w:hAnsi="Arial"/>
                <w:sz w:val="18"/>
                <w:szCs w:val="18"/>
                <w:color w:val="auto"/>
              </w:rPr>
              <w:t>2,810</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At 30 June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book value</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At 30 June 2018</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42,863</w:t>
            </w:r>
          </w:p>
        </w:tc>
        <w:tc>
          <w:tcPr>
            <w:tcW w:w="260" w:type="dxa"/>
            <w:vAlign w:val="bottom"/>
          </w:tcPr>
          <w:p>
            <w:pPr>
              <w:spacing w:after="0"/>
              <w:rPr>
                <w:sz w:val="22"/>
                <w:szCs w:val="22"/>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42,863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At 31 December 2017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36,851</w:t>
            </w:r>
          </w:p>
        </w:tc>
        <w:tc>
          <w:tcPr>
            <w:tcW w:w="26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8,478</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i w:val="1"/>
          <w:iCs w:val="1"/>
          <w:u w:val="single" w:color="auto"/>
          <w:color w:val="auto"/>
        </w:rPr>
        <w:t>Acquired developed technology</w:t>
      </w:r>
    </w:p>
    <w:p>
      <w:pPr>
        <w:spacing w:after="0" w:line="225" w:lineRule="exact"/>
        <w:rPr>
          <w:sz w:val="20"/>
          <w:szCs w:val="20"/>
          <w:color w:val="auto"/>
        </w:rPr>
      </w:pPr>
    </w:p>
    <w:p>
      <w:pPr>
        <w:ind w:left="400" w:right="120"/>
        <w:spacing w:after="0" w:line="257" w:lineRule="auto"/>
        <w:rPr>
          <w:sz w:val="20"/>
          <w:szCs w:val="20"/>
          <w:color w:val="auto"/>
        </w:rPr>
      </w:pPr>
      <w:r>
        <w:rPr>
          <w:rFonts w:ascii="Arial" w:cs="Arial" w:eastAsia="Arial" w:hAnsi="Arial"/>
          <w:sz w:val="18"/>
          <w:szCs w:val="18"/>
          <w:color w:val="auto"/>
        </w:rPr>
        <w:t>In February 2018, the Group through its wholly owned subsidiary, Adapt Pharma Operations Limited, entered into the 2018 License Agreement with a third party in connection with nasal naloxone patents. Total consideration in connection with the licensing agreement includes US$12.5 million, which was paid upon signing, additional future fixed payments, as well as contingent payments which could become payable in future periods. The upfront consideration of US$12.5 million and the future fixed payments of US$2.5 million, representing the Group’s share of future milestone payments, were capitalised within intangible assets in February 2018.</w:t>
      </w:r>
    </w:p>
    <w:p>
      <w:pPr>
        <w:spacing w:after="0" w:line="188" w:lineRule="exact"/>
        <w:rPr>
          <w:sz w:val="20"/>
          <w:szCs w:val="20"/>
          <w:color w:val="auto"/>
        </w:rPr>
      </w:pPr>
    </w:p>
    <w:p>
      <w:pPr>
        <w:ind w:left="400"/>
        <w:spacing w:after="0" w:line="293" w:lineRule="auto"/>
        <w:rPr>
          <w:sz w:val="20"/>
          <w:szCs w:val="20"/>
          <w:color w:val="auto"/>
        </w:rPr>
      </w:pPr>
      <w:r>
        <w:rPr>
          <w:rFonts w:ascii="Arial" w:cs="Arial" w:eastAsia="Arial" w:hAnsi="Arial"/>
          <w:sz w:val="16"/>
          <w:szCs w:val="16"/>
          <w:color w:val="auto"/>
        </w:rPr>
        <w:t>In accordance with the licensing agreement with Opiant Pharmaceuticals Inc. (“Opiant”), sales based milestones become payable to Opiant when net sales of Narcan® (naloxone hydrochloride) Nasal Spray exceed certain thresholds in a given calendar year. In 2017, net sales of Narcan® (naloxone hydrochloride) Nasal Spray exceeded certain sales thresholds and milestones totalling US$33.0 million became payable to Opiant. Certain amounts paid under the 2018 License Agreement were offset against these milestones. In 2017, each milestone was capitalised within intangible assets when net sales of Narcan® (naloxone hydrochloride) Nasal Spray exceeded the corresponding sales threshold. Therefore, in 2018 there was a US$6.25 million reduction in the sales based milestone previously capitalised within intangible assets as at 31 December 2017, as a result of the offset taken.</w:t>
      </w:r>
    </w:p>
    <w:p>
      <w:pPr>
        <w:spacing w:after="0" w:line="165" w:lineRule="exact"/>
        <w:rPr>
          <w:sz w:val="20"/>
          <w:szCs w:val="20"/>
          <w:color w:val="auto"/>
        </w:rPr>
      </w:pPr>
    </w:p>
    <w:p>
      <w:pPr>
        <w:ind w:left="400" w:right="280"/>
        <w:spacing w:after="0" w:line="277" w:lineRule="auto"/>
        <w:rPr>
          <w:sz w:val="20"/>
          <w:szCs w:val="20"/>
          <w:color w:val="auto"/>
        </w:rPr>
      </w:pPr>
      <w:r>
        <w:rPr>
          <w:rFonts w:ascii="Arial" w:cs="Arial" w:eastAsia="Arial" w:hAnsi="Arial"/>
          <w:sz w:val="18"/>
          <w:szCs w:val="18"/>
          <w:color w:val="auto"/>
        </w:rPr>
        <w:t>Royalties based on product sales, payable by the Group, are recognised as an expense in the profit and loss in the period in which the associated sale takes place.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07"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In-process research and development (IPR&amp;D)</w:t>
      </w:r>
    </w:p>
    <w:p>
      <w:pPr>
        <w:spacing w:after="0" w:line="225" w:lineRule="exact"/>
        <w:rPr>
          <w:rFonts w:ascii="Arial" w:cs="Arial" w:eastAsia="Arial" w:hAnsi="Arial"/>
          <w:sz w:val="18"/>
          <w:szCs w:val="18"/>
          <w:b w:val="1"/>
          <w:bCs w:val="1"/>
          <w:color w:val="auto"/>
        </w:rPr>
      </w:pPr>
    </w:p>
    <w:p>
      <w:pPr>
        <w:ind w:left="42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May 2018, the Group disposed of its entire investment in Avectas Limited, by way of distribution to ALSHC Limited, an entity owned by the shareholders of Adapt Pharma Limited. Please refer to Note 2.</w:t>
      </w:r>
    </w:p>
    <w:p>
      <w:pPr>
        <w:spacing w:after="0" w:line="170"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color w:val="auto"/>
        </w:rPr>
        <w:t>The weighted average remaining useful life of acquired developed technologies at 30 June 2018 was 7.3 years. The amortisation of licences in 2018 has been recognised within “Cost of Sales” in the income statement.</w:t>
      </w:r>
    </w:p>
    <w:p>
      <w:pPr>
        <w:spacing w:after="0" w:line="166"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7"/>
              </w:rPr>
              <w:t>Furniture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Equipment</w:t>
            </w:r>
          </w:p>
        </w:tc>
        <w:tc>
          <w:tcPr>
            <w:tcW w:w="40" w:type="dxa"/>
            <w:vAlign w:val="bottom"/>
          </w:tcPr>
          <w:p>
            <w:pPr>
              <w:spacing w:after="0"/>
              <w:rPr>
                <w:sz w:val="14"/>
                <w:szCs w:val="14"/>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6"/>
              </w:rPr>
              <w:t>Computer</w:t>
            </w:r>
          </w:p>
        </w:tc>
        <w:tc>
          <w:tcPr>
            <w:tcW w:w="20" w:type="dxa"/>
            <w:vAlign w:val="bottom"/>
          </w:tcPr>
          <w:p>
            <w:pPr>
              <w:spacing w:after="0"/>
              <w:rPr>
                <w:sz w:val="14"/>
                <w:szCs w:val="14"/>
                <w:color w:val="auto"/>
              </w:rPr>
            </w:pPr>
          </w:p>
        </w:tc>
        <w:tc>
          <w:tcPr>
            <w:tcW w:w="14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and fittings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equipment</w:t>
            </w:r>
          </w:p>
        </w:tc>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6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5"/>
              </w:rPr>
              <w:t>US$’000</w:t>
            </w:r>
          </w:p>
        </w:tc>
        <w:tc>
          <w:tcPr>
            <w:tcW w:w="3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US$’000</w:t>
            </w:r>
          </w:p>
        </w:tc>
        <w:tc>
          <w:tcPr>
            <w:tcW w:w="2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Cost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At 1 January 2018</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w:t>
            </w: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(67)</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30 June 2018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Accumulated Depreciation</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At 1 January 2018</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101</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Disposal</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(45)</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30 June 2018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book value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At 30 June 2018</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80" w:type="dxa"/>
            <w:vAlign w:val="bottom"/>
          </w:tcPr>
          <w:p>
            <w:pPr>
              <w:spacing w:after="0"/>
              <w:rPr>
                <w:sz w:val="22"/>
                <w:szCs w:val="22"/>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At 31 December 2017</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134</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9</w:t>
            </w:r>
          </w:p>
        </w:tc>
        <w:tc>
          <w:tcPr>
            <w:tcW w:w="5660" w:type="dxa"/>
            <w:vAlign w:val="bottom"/>
            <w:gridSpan w:val="3"/>
          </w:tcPr>
          <w:p>
            <w:pPr>
              <w:ind w:left="140"/>
              <w:spacing w:after="0"/>
              <w:rPr>
                <w:sz w:val="20"/>
                <w:szCs w:val="20"/>
                <w:color w:val="auto"/>
              </w:rPr>
            </w:pPr>
            <w:r>
              <w:rPr>
                <w:rFonts w:ascii="Arial" w:cs="Arial" w:eastAsia="Arial" w:hAnsi="Arial"/>
                <w:sz w:val="18"/>
                <w:szCs w:val="18"/>
                <w:b w:val="1"/>
                <w:bCs w:val="1"/>
                <w:color w:val="auto"/>
              </w:rPr>
              <w:t>Trade and other payables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30 Jun</w:t>
            </w:r>
          </w:p>
        </w:tc>
        <w:tc>
          <w:tcPr>
            <w:tcW w:w="20" w:type="dxa"/>
            <w:vAlign w:val="bottom"/>
          </w:tcPr>
          <w:p>
            <w:pPr>
              <w:spacing w:after="0"/>
              <w:rPr>
                <w:sz w:val="24"/>
                <w:szCs w:val="2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31 Dec</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1"/>
              </w:rPr>
              <w:t>US$’000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550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10,022</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Accrued sale rebates and returns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12,656</w:t>
            </w: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8,467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milestone payments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Accrued royalties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5,718</w:t>
            </w: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PAYE and social welfare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34,350</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46,837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660" w:type="dxa"/>
            <w:vAlign w:val="bottom"/>
            <w:gridSpan w:val="3"/>
            <w:vMerge w:val="restart"/>
          </w:tcPr>
          <w:p>
            <w:pPr>
              <w:jc w:val="right"/>
              <w:ind w:right="48"/>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56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07"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Trade and other payables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0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February 2018, the Group entered into the 2018 License Agreement with a third party in connection with nasal naloxone patents. Total upfront consideration in connection with the licensing agreement included US$12.5 million, which was paid upon signing. In accordance with the Opiant Licensing Agreement, the Group can deduct 50% of the upfront payment paid to a third party in respect of nasal naloxone patents from royalties and sales-based milestones payable by the Group. Accordingly, in March 2018 the Group settled the accrued milestone payment liability of US$25.0 million as at 31 December 2017, by making a payment totalling US$18.75 million. The US$18.75 million represented US$25.0 million of milestones payable at 31 December 2017 less US$6.25 million, being 50% of the upfront payment made in respect of the 2018 License Agreement. Therefore, there was a US$6.25 million reduction in the US$25.0 million milestone payable to Opiant which was capitalised within intangible assets as at 31 December 2017.</w:t>
      </w:r>
    </w:p>
    <w:p>
      <w:pPr>
        <w:spacing w:after="0" w:line="16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In addition, on entering into the license agreement, the Group recognised accrued milestones of US$2.5 million, representing the Group’s share of future milestone payments due to the third party at fixed dates in the future.</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tab/>
        <w:t>Loans and borrowings</w:t>
      </w: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7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Current loans and borrowings</w:t>
            </w: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30 Jun</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31 Dec</w:t>
            </w:r>
          </w:p>
        </w:tc>
        <w:tc>
          <w:tcPr>
            <w:tcW w:w="0" w:type="dxa"/>
            <w:vAlign w:val="bottom"/>
          </w:tcPr>
          <w:p>
            <w:pPr>
              <w:spacing w:after="0"/>
              <w:rPr>
                <w:sz w:val="1"/>
                <w:szCs w:val="1"/>
                <w:color w:val="auto"/>
              </w:rPr>
            </w:pPr>
          </w:p>
        </w:tc>
      </w:tr>
      <w:tr>
        <w:trPr>
          <w:trHeight w:val="171"/>
        </w:trPr>
        <w:tc>
          <w:tcPr>
            <w:tcW w:w="7760" w:type="dxa"/>
            <w:vAlign w:val="bottom"/>
            <w:gridSpan w:val="3"/>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 Convertible Preference Shares</w:t>
            </w:r>
          </w:p>
        </w:tc>
        <w:tc>
          <w:tcPr>
            <w:tcW w:w="1620" w:type="dxa"/>
            <w:vAlign w:val="bottom"/>
            <w:gridSpan w:val="2"/>
            <w:shd w:val="clear" w:color="auto" w:fill="CCEEFF"/>
          </w:tcPr>
          <w:p>
            <w:pPr>
              <w:ind w:left="118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Shareholders’ loans</w:t>
            </w:r>
          </w:p>
        </w:tc>
        <w:tc>
          <w:tcPr>
            <w:tcW w:w="1620" w:type="dxa"/>
            <w:vAlign w:val="bottom"/>
            <w:gridSpan w:val="2"/>
          </w:tcPr>
          <w:p>
            <w:pPr>
              <w:ind w:left="118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ind w:left="118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8% Convertible Preference Shares</w:t>
      </w:r>
    </w:p>
    <w:p>
      <w:pPr>
        <w:spacing w:after="0" w:line="225" w:lineRule="exact"/>
        <w:rPr>
          <w:sz w:val="20"/>
          <w:szCs w:val="20"/>
          <w:color w:val="auto"/>
        </w:rPr>
      </w:pPr>
    </w:p>
    <w:p>
      <w:pPr>
        <w:ind w:left="420"/>
        <w:spacing w:after="0" w:line="257" w:lineRule="auto"/>
        <w:rPr>
          <w:sz w:val="20"/>
          <w:szCs w:val="20"/>
          <w:color w:val="auto"/>
        </w:rPr>
      </w:pPr>
      <w:r>
        <w:rPr>
          <w:rFonts w:ascii="Arial" w:cs="Arial" w:eastAsia="Arial" w:hAnsi="Arial"/>
          <w:sz w:val="18"/>
          <w:szCs w:val="18"/>
          <w:color w:val="auto"/>
        </w:rPr>
        <w:t>Avectas Limited previously issued 250,000 and 100,000 Convertible Preference Shares in April 2012 and October 2013, respectively. Avectas received €0.35 million from the issuance of the Convertible Preference Shares. The holder of the Convertible Preference Shares had the option to convert the Convertible Preference Shares into a variable number of ordinary shares in the capital of Avectas in the event of a conversion event being either a qualifying investment or a listing. In January 2018, all outstanding Convertible Preference Shares were converted into 35,113 ordinary shares in Avectas Limited.</w:t>
      </w:r>
    </w:p>
    <w:p>
      <w:pPr>
        <w:spacing w:after="0" w:line="188" w:lineRule="exact"/>
        <w:rPr>
          <w:sz w:val="20"/>
          <w:szCs w:val="20"/>
          <w:color w:val="auto"/>
        </w:rPr>
      </w:pPr>
    </w:p>
    <w:p>
      <w:pPr>
        <w:ind w:left="420" w:right="280"/>
        <w:spacing w:after="0" w:line="264" w:lineRule="auto"/>
        <w:rPr>
          <w:sz w:val="20"/>
          <w:szCs w:val="20"/>
          <w:color w:val="auto"/>
        </w:rPr>
      </w:pPr>
      <w:r>
        <w:rPr>
          <w:rFonts w:ascii="Arial" w:cs="Arial" w:eastAsia="Arial" w:hAnsi="Arial"/>
          <w:sz w:val="18"/>
          <w:szCs w:val="18"/>
          <w:color w:val="auto"/>
        </w:rPr>
        <w:t xml:space="preserve">The Convertible Preference Shares contained embedded derivatives that required separation under IAS 39 as their economic characteristics and risks were not deemed to be closely related to the host contract. The fair value of the embedded derivative liabilities at the date of conversion of the Convertible Preference Shares was estimated at US$0.4 million </w:t>
      </w:r>
      <w:r>
        <w:rPr>
          <w:rFonts w:ascii="Arial" w:cs="Arial" w:eastAsia="Arial" w:hAnsi="Arial"/>
          <w:sz w:val="18"/>
          <w:szCs w:val="18"/>
          <w:i w:val="1"/>
          <w:iCs w:val="1"/>
          <w:color w:val="auto"/>
        </w:rPr>
        <w:t>(Dec 2017: US$0.4 million)</w:t>
      </w:r>
      <w:r>
        <w:rPr>
          <w:rFonts w:ascii="Arial" w:cs="Arial" w:eastAsia="Arial" w:hAnsi="Arial"/>
          <w:sz w:val="18"/>
          <w:szCs w:val="18"/>
          <w:color w:val="auto"/>
        </w:rPr>
        <w: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Shareholder Loans</w:t>
      </w:r>
    </w:p>
    <w:p>
      <w:pPr>
        <w:spacing w:after="0" w:line="225"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color w:val="auto"/>
        </w:rPr>
        <w:t>Each of the directors of Adapt Pharma Limited who are also shareholders, had previously advanced interest free loans to Adapt Pharma Limited. All previously advanced loans had been fully repaid by the Group at 30 June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(continued)</w:t>
      </w:r>
    </w:p>
    <w:p>
      <w:pPr>
        <w:spacing w:after="0" w:line="207"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 the period to 30 June 2018, the Group recognised share-based payment expense in respect of the following plans:</w:t>
      </w:r>
    </w:p>
    <w:p>
      <w:pPr>
        <w:spacing w:after="0" w:line="217"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Six Months Ended</w:t>
      </w:r>
    </w:p>
    <w:p>
      <w:pPr>
        <w:jc w:val="center"/>
        <w:ind w:left="6500"/>
        <w:spacing w:after="0" w:line="236" w:lineRule="auto"/>
        <w:rPr>
          <w:sz w:val="20"/>
          <w:szCs w:val="20"/>
          <w:color w:val="auto"/>
        </w:rPr>
      </w:pPr>
      <w:r>
        <w:rPr>
          <w:rFonts w:ascii="Arial" w:cs="Arial" w:eastAsia="Arial" w:hAnsi="Arial"/>
          <w:sz w:val="14"/>
          <w:szCs w:val="14"/>
          <w:b w:val="1"/>
          <w:bCs w:val="1"/>
          <w:color w:val="auto"/>
        </w:rPr>
        <w:t>30 June:</w:t>
      </w:r>
    </w:p>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US$’000</w:t>
            </w:r>
          </w:p>
        </w:tc>
        <w:tc>
          <w:tcPr>
            <w:tcW w:w="280" w:type="dxa"/>
            <w:vAlign w:val="bottom"/>
          </w:tcPr>
          <w:p>
            <w:pPr>
              <w:spacing w:after="0"/>
              <w:rPr>
                <w:sz w:val="15"/>
                <w:szCs w:val="15"/>
                <w:color w:val="auto"/>
              </w:rPr>
            </w:pPr>
          </w:p>
        </w:tc>
        <w:tc>
          <w:tcPr>
            <w:tcW w:w="1360" w:type="dxa"/>
            <w:vAlign w:val="bottom"/>
          </w:tcPr>
          <w:p>
            <w:pPr>
              <w:jc w:val="right"/>
              <w:ind w:right="337"/>
              <w:spacing w:after="0"/>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0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Adapt Pharma — 2015 Plan</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Avectas — 2017 Plan</w:t>
            </w: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There were no options in either the shares of Adapt Pharma Limited or Avectas Limited granted under the Adapt Pharma — 2015 Plan or the Avectas — 2017 Plan, respectively, in the six-month period to 30 June 2018.</w:t>
      </w:r>
    </w:p>
    <w:p>
      <w:pPr>
        <w:spacing w:after="0" w:line="166" w:lineRule="exact"/>
        <w:rPr>
          <w:sz w:val="20"/>
          <w:szCs w:val="20"/>
          <w:color w:val="auto"/>
        </w:rPr>
      </w:pPr>
    </w:p>
    <w:p>
      <w:pPr>
        <w:ind w:left="400" w:right="8600" w:hanging="392"/>
        <w:spacing w:after="0" w:line="532" w:lineRule="auto"/>
        <w:tabs>
          <w:tab w:leader="none" w:pos="395"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Transactions with shareholders </w:t>
      </w:r>
      <w:r>
        <w:rPr>
          <w:rFonts w:ascii="Arial" w:cs="Arial" w:eastAsia="Arial" w:hAnsi="Arial"/>
          <w:sz w:val="17"/>
          <w:szCs w:val="17"/>
          <w:i w:val="1"/>
          <w:iCs w:val="1"/>
          <w:color w:val="auto"/>
        </w:rPr>
        <w:t>Rental payments</w:t>
      </w:r>
    </w:p>
    <w:p>
      <w:pPr>
        <w:ind w:left="420"/>
        <w:spacing w:after="0"/>
        <w:rPr>
          <w:rFonts w:ascii="Arial" w:cs="Arial" w:eastAsia="Arial" w:hAnsi="Arial"/>
          <w:sz w:val="17"/>
          <w:szCs w:val="17"/>
          <w:b w:val="1"/>
          <w:bCs w:val="1"/>
          <w:color w:val="auto"/>
        </w:rPr>
      </w:pPr>
      <w:r>
        <w:rPr>
          <w:rFonts w:ascii="Arial" w:cs="Arial" w:eastAsia="Arial" w:hAnsi="Arial"/>
          <w:sz w:val="17"/>
          <w:szCs w:val="17"/>
          <w:color w:val="auto"/>
        </w:rPr>
        <w:t>Seamus Mulligan leases an office to the Group. In the six-month period to 30 June 2018, rentals paid by the Group on this lease amounted to</w:t>
      </w:r>
    </w:p>
    <w:p>
      <w:pPr>
        <w:spacing w:after="0" w:line="34" w:lineRule="exact"/>
        <w:rPr>
          <w:rFonts w:ascii="Arial" w:cs="Arial" w:eastAsia="Arial" w:hAnsi="Arial"/>
          <w:sz w:val="17"/>
          <w:szCs w:val="17"/>
          <w:b w:val="1"/>
          <w:bCs w:val="1"/>
          <w:color w:val="auto"/>
        </w:rPr>
      </w:pPr>
    </w:p>
    <w:p>
      <w:pPr>
        <w:ind w:left="420"/>
        <w:spacing w:after="0"/>
        <w:rPr>
          <w:rFonts w:ascii="Arial" w:cs="Arial" w:eastAsia="Arial" w:hAnsi="Arial"/>
          <w:sz w:val="17"/>
          <w:szCs w:val="17"/>
          <w:b w:val="1"/>
          <w:bCs w:val="1"/>
          <w:color w:val="auto"/>
        </w:rPr>
      </w:pPr>
      <w:r>
        <w:rPr>
          <w:rFonts w:ascii="Arial" w:cs="Arial" w:eastAsia="Arial" w:hAnsi="Arial"/>
          <w:sz w:val="16"/>
          <w:szCs w:val="16"/>
          <w:color w:val="auto"/>
        </w:rPr>
        <w:t xml:space="preserve">US$102,874 </w:t>
      </w:r>
      <w:r>
        <w:rPr>
          <w:rFonts w:ascii="Arial" w:cs="Arial" w:eastAsia="Arial" w:hAnsi="Arial"/>
          <w:sz w:val="16"/>
          <w:szCs w:val="16"/>
          <w:i w:val="1"/>
          <w:iCs w:val="1"/>
          <w:color w:val="auto"/>
        </w:rPr>
        <w:t>(2017: US$90,262)</w:t>
      </w:r>
      <w:r>
        <w:rPr>
          <w:rFonts w:ascii="Arial" w:cs="Arial" w:eastAsia="Arial" w:hAnsi="Arial"/>
          <w:sz w:val="16"/>
          <w:szCs w:val="16"/>
          <w:color w:val="auto"/>
        </w:rPr>
        <w:t>. In the six-month period to 30 June 2018, other costs paid in respect of the premises to Seamus Mulligan amounted to</w:t>
      </w:r>
    </w:p>
    <w:p>
      <w:pPr>
        <w:spacing w:after="0" w:line="32" w:lineRule="exact"/>
        <w:rPr>
          <w:rFonts w:ascii="Arial" w:cs="Arial" w:eastAsia="Arial" w:hAnsi="Arial"/>
          <w:sz w:val="17"/>
          <w:szCs w:val="17"/>
          <w:b w:val="1"/>
          <w:bCs w:val="1"/>
          <w:color w:val="auto"/>
        </w:rPr>
      </w:pPr>
    </w:p>
    <w:p>
      <w:pPr>
        <w:ind w:left="420" w:right="8540"/>
        <w:spacing w:after="0" w:line="554" w:lineRule="auto"/>
        <w:rPr>
          <w:rFonts w:ascii="Arial" w:cs="Arial" w:eastAsia="Arial" w:hAnsi="Arial"/>
          <w:sz w:val="17"/>
          <w:szCs w:val="17"/>
          <w:b w:val="1"/>
          <w:bCs w:val="1"/>
          <w:color w:val="auto"/>
        </w:rPr>
      </w:pPr>
      <w:r>
        <w:rPr>
          <w:rFonts w:ascii="Arial" w:cs="Arial" w:eastAsia="Arial" w:hAnsi="Arial"/>
          <w:sz w:val="16"/>
          <w:szCs w:val="16"/>
          <w:color w:val="auto"/>
        </w:rPr>
        <w:t xml:space="preserve">US$Nil </w:t>
      </w:r>
      <w:r>
        <w:rPr>
          <w:rFonts w:ascii="Arial" w:cs="Arial" w:eastAsia="Arial" w:hAnsi="Arial"/>
          <w:sz w:val="16"/>
          <w:szCs w:val="16"/>
          <w:i w:val="1"/>
          <w:iCs w:val="1"/>
          <w:color w:val="auto"/>
        </w:rPr>
        <w:t>(2017: US$4,007)</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with Avectas Limited</w:t>
      </w:r>
    </w:p>
    <w:p>
      <w:pPr>
        <w:ind w:left="420" w:right="8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As at 30 June 2018, Seamus Mulligan, Eunan Maguire and David Brabazon, all shareholders and directors of the Adapt Pharma Limited, had direct and indirect interests in the ordinary shares of Avectas Limited. Eunan Maguire also sits on the board of directors of Avectas Limited.</w:t>
      </w:r>
    </w:p>
    <w:p>
      <w:pPr>
        <w:spacing w:after="0" w:line="142" w:lineRule="exact"/>
        <w:rPr>
          <w:rFonts w:ascii="Arial" w:cs="Arial" w:eastAsia="Arial" w:hAnsi="Arial"/>
          <w:sz w:val="17"/>
          <w:szCs w:val="17"/>
          <w:b w:val="1"/>
          <w:bCs w:val="1"/>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4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August 2018, the Group entered into a definitive agreement for the Group to be acquired by Emergent BioSolutions Inc. The acquisition of the Group by Emergent BioSolutions Inc., was completed in October 2018. Total consideration payable by Emergent BioSolutions Inc for the acquisition is up to US$735 million consisting of an upfront payment of US$635 million and up to US$100 million in cash based on achievement of certain sales milestones through 2022. The upfront payment of US$635 million consists of US$575 million in cash and US$60 million in Emergent BioSolutions Inc’s common stock, all of which are subject to adjustments.</w:t>
      </w:r>
    </w:p>
    <w:p>
      <w:pPr>
        <w:spacing w:after="0" w:line="188" w:lineRule="exact"/>
        <w:rPr>
          <w:rFonts w:ascii="Arial" w:cs="Arial" w:eastAsia="Arial" w:hAnsi="Arial"/>
          <w:sz w:val="18"/>
          <w:szCs w:val="18"/>
          <w:b w:val="1"/>
          <w:bCs w:val="1"/>
          <w:color w:val="auto"/>
        </w:rPr>
      </w:pPr>
    </w:p>
    <w:p>
      <w:pPr>
        <w:ind w:left="400"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September 2018, Adapt Pharma Limited, Adapt Pharma Operations Limited, Adapt Pharma Inc and Opiant Pharmaceuticals Inc received notice from Perrigo UK FINCO Limited Partnership (“Perrigo”), that Perrigo had filed an ANDA with the U.S. Food and Drug Administration (“FDA”) seeking regulatory approval to market a generic version of NARCAN® (naloxone hydrochloride) Nasal Spray 4mg/spray before the expiration of certain patents, which patents are owned by Opiant Pharmaceuticals Inc. or jointly owned by the Group and Opiant Pharmaceuticals Inc and are listed in the FDA’s Orange Book. Each of the applicable patents expire in March 2035. In October 2018, Adapt Pharma Limited, Adapt Pharma Operations Limited, Adapt Pharma Inc and Opiant Pharmaceuticals Inc (collectively, the “Plaintiffs”) filed a complaint for patent infringement against Perrigo in the United States District Court for the District of New Jersey arising from Perrigo’s ANDA filing with the FDA. As a result of timely filing the lawsuit in accordance with the Hatch-Waxman Act, a 30-month stay of approval will be imposed by the FDA on Perrigo’s ANDA, which is expected to remain in effect until March 2021 absent an earlier judgment, unfavorable to the Plaintiffs, by the Court. The Plaintiffs seek, among other relief, an order that the effective date of FDA approval of the ANDA be a date no earlier than the expiration of certain patents, as well as equitable relief enjoining Perrigo from infringing these patents, and monetary relief as a result of any such infringement.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Adapt Pharma Limited</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Independent auditor’s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Adapt Pharma Limited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the Consolidated Financial Statements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audited the accompanying consolidated financial statements of Adapt Pharma Limited and its subsidiaries, which comprise the consolidated statements of financial position as of 31 December 2017 and 31 December 2016, and the related consolidated income statements , consolidated statements of comprehensive income, consolidated statements of changes in equity, and consolidated statements of cash flows for each of the years ended 31 December 2017, 31 December 2016 and 31 December 2015, and the related 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Responsibility for the Consolidated Financial Statements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consolidated financial statements in accordance with International Financial Reporting Standards as issued by the International Accounting Standards Board; this includes the design, implementation, and maintenance of internal control relevant to the preparation and fair presentation of consolidated financial statements that are free from material misstatement, whether due to fraud or error.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Responsibility</w:t>
      </w:r>
    </w:p>
    <w:p>
      <w:pPr>
        <w:spacing w:after="0" w:line="225"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Opinion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Adapt Pharma Limited and its subsidiaries as of 31 December 2017 and 31 December 2016, and their consolidated financial performance and their consolidated cash flows for the years ended 31 December 2017, 31 December 2016 and 31 December 2015, in accordance with International Financial Reporting Standards as issued by the International Accounting Standards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 October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years ended 31 December 2017, 2016 and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Note</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332"/>
              <w:spacing w:after="0"/>
              <w:rPr>
                <w:sz w:val="20"/>
                <w:szCs w:val="20"/>
                <w:color w:val="auto"/>
              </w:rPr>
            </w:pPr>
            <w:r>
              <w:rPr>
                <w:rFonts w:ascii="Arial" w:cs="Arial" w:eastAsia="Arial" w:hAnsi="Arial"/>
                <w:sz w:val="14"/>
                <w:szCs w:val="14"/>
                <w:b w:val="1"/>
                <w:bCs w:val="1"/>
                <w:color w:val="auto"/>
              </w:rPr>
              <w:t>US$’000</w:t>
            </w:r>
          </w:p>
        </w:tc>
        <w:tc>
          <w:tcPr>
            <w:tcW w:w="2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80" w:type="dxa"/>
            <w:vAlign w:val="bottom"/>
          </w:tcPr>
          <w:p>
            <w:pPr>
              <w:jc w:val="right"/>
              <w:ind w:right="352"/>
              <w:spacing w:after="0"/>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84,445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24,817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(29,184)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55,261</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16,870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(30,500)</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(21,122)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(6,901)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(3,673)</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profit/(loss)</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b w:val="1"/>
                <w:bCs w:val="1"/>
                <w:i w:val="1"/>
                <w:iCs w:val="1"/>
                <w:color w:val="auto"/>
              </w:rPr>
              <w:t>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17,860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(7,925)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1,307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finance income/(cost)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loss of equity accounted investee, net of tax</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Net gain in equity ownership of associate undertakings</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Profit/(loss) before tax</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19,118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(7,548)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(1,233)</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Net profit/(loss) for the year</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17,885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(7,606)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(11,901)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rPr>
          <w:sz w:val="20"/>
          <w:szCs w:val="20"/>
          <w:color w:val="auto"/>
        </w:rPr>
      </w:pPr>
      <w:r>
        <w:rPr>
          <w:rFonts w:ascii="Arial" w:cs="Arial" w:eastAsia="Arial" w:hAnsi="Arial"/>
          <w:sz w:val="18"/>
          <w:szCs w:val="18"/>
          <w:i w:val="1"/>
          <w:iCs w:val="1"/>
          <w:color w:val="auto"/>
        </w:rPr>
        <w:t>Net profit/(loss) attributable to:</w:t>
      </w:r>
    </w:p>
    <w:p>
      <w:pPr>
        <w:spacing w:after="0" w:line="9" w:lineRule="exact"/>
        <w:rPr>
          <w:sz w:val="20"/>
          <w:szCs w:val="20"/>
          <w:color w:val="auto"/>
        </w:rPr>
      </w:pPr>
    </w:p>
    <w:p>
      <w:pPr>
        <w:ind w:right="1980"/>
        <w:spacing w:after="0" w:line="261" w:lineRule="auto"/>
        <w:rPr>
          <w:sz w:val="20"/>
          <w:szCs w:val="20"/>
          <w:color w:val="auto"/>
        </w:rPr>
      </w:pPr>
      <w:r>
        <w:rPr>
          <w:rFonts w:ascii="Arial" w:cs="Arial" w:eastAsia="Arial" w:hAnsi="Arial"/>
          <w:sz w:val="18"/>
          <w:szCs w:val="18"/>
          <w:color w:val="auto"/>
        </w:rPr>
        <w:t>Equity holders of Adapt Pharma Limited Non-controlling interest</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1000" w:type="dxa"/>
        <w:tblCellMar>
          <w:top w:w="0" w:type="dxa"/>
          <w:left w:w="0" w:type="dxa"/>
          <w:bottom w:w="0" w:type="dxa"/>
          <w:right w:w="0" w:type="dxa"/>
        </w:tblCellMar>
      </w:tblPr>
      <w:tr>
        <w:trPr>
          <w:trHeight w:val="216"/>
        </w:trPr>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19,665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(6,301)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(11,901)</w:t>
            </w:r>
          </w:p>
        </w:tc>
      </w:tr>
      <w:tr>
        <w:trPr>
          <w:trHeight w:val="257"/>
        </w:trPr>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(1,780)</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-316865</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940" w:space="720"/>
            <w:col w:w="5760"/>
          </w:cols>
          <w:pgMar w:left="240" w:top="34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other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years ended 31 December 2017, 2016 and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380" w:type="dxa"/>
            <w:vAlign w:val="bottom"/>
          </w:tcPr>
          <w:p>
            <w:pPr>
              <w:jc w:val="right"/>
              <w:ind w:right="356"/>
              <w:spacing w:after="0"/>
              <w:rPr>
                <w:sz w:val="20"/>
                <w:szCs w:val="20"/>
                <w:color w:val="auto"/>
              </w:rPr>
            </w:pPr>
            <w:r>
              <w:rPr>
                <w:rFonts w:ascii="Arial" w:cs="Arial" w:eastAsia="Arial" w:hAnsi="Arial"/>
                <w:sz w:val="14"/>
                <w:szCs w:val="14"/>
                <w:b w:val="1"/>
                <w:bCs w:val="1"/>
                <w:color w:val="auto"/>
              </w:rPr>
              <w:t>US$’000</w:t>
            </w:r>
          </w:p>
        </w:tc>
        <w:tc>
          <w:tcPr>
            <w:tcW w:w="2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US$’000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for the year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17,885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(7,606)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Items that are or may be reclassified to profit or loss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differences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year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18,503</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(7,731)</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1440" w:gutter="0" w:footer="0" w:header="0"/>
        </w:sectPr>
      </w:pPr>
    </w:p>
    <w:p>
      <w:pPr>
        <w:spacing w:after="0" w:line="2" w:lineRule="exact"/>
        <w:rPr>
          <w:sz w:val="20"/>
          <w:szCs w:val="20"/>
          <w:color w:val="auto"/>
        </w:rPr>
      </w:pPr>
    </w:p>
    <w:p>
      <w:pPr>
        <w:ind w:right="1300"/>
        <w:spacing w:after="0" w:line="264" w:lineRule="auto"/>
        <w:rPr>
          <w:sz w:val="20"/>
          <w:szCs w:val="20"/>
          <w:color w:val="auto"/>
        </w:rPr>
      </w:pPr>
      <w:r>
        <w:rPr>
          <w:rFonts w:ascii="Arial" w:cs="Arial" w:eastAsia="Arial" w:hAnsi="Arial"/>
          <w:sz w:val="18"/>
          <w:szCs w:val="18"/>
          <w:i w:val="1"/>
          <w:iCs w:val="1"/>
          <w:color w:val="auto"/>
        </w:rPr>
        <w:t xml:space="preserve">Total comprehensive income/(loss) attributable to: </w:t>
      </w:r>
      <w:r>
        <w:rPr>
          <w:rFonts w:ascii="Arial" w:cs="Arial" w:eastAsia="Arial" w:hAnsi="Arial"/>
          <w:sz w:val="18"/>
          <w:szCs w:val="18"/>
          <w:color w:val="auto"/>
        </w:rPr>
        <w:t>Equity holders of Adapt Pharma Limited Non-controlling interest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980" w:type="dxa"/>
        <w:tblCellMar>
          <w:top w:w="0" w:type="dxa"/>
          <w:left w:w="0" w:type="dxa"/>
          <w:bottom w:w="0" w:type="dxa"/>
          <w:right w:w="0" w:type="dxa"/>
        </w:tblCellMar>
      </w:tblPr>
      <w:tr>
        <w:trPr>
          <w:trHeight w:val="216"/>
        </w:trPr>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19,957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(6,179)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(12,125)</w:t>
            </w:r>
          </w:p>
        </w:tc>
      </w:tr>
      <w:tr>
        <w:trPr>
          <w:trHeight w:val="257"/>
        </w:trPr>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(1,454)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-454025</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-179705</wp:posOffset>
            </wp:positionV>
            <wp:extent cx="72466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4940" w:space="720"/>
            <w:col w:w="5760"/>
          </w:cols>
          <w:pgMar w:left="240" w:top="341"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31 December 2017 and 2016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Note</w:t>
            </w: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11,824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12,099</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92,038</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115,961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45,329</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2,511</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48,450</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164,411</w:t>
            </w:r>
          </w:p>
        </w:tc>
        <w:tc>
          <w:tcPr>
            <w:tcW w:w="4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108,832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13</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46,837</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payable</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borrowings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Embedded financial liabilities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407</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48,582</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Loans and borrowings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280" w:type="dxa"/>
            <w:vAlign w:val="bottom"/>
          </w:tcPr>
          <w:p>
            <w:pPr>
              <w:spacing w:after="0"/>
              <w:rPr>
                <w:sz w:val="18"/>
                <w:szCs w:val="18"/>
                <w:color w:val="auto"/>
              </w:rPr>
            </w:pP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financial liabilities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w:t>
            </w:r>
          </w:p>
        </w:tc>
        <w:tc>
          <w:tcPr>
            <w:tcW w:w="28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1,060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49,642</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15</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premium</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96,993</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Share based payment reserve</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795</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Other reserves</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earnings/(loss)</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13,860</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Adapt Pharma Limited shareholders’ equity</w:t>
            </w:r>
          </w:p>
        </w:tc>
        <w:tc>
          <w:tcPr>
            <w:tcW w:w="26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112,249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2,520</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114,769</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164,411</w:t>
            </w:r>
          </w:p>
        </w:tc>
        <w:tc>
          <w:tcPr>
            <w:tcW w:w="4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form an integral part of these financial statements.</w:t>
            </w: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spacing w:after="0"/>
              <w:rPr>
                <w:sz w:val="20"/>
                <w:szCs w:val="20"/>
                <w:color w:val="auto"/>
              </w:rPr>
            </w:pPr>
            <w:r>
              <w:rPr>
                <w:rFonts w:ascii="Arial" w:cs="Arial" w:eastAsia="Arial" w:hAnsi="Arial"/>
                <w:sz w:val="18"/>
                <w:szCs w:val="18"/>
                <w:color w:val="auto"/>
              </w:rPr>
              <w:t>On behalf of the board</w:t>
            </w: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S. Mulligan</w:t>
            </w:r>
          </w:p>
        </w:tc>
        <w:tc>
          <w:tcPr>
            <w:tcW w:w="354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 Brabazon</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3"/>
          </w:tcPr>
          <w:p>
            <w:pPr>
              <w:ind w:left="800"/>
              <w:spacing w:after="0"/>
              <w:rPr>
                <w:sz w:val="20"/>
                <w:szCs w:val="20"/>
                <w:color w:val="auto"/>
              </w:rPr>
            </w:pPr>
            <w:r>
              <w:rPr>
                <w:rFonts w:ascii="Arial" w:cs="Arial" w:eastAsia="Arial" w:hAnsi="Arial"/>
                <w:sz w:val="18"/>
                <w:szCs w:val="18"/>
                <w:color w:val="auto"/>
                <w:w w:val="90"/>
              </w:rPr>
              <w:t>11 October 2018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Director</w:t>
            </w:r>
          </w:p>
        </w:tc>
        <w:tc>
          <w:tcPr>
            <w:tcW w:w="220" w:type="dxa"/>
            <w:vAlign w:val="bottom"/>
          </w:tcPr>
          <w:p>
            <w:pPr>
              <w:spacing w:after="0"/>
              <w:rPr>
                <w:sz w:val="19"/>
                <w:szCs w:val="19"/>
                <w:color w:val="auto"/>
              </w:rPr>
            </w:pPr>
          </w:p>
        </w:tc>
        <w:tc>
          <w:tcPr>
            <w:tcW w:w="354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Director</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Pr>
          <w:p>
            <w:pPr>
              <w:jc w:val="right"/>
              <w:ind w:right="1010"/>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years ended 31 December 2017, 2016 and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96"/>
              </w:rPr>
              <w:t>Attributable to owners of Adapt Pharma Limited</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Share</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Foreign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Share</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based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currency</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w:t>
            </w: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payment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earnings/</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premium</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reserve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reserve</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gridSpan w:val="2"/>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interest</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111,993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(20,805)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92,681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95,243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Comprehensive income/(loss)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Profit/(loss) for the year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19,665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comprehensive profit/(loss)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19,665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19,957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(1,454)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i w:val="1"/>
                <w:iCs w:val="1"/>
                <w:color w:val="auto"/>
              </w:rPr>
              <w:t>Transactions with owners of the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i w:val="1"/>
                <w:iCs w:val="1"/>
                <w:color w:val="auto"/>
              </w:rPr>
              <w:t>Company</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ownership interest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Acquisition of NCI without 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(789)</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599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change in control</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vMerge w:val="continue"/>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9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5"/>
              </w:rPr>
              <w:t>Total changes in ownership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(789)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1,388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Contributions and distributions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Share premium reduction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5"/>
              </w:rPr>
              <w:t>Total contributions and distributions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Total transactions with owners of</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b w:val="1"/>
                <w:bCs w:val="1"/>
                <w:color w:val="auto"/>
              </w:rPr>
              <w:t>(389)</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the Company</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800" w:type="dxa"/>
            <w:vAlign w:val="bottom"/>
            <w:gridSpan w:val="2"/>
            <w:vMerge w:val="continue"/>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1,412</w:t>
            </w:r>
          </w:p>
        </w:tc>
        <w:tc>
          <w:tcPr>
            <w:tcW w:w="9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Balance at 31 December 2017</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120,025</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96,993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(750)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13,860</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112,249</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114,769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96"/>
              </w:rPr>
              <w:t>Attributable to owners of Adapt Pharma Limited</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Share</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Foreign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based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Currency</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w:t>
            </w: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payment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earnings/</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premium</w:t>
            </w:r>
          </w:p>
        </w:tc>
        <w:tc>
          <w:tcPr>
            <w:tcW w:w="1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reserve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reserve</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gridSpan w:val="2"/>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interest</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102,108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88,583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Comprehensive income/(loss)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(6,301)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5"/>
              </w:rPr>
              <w:t>Other comprehensive income/(loss)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(6,301)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(6,179)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(1,552)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i w:val="1"/>
                <w:iCs w:val="1"/>
                <w:color w:val="auto"/>
              </w:rPr>
              <w:t>Transactions with owners of the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i w:val="1"/>
                <w:iCs w:val="1"/>
                <w:color w:val="auto"/>
              </w:rPr>
              <w:t>Company</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ownership interest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9"/>
              </w:rPr>
              <w:t>Acquisition of subsidiary with non-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4,114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controlling interest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vMerge w:val="continue"/>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4,114</w:t>
            </w:r>
          </w:p>
        </w:tc>
        <w:tc>
          <w:tcPr>
            <w:tcW w:w="9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5"/>
              </w:rPr>
              <w:t>Total changes in ownership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4,114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Contributions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Issue of ordinary shares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9,985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contributions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660" w:type="dxa"/>
            <w:vAlign w:val="bottom"/>
          </w:tcPr>
          <w:p>
            <w:pPr>
              <w:jc w:val="right"/>
              <w:spacing w:after="0"/>
              <w:rPr>
                <w:sz w:val="20"/>
                <w:szCs w:val="20"/>
                <w:color w:val="auto"/>
              </w:rPr>
            </w:pPr>
            <w:r>
              <w:rPr>
                <w:rFonts w:ascii="Arial" w:cs="Arial" w:eastAsia="Arial" w:hAnsi="Arial"/>
                <w:sz w:val="18"/>
                <w:szCs w:val="18"/>
                <w:color w:val="auto"/>
              </w:rPr>
              <w:t>9,885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10,277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Total transactions with owners of</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10,277</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14,391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the Company</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660" w:type="dxa"/>
            <w:vAlign w:val="bottom"/>
          </w:tcPr>
          <w:p>
            <w:pPr>
              <w:jc w:val="right"/>
              <w:spacing w:after="0"/>
              <w:rPr>
                <w:sz w:val="20"/>
                <w:szCs w:val="20"/>
                <w:color w:val="auto"/>
              </w:rPr>
            </w:pPr>
            <w:r>
              <w:rPr>
                <w:rFonts w:ascii="Arial" w:cs="Arial" w:eastAsia="Arial" w:hAnsi="Arial"/>
                <w:sz w:val="18"/>
                <w:szCs w:val="18"/>
                <w:color w:val="auto"/>
              </w:rPr>
              <w:t>9,885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vMerge w:val="continue"/>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4,114</w:t>
            </w:r>
          </w:p>
        </w:tc>
        <w:tc>
          <w:tcPr>
            <w:tcW w:w="9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20" w:type="dxa"/>
            <w:vAlign w:val="bottom"/>
          </w:tcPr>
          <w:p>
            <w:pPr>
              <w:spacing w:after="0"/>
              <w:rPr>
                <w:sz w:val="20"/>
                <w:szCs w:val="20"/>
                <w:color w:val="auto"/>
              </w:rPr>
            </w:pPr>
            <w:r>
              <w:rPr>
                <w:rFonts w:ascii="Arial" w:cs="Arial" w:eastAsia="Arial" w:hAnsi="Arial"/>
                <w:sz w:val="18"/>
                <w:szCs w:val="18"/>
                <w:b w:val="1"/>
                <w:bCs w:val="1"/>
                <w:color w:val="auto"/>
              </w:rPr>
              <w:t>Balance at 31 December 2016</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120,025</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w w:val="98"/>
              </w:rPr>
              <w:t>111,993</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395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(102)</w:t>
            </w:r>
          </w:p>
        </w:tc>
        <w:tc>
          <w:tcPr>
            <w:tcW w:w="780" w:type="dxa"/>
            <w:vAlign w:val="bottom"/>
            <w:gridSpan w:val="2"/>
          </w:tcPr>
          <w:p>
            <w:pPr>
              <w:ind w:left="5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(20,805)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92,681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2,562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95,243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w w:val="96"/>
              </w:rPr>
              <w:t>Attributable to owners of Adapt Pharma Limited</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Share</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Foreign</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Retained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based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Currency</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w:t>
            </w: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payment</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earnings/</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controlling</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shareholders’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premium</w:t>
            </w:r>
          </w:p>
        </w:tc>
        <w:tc>
          <w:tcPr>
            <w:tcW w:w="1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reserve</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reserve</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reserves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800" w:type="dxa"/>
            <w:vAlign w:val="bottom"/>
            <w:gridSpan w:val="2"/>
            <w:vMerge w:val="continue"/>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interest</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90,597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i w:val="1"/>
                <w:iCs w:val="1"/>
                <w:color w:val="auto"/>
              </w:rPr>
              <w:t>Comprehensive income/(loss)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(11,901)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5"/>
              </w:rPr>
              <w:t>Other comprehensive income/(loss)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(12,125)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i w:val="1"/>
                <w:iCs w:val="1"/>
                <w:color w:val="auto"/>
              </w:rPr>
              <w:t>Transactions with owners of the</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i w:val="1"/>
                <w:iCs w:val="1"/>
                <w:color w:val="auto"/>
              </w:rPr>
              <w:t>Company</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Contributions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Issue of ordinary shares</w:t>
            </w: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15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10,025</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660" w:type="dxa"/>
            <w:vAlign w:val="bottom"/>
          </w:tcPr>
          <w:p>
            <w:pPr>
              <w:jc w:val="right"/>
              <w:spacing w:after="0"/>
              <w:rPr>
                <w:sz w:val="20"/>
                <w:szCs w:val="20"/>
                <w:color w:val="auto"/>
              </w:rPr>
            </w:pPr>
            <w:r>
              <w:rPr>
                <w:rFonts w:ascii="Arial" w:cs="Arial" w:eastAsia="Arial" w:hAnsi="Arial"/>
                <w:sz w:val="18"/>
                <w:szCs w:val="18"/>
                <w:color w:val="auto"/>
              </w:rPr>
              <w:t>9,908</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Total contributions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10,111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transactions with owners of</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10,111</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Company</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vMerge w:val="continue"/>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vMerge w:val="continue"/>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31 December 2015</w:t>
            </w: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110,025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102,108</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(224)</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(14,504)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88,583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88,583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9"/>
          </w:tcPr>
          <w:p>
            <w:pPr>
              <w:spacing w:after="0"/>
              <w:rPr>
                <w:sz w:val="20"/>
                <w:szCs w:val="20"/>
                <w:color w:val="auto"/>
              </w:rPr>
            </w:pPr>
            <w:r>
              <w:rPr>
                <w:rFonts w:ascii="Arial" w:cs="Arial" w:eastAsia="Arial" w:hAnsi="Arial"/>
                <w:sz w:val="18"/>
                <w:szCs w:val="18"/>
                <w:color w:val="auto"/>
                <w:w w:val="93"/>
              </w:rPr>
              <w:t>The accompanying notes form an integral part of these financial statements.</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years ended 31 December 2017, 2016 and 2015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Note</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US$’000</w:t>
            </w:r>
          </w:p>
        </w:tc>
        <w:tc>
          <w:tcPr>
            <w:tcW w:w="220" w:type="dxa"/>
            <w:vAlign w:val="bottom"/>
          </w:tcPr>
          <w:p>
            <w:pPr>
              <w:spacing w:after="0"/>
              <w:rPr>
                <w:sz w:val="12"/>
                <w:szCs w:val="12"/>
                <w:color w:val="auto"/>
              </w:rPr>
            </w:pPr>
          </w:p>
        </w:tc>
        <w:tc>
          <w:tcPr>
            <w:tcW w:w="12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US$’000</w:t>
            </w:r>
          </w:p>
        </w:tc>
        <w:tc>
          <w:tcPr>
            <w:tcW w:w="220" w:type="dxa"/>
            <w:vAlign w:val="bottom"/>
          </w:tcPr>
          <w:p>
            <w:pPr>
              <w:spacing w:after="0"/>
              <w:rPr>
                <w:sz w:val="12"/>
                <w:szCs w:val="12"/>
                <w:color w:val="auto"/>
              </w:rPr>
            </w:pPr>
          </w:p>
        </w:tc>
        <w:tc>
          <w:tcPr>
            <w:tcW w:w="1260" w:type="dxa"/>
            <w:vAlign w:val="bottom"/>
          </w:tcPr>
          <w:p>
            <w:pPr>
              <w:jc w:val="right"/>
              <w:ind w:right="271"/>
              <w:spacing w:after="0" w:line="142" w:lineRule="exact"/>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Profit/(loss) for the year</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17,885</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(7,606)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Adjustments to reconcile profit/ loss to net cash used in operating</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shd w:val="clear" w:color="auto" w:fill="CCEEFF"/>
          </w:tcPr>
          <w:p>
            <w:pPr>
              <w:jc w:val="right"/>
              <w:ind w:right="5568"/>
              <w:spacing w:after="0"/>
              <w:rPr>
                <w:sz w:val="20"/>
                <w:szCs w:val="20"/>
                <w:color w:val="auto"/>
              </w:rPr>
            </w:pPr>
            <w:r>
              <w:rPr>
                <w:rFonts w:ascii="Arial" w:cs="Arial" w:eastAsia="Arial" w:hAnsi="Arial"/>
                <w:sz w:val="18"/>
                <w:szCs w:val="18"/>
                <w:i w:val="1"/>
                <w:iCs w:val="1"/>
                <w:color w:val="auto"/>
              </w:rPr>
              <w:t>activities:</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Share based payment expense</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Depreciation of property, plant and equipment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5</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5</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Investor’s share of the associate’s loss, net of tax</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7</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Net gain in equity ownership of associate undertakings</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7</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Changes in:</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9</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(5,084)</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(3,239)</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10</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(7,825)</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(3,442)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receivable from associate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9,820</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generated from operating activities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17,108</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paid</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Net cash from/(used in) operating activities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16,692</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(4,728)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(15,419)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11</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Purchase of other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Acquisition of subsidiary, net of cash acquired</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(9,167)</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(2,256)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NCI without a change in control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3</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Repayment of shareholders’ loans</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18</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(399)</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proceeds from issuance of share capital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Proceeds from the loan from NCI</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Net cash (used in)/from financing activities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9,745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8,246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2,618</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(8,563)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year</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83,792</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81,174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92,038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83,792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81,174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form an integral part of these financial statements.</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40" w:type="dxa"/>
            <w:vAlign w:val="bottom"/>
            <w:gridSpan w:val="3"/>
          </w:tcPr>
          <w:p>
            <w:pPr>
              <w:jc w:val="right"/>
              <w:ind w:right="708"/>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Adapt Pharma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forming part of the consolidated financial statements</w:t>
      </w:r>
    </w:p>
    <w:p>
      <w:pPr>
        <w:spacing w:after="0" w:line="207"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229" w:lineRule="exact"/>
        <w:rPr>
          <w:rFonts w:ascii="Arial" w:cs="Arial" w:eastAsia="Arial" w:hAnsi="Arial"/>
          <w:sz w:val="18"/>
          <w:szCs w:val="18"/>
          <w:b w:val="1"/>
          <w:bCs w:val="1"/>
          <w:color w:val="auto"/>
        </w:rPr>
      </w:pPr>
    </w:p>
    <w:p>
      <w:pPr>
        <w:ind w:left="42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Adapt Pharma Limited (the “Company”) is a company incorporated and domiciled in Ireland. The principal activity of the Company and its subsidiary undertakings (collectively “the Group”) is the research, development, acquisition/disposal, marketing and sale of pharmaceutical products and intellectual property.</w:t>
      </w:r>
    </w:p>
    <w:p>
      <w:pPr>
        <w:spacing w:after="0" w:line="181" w:lineRule="exact"/>
        <w:rPr>
          <w:rFonts w:ascii="Arial" w:cs="Arial" w:eastAsia="Arial" w:hAnsi="Arial"/>
          <w:sz w:val="18"/>
          <w:szCs w:val="18"/>
          <w:b w:val="1"/>
          <w:bCs w:val="1"/>
          <w:color w:val="auto"/>
        </w:rPr>
      </w:pPr>
    </w:p>
    <w:p>
      <w:pPr>
        <w:ind w:left="42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December 2014, the Group entered into a licence agreement with Opiant Pharmaceuticals Inc. (formerly known as Lightlake Therapeutics Inc.) in connection with the intellectual property rights associated with a naloxone nasal spray product. Through this licence agreement, Adapt Pharma acquired the worldwide development and commercialisation rights to this product.</w:t>
      </w:r>
    </w:p>
    <w:p>
      <w:pPr>
        <w:spacing w:after="0" w:line="18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 May 2015, the Group obtained a license to the Narcan® trademark.</w:t>
      </w:r>
    </w:p>
    <w:p>
      <w:pPr>
        <w:spacing w:after="0" w:line="225" w:lineRule="exact"/>
        <w:rPr>
          <w:rFonts w:ascii="Arial" w:cs="Arial" w:eastAsia="Arial" w:hAnsi="Arial"/>
          <w:sz w:val="18"/>
          <w:szCs w:val="18"/>
          <w:b w:val="1"/>
          <w:bCs w:val="1"/>
          <w:color w:val="auto"/>
        </w:rPr>
      </w:pPr>
    </w:p>
    <w:p>
      <w:pPr>
        <w:ind w:left="42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June 2015, the Group commenced a rolling submission of a New Drug Application (NDA) for Narcan® (naloxone hydrochloride) Nasal Spray 4mg (Narcan® Nasal Spray), a drug intended to treat opioid overdose, to the United States Food and Drug Administration (FDA).</w:t>
      </w:r>
    </w:p>
    <w:p>
      <w:pPr>
        <w:spacing w:after="0" w:line="146" w:lineRule="exact"/>
        <w:rPr>
          <w:rFonts w:ascii="Arial" w:cs="Arial" w:eastAsia="Arial" w:hAnsi="Arial"/>
          <w:sz w:val="18"/>
          <w:szCs w:val="18"/>
          <w:b w:val="1"/>
          <w:bCs w:val="1"/>
          <w:color w:val="auto"/>
        </w:rPr>
      </w:pPr>
    </w:p>
    <w:p>
      <w:pPr>
        <w:ind w:left="42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November 2015, the U.S. FDA approved Narcan® Nasal Spray for the emergency treatment of known or suspected opioid overdose. Narcan® Nasal Spray was commercially launched in the U.S. in February 2016.</w:t>
      </w:r>
    </w:p>
    <w:p>
      <w:pPr>
        <w:spacing w:after="0" w:line="170" w:lineRule="exact"/>
        <w:rPr>
          <w:rFonts w:ascii="Arial" w:cs="Arial" w:eastAsia="Arial" w:hAnsi="Arial"/>
          <w:sz w:val="18"/>
          <w:szCs w:val="18"/>
          <w:b w:val="1"/>
          <w:bCs w:val="1"/>
          <w:color w:val="auto"/>
        </w:rPr>
      </w:pPr>
    </w:p>
    <w:p>
      <w:pPr>
        <w:ind w:left="420" w:right="4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2016, following the signing of an Interim Order by the Health Minister of Canada, allowing the sale of U.S. FDA approved Narcan® Nasal Spray in Canada, Narcan® Nasal Spray was launched in Canada. In October 2016, Health Canada granted approval for Narcan® Nasal Spray in Canada.</w:t>
      </w:r>
    </w:p>
    <w:p>
      <w:pPr>
        <w:spacing w:after="0" w:line="181" w:lineRule="exact"/>
        <w:rPr>
          <w:rFonts w:ascii="Arial" w:cs="Arial" w:eastAsia="Arial" w:hAnsi="Arial"/>
          <w:sz w:val="18"/>
          <w:szCs w:val="18"/>
          <w:b w:val="1"/>
          <w:bCs w:val="1"/>
          <w:color w:val="auto"/>
        </w:rPr>
      </w:pPr>
    </w:p>
    <w:p>
      <w:pPr>
        <w:ind w:lef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2017, the U.S. FDA approved Narcan® (naloxone hydrochloride) Nasal Spray 2mg formulation for the emergency treatment of known or suspected opioid overdose, as manifested by respiratory and/or central nervous system depression. The 2mg dose is approved for use in opioid-dependent patients expected to be at risk for severe opioid withdrawal in situations where there is a low risk for accidental or intentional opioid exposure by household contacts.</w:t>
      </w:r>
    </w:p>
    <w:p>
      <w:pPr>
        <w:spacing w:after="0" w:line="186" w:lineRule="exact"/>
        <w:rPr>
          <w:rFonts w:ascii="Arial" w:cs="Arial" w:eastAsia="Arial" w:hAnsi="Arial"/>
          <w:sz w:val="18"/>
          <w:szCs w:val="18"/>
          <w:b w:val="1"/>
          <w:bCs w:val="1"/>
          <w:color w:val="auto"/>
        </w:rPr>
      </w:pPr>
    </w:p>
    <w:p>
      <w:pPr>
        <w:ind w:left="42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August 2018, the Group entered into a definitive agreement for the Group to be acquired by Emergent BioSolutions Inc. The acquisition of the Group by Emergent BioSolutions Inc., is subject to customary closing conditions, including antitrust regulatory approval, and is expected to close in the fourth quarter of 2018. Total consideration payable by Emergent BioSolutions Inc for the acquisition is up to $735 million consisting of an upfront payment of $635 million and up to $100 million in cash based on achievement of certain sales milestones through 2022. The upfront payment of $635 million consists of $575 million in cash and $60 million in Emergent BioSolutions Inc’s common stock, all of which are subject to adjustments.</w:t>
      </w:r>
    </w:p>
    <w:p>
      <w:pPr>
        <w:spacing w:after="0" w:line="154" w:lineRule="exact"/>
        <w:rPr>
          <w:sz w:val="20"/>
          <w:szCs w:val="20"/>
          <w:color w:val="auto"/>
        </w:rPr>
      </w:pPr>
    </w:p>
    <w:p>
      <w:pPr>
        <w:ind w:left="400" w:right="7640" w:hanging="392"/>
        <w:spacing w:after="0" w:line="503" w:lineRule="auto"/>
        <w:tabs>
          <w:tab w:leader="none" w:pos="39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accounting policies Basis of preparation</w:t>
      </w:r>
    </w:p>
    <w:p>
      <w:pPr>
        <w:spacing w:after="0" w:line="1" w:lineRule="exact"/>
        <w:rPr>
          <w:sz w:val="20"/>
          <w:szCs w:val="20"/>
          <w:color w:val="auto"/>
        </w:rPr>
      </w:pPr>
    </w:p>
    <w:p>
      <w:pPr>
        <w:ind w:left="420"/>
        <w:spacing w:after="0" w:line="264" w:lineRule="auto"/>
        <w:rPr>
          <w:sz w:val="20"/>
          <w:szCs w:val="20"/>
          <w:color w:val="auto"/>
        </w:rPr>
      </w:pPr>
      <w:r>
        <w:rPr>
          <w:rFonts w:ascii="Arial" w:cs="Arial" w:eastAsia="Arial" w:hAnsi="Arial"/>
          <w:sz w:val="18"/>
          <w:szCs w:val="18"/>
          <w:color w:val="auto"/>
        </w:rPr>
        <w:t>The consolidated financial statements (the “financial statements”) include the financial statements of the Company and all of its subsidiary undertakings. The consolidated financial statements have been prepared in accordance with International Financial Reporting Standards as issued by the International Accounting Standards Board (“IFRS”).</w:t>
      </w:r>
    </w:p>
    <w:p>
      <w:pPr>
        <w:spacing w:after="0" w:line="181" w:lineRule="exact"/>
        <w:rPr>
          <w:sz w:val="20"/>
          <w:szCs w:val="20"/>
          <w:color w:val="auto"/>
        </w:rPr>
      </w:pPr>
    </w:p>
    <w:p>
      <w:pPr>
        <w:ind w:left="420" w:right="100"/>
        <w:spacing w:after="0" w:line="259" w:lineRule="auto"/>
        <w:rPr>
          <w:sz w:val="20"/>
          <w:szCs w:val="20"/>
          <w:color w:val="auto"/>
        </w:rPr>
      </w:pPr>
      <w:r>
        <w:rPr>
          <w:rFonts w:ascii="Arial" w:cs="Arial" w:eastAsia="Arial" w:hAnsi="Arial"/>
          <w:sz w:val="18"/>
          <w:szCs w:val="18"/>
          <w:color w:val="auto"/>
        </w:rPr>
        <w:t>The consolidated financial statements are presented in U.S. dollars being the functional and presentational currency of Adapt Pharma Limited. All values are rounded to the nearest thousand (US$000), except when otherwise indicated. The financial statements are prepared on the historical cost basis, except for share-based payments and embedded derivatives which are based on fair value determined at the grant date and the balance sheet date,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accounting policies </w:t>
      </w:r>
      <w:r>
        <w:rPr>
          <w:rFonts w:ascii="Arial" w:cs="Arial" w:eastAsia="Arial" w:hAnsi="Arial"/>
          <w:sz w:val="18"/>
          <w:szCs w:val="18"/>
          <w:i w:val="1"/>
          <w:iCs w:val="1"/>
          <w:color w:val="auto"/>
        </w:rPr>
        <w:t>(continued)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Use of judgements and estimates</w:t>
      </w:r>
    </w:p>
    <w:p>
      <w:pPr>
        <w:spacing w:after="0" w:line="225" w:lineRule="exact"/>
        <w:rPr>
          <w:sz w:val="20"/>
          <w:szCs w:val="20"/>
          <w:color w:val="auto"/>
        </w:rPr>
      </w:pPr>
    </w:p>
    <w:p>
      <w:pPr>
        <w:ind w:left="420" w:right="60"/>
        <w:spacing w:after="0" w:line="257"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judgements, estimates and assumptions that affect the application of policies and reported amounts of assets and liabilities, income and expenses. The estimates and assumptions are based on historical experience and various other factors that are believed to be reasonable under the circumstances, the results of which are the basis of making the judgement about carrying values of assets and liabilities that are not readily apparent from other sources. Actual results may differ from these estimates.</w:t>
      </w:r>
    </w:p>
    <w:p>
      <w:pPr>
        <w:spacing w:after="0" w:line="188" w:lineRule="exact"/>
        <w:rPr>
          <w:sz w:val="20"/>
          <w:szCs w:val="20"/>
          <w:color w:val="auto"/>
        </w:rPr>
      </w:pPr>
    </w:p>
    <w:p>
      <w:pPr>
        <w:jc w:val="both"/>
        <w:ind w:left="420" w:right="240"/>
        <w:spacing w:after="0" w:line="264"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recognised in the period in which the estimate is revised if the revision affects only that period, or in the period of the revision and future periods if the revision affects both current and future periods.</w:t>
      </w:r>
    </w:p>
    <w:p>
      <w:pPr>
        <w:spacing w:after="0" w:line="181" w:lineRule="exact"/>
        <w:rPr>
          <w:sz w:val="20"/>
          <w:szCs w:val="20"/>
          <w:color w:val="auto"/>
        </w:rPr>
      </w:pPr>
    </w:p>
    <w:p>
      <w:pPr>
        <w:ind w:left="420" w:right="80"/>
        <w:spacing w:after="0" w:line="290" w:lineRule="auto"/>
        <w:rPr>
          <w:sz w:val="20"/>
          <w:szCs w:val="20"/>
          <w:color w:val="auto"/>
        </w:rPr>
      </w:pPr>
      <w:r>
        <w:rPr>
          <w:rFonts w:ascii="Arial" w:cs="Arial" w:eastAsia="Arial" w:hAnsi="Arial"/>
          <w:sz w:val="16"/>
          <w:szCs w:val="16"/>
          <w:color w:val="auto"/>
        </w:rPr>
        <w:t>Product sales revenue is recognised when title has transferred to the customer and the customer has assumed the risks and rewards of ownership, which is typically on delivery to the customer. Revenues from sales of products are recorded net of government rebates and rebates under managed care plans, estimated allowances for sales returns, chargebacks, prompt payment discounts and specialty distributor and wholesaler fees. Calculating certain of these items, amongst other items, involves, estimates and judgements based on sales or invoice data, contractual terms, historical utilisation rates, new information regarding changes in applicable regulations and guidelines that would impact the amount of the rebates, our expectations regarding future utilisation rates and channel inventory data amongst other factors. We review the adequacy of our provisions for sales deductions at each balance sheet date. Amounts accrued for sales deductions are adjusted when trends or significant events indicate that adjustment is appropriate and to reflect actual experience. The most significant items deducted from gross product sales where we exercise judgement are rebates, sales returns and chargebacks.</w:t>
      </w:r>
    </w:p>
    <w:p>
      <w:pPr>
        <w:spacing w:after="0" w:line="166" w:lineRule="exact"/>
        <w:rPr>
          <w:sz w:val="20"/>
          <w:szCs w:val="20"/>
          <w:color w:val="auto"/>
        </w:rPr>
      </w:pPr>
    </w:p>
    <w:p>
      <w:pPr>
        <w:ind w:left="420" w:right="40"/>
        <w:spacing w:after="0" w:line="264" w:lineRule="auto"/>
        <w:rPr>
          <w:sz w:val="20"/>
          <w:szCs w:val="20"/>
          <w:color w:val="auto"/>
        </w:rPr>
      </w:pPr>
      <w:r>
        <w:rPr>
          <w:rFonts w:ascii="Arial" w:cs="Arial" w:eastAsia="Arial" w:hAnsi="Arial"/>
          <w:sz w:val="18"/>
          <w:szCs w:val="18"/>
          <w:color w:val="auto"/>
        </w:rPr>
        <w:t>The carrying value of the intangible assets is also a key judgement in these financial statements. The carrying value of finite life intangible assets are assessed for impairment whenever there is an indication that the intangible asset may be impaired. Intangible assets with indefinite lives are assessed for impairment annually or when facts and circumstances warrant an impairment</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ind w:left="420" w:right="160"/>
        <w:spacing w:after="0" w:line="264" w:lineRule="auto"/>
        <w:rPr>
          <w:sz w:val="20"/>
          <w:szCs w:val="20"/>
          <w:color w:val="auto"/>
        </w:rPr>
      </w:pPr>
      <w:r>
        <w:rPr>
          <w:rFonts w:ascii="Arial" w:cs="Arial" w:eastAsia="Arial" w:hAnsi="Arial"/>
          <w:sz w:val="18"/>
          <w:szCs w:val="18"/>
          <w:color w:val="auto"/>
        </w:rPr>
        <w:t>The directors have given careful consideration to the Group’s ability to continue as a going concern. The directors, having made enquiries, believe that the Group has adequate resources to continue in operational existence for the foreseeable future and that it is appropriate to adopt the going concern basis in preparing the Group financial statements.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New standards and interpretations</w:t>
      </w:r>
    </w:p>
    <w:p>
      <w:pPr>
        <w:spacing w:after="0" w:line="229" w:lineRule="exact"/>
        <w:rPr>
          <w:sz w:val="20"/>
          <w:szCs w:val="20"/>
          <w:color w:val="auto"/>
        </w:rPr>
      </w:pPr>
    </w:p>
    <w:p>
      <w:pPr>
        <w:ind w:left="420" w:right="180"/>
        <w:spacing w:after="0" w:line="286" w:lineRule="auto"/>
        <w:rPr>
          <w:sz w:val="20"/>
          <w:szCs w:val="20"/>
          <w:color w:val="auto"/>
        </w:rPr>
      </w:pPr>
      <w:r>
        <w:rPr>
          <w:rFonts w:ascii="Arial" w:cs="Arial" w:eastAsia="Arial" w:hAnsi="Arial"/>
          <w:sz w:val="17"/>
          <w:szCs w:val="17"/>
          <w:color w:val="auto"/>
        </w:rPr>
        <w:t>The accounting policies applied in the preparation of the consolidated financial statements have been applied consistently during the year and prior years. A number of new standards, amendments to standards and interpretations are not yet effective for the period ended 31 December 2017 and have not been applied in preparing these financial statements. The items that may have relevance to the Group are as follows: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 xml:space="preserve">IFRS 15 </w:t>
      </w:r>
      <w:r>
        <w:rPr>
          <w:rFonts w:ascii="Arial" w:cs="Arial" w:eastAsia="Arial" w:hAnsi="Arial"/>
          <w:sz w:val="18"/>
          <w:szCs w:val="18"/>
          <w:i w:val="1"/>
          <w:iCs w:val="1"/>
          <w:u w:val="single" w:color="auto"/>
          <w:color w:val="auto"/>
        </w:rPr>
        <w:t>Revenue from Contracts with Customers</w:t>
      </w:r>
    </w:p>
    <w:p>
      <w:pPr>
        <w:spacing w:after="0" w:line="225" w:lineRule="exact"/>
        <w:rPr>
          <w:sz w:val="20"/>
          <w:szCs w:val="20"/>
          <w:color w:val="auto"/>
        </w:rPr>
      </w:pPr>
    </w:p>
    <w:p>
      <w:pPr>
        <w:ind w:left="420" w:right="400"/>
        <w:spacing w:after="0" w:line="259" w:lineRule="auto"/>
        <w:rPr>
          <w:sz w:val="20"/>
          <w:szCs w:val="20"/>
          <w:color w:val="auto"/>
        </w:rPr>
      </w:pPr>
      <w:r>
        <w:rPr>
          <w:rFonts w:ascii="Arial" w:cs="Arial" w:eastAsia="Arial" w:hAnsi="Arial"/>
          <w:sz w:val="18"/>
          <w:szCs w:val="18"/>
          <w:color w:val="auto"/>
        </w:rPr>
        <w:t>IFRS 15 applies to the Groups financial statements beginning 1 January 2018. IFRS 15 establishes a comprehensive framework for determining whether, how much and when revenue is recognised. It replaced IAS 18 Revenue and related interpretations. Under IFRS 15, revenue is recognised when a customer obtains control of the goods or services. Determining the timing of the transfer of control, at a point in time or over time, requires judgement.</w:t>
      </w:r>
    </w:p>
    <w:p>
      <w:pPr>
        <w:spacing w:after="0" w:line="187" w:lineRule="exact"/>
        <w:rPr>
          <w:sz w:val="20"/>
          <w:szCs w:val="20"/>
          <w:color w:val="auto"/>
        </w:rPr>
      </w:pPr>
    </w:p>
    <w:p>
      <w:pPr>
        <w:ind w:left="400"/>
        <w:spacing w:after="0" w:line="255" w:lineRule="auto"/>
        <w:rPr>
          <w:sz w:val="20"/>
          <w:szCs w:val="20"/>
          <w:color w:val="auto"/>
        </w:rPr>
      </w:pPr>
      <w:r>
        <w:rPr>
          <w:rFonts w:ascii="Arial" w:cs="Arial" w:eastAsia="Arial" w:hAnsi="Arial"/>
          <w:sz w:val="18"/>
          <w:szCs w:val="18"/>
          <w:color w:val="auto"/>
        </w:rPr>
        <w:t>The Group has adopted IFRS 15 using the cumulative effect method (without practical expedients), with the effect of initially applying this standard recognised at the date of initial application (i.e. 1 January 2018). Adoption of the new standard did not have a material impact on the financial statements of the Group in 2018. For periods ending after 1 January 2018, the Group’s financial statements will include additional disclosures including i) a disaggregation of revenue by category; ii) qualitative information about revenue performance obligations; and iii) significant accounting estimates and judgements made in determining the transaction price, allocating the transaction price to performance obligations and determining when performance obligations are satisfied.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20" w:right="6760" w:hanging="412"/>
        <w:spacing w:after="0" w:line="503" w:lineRule="auto"/>
        <w:tabs>
          <w:tab w:leader="none" w:pos="39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accounting policies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IFRS 9 Financial Instruments</w:t>
      </w:r>
    </w:p>
    <w:p>
      <w:pPr>
        <w:spacing w:after="0" w:line="1" w:lineRule="exact"/>
        <w:rPr>
          <w:sz w:val="20"/>
          <w:szCs w:val="20"/>
          <w:color w:val="auto"/>
        </w:rPr>
      </w:pPr>
    </w:p>
    <w:p>
      <w:pPr>
        <w:ind w:left="420" w:right="140"/>
        <w:spacing w:after="0" w:line="264" w:lineRule="auto"/>
        <w:rPr>
          <w:sz w:val="20"/>
          <w:szCs w:val="20"/>
          <w:color w:val="auto"/>
        </w:rPr>
      </w:pPr>
      <w:r>
        <w:rPr>
          <w:rFonts w:ascii="Arial" w:cs="Arial" w:eastAsia="Arial" w:hAnsi="Arial"/>
          <w:sz w:val="18"/>
          <w:szCs w:val="18"/>
          <w:color w:val="auto"/>
        </w:rPr>
        <w:t>IFRS 9 applies to the Groups financial statements beginning 1 January 2018. IFRS 9 sets out requirements for recognising and measuring financial assets, financial liabilities and some contracts to buy or sell non-financial items. This standard replaces IAS 39 Financial Instruments: Recognition and Measurement.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Classification and measurement of financial assets and financial liabilities</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IFRS 9 contains three principal classification categories for financial assets: measured at amortised cost, fair value through other comprehensive income (FVOCI) and fair value through profit or loss (FVTPL). The classification of financial assets under IFRS 9 is generally based on the business model in which a financial asset is managed and its contractual cash flow characteristics. IFRS 9 eliminates the previous IAS 39 categories of held to maturity, loans and receivables and available for sale. IFRS 9 largely retains the existing requirements in IAS 39 for the classification and measurement of financial liabilities. The adoption of IFRS 9 has not had a significant effect on the Group’s accounting policies related to financial liabilities and derivative financial instruments.</w:t>
      </w:r>
    </w:p>
    <w:p>
      <w:pPr>
        <w:spacing w:after="0" w:line="193"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The following table sets out the original measurement categories under IAS 39 and the new measurement categories under IFRS 9 for each class of the Group’s financial assets and financial liabilities as at 1 January 2018.</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Original classification</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0"/>
              </w:rPr>
              <w:t>New 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under IAS 39</w:t>
            </w: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7"/>
              </w:rPr>
              <w:t>under IFRS 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Loans and receivable</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Amortised cost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Loans and receivable</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Amortised cost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5"/>
              </w:rPr>
              <w:t>Other financial liabilities</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Other financial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Loans and borrowing</w:t>
            </w:r>
          </w:p>
        </w:tc>
        <w:tc>
          <w:tcPr>
            <w:tcW w:w="30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Other financial liabilities</w:t>
            </w:r>
          </w:p>
        </w:tc>
        <w:tc>
          <w:tcPr>
            <w:tcW w:w="2860" w:type="dxa"/>
            <w:vAlign w:val="bottom"/>
          </w:tcPr>
          <w:p>
            <w:pPr>
              <w:jc w:val="center"/>
              <w:spacing w:after="0"/>
              <w:rPr>
                <w:sz w:val="20"/>
                <w:szCs w:val="20"/>
                <w:color w:val="auto"/>
              </w:rPr>
            </w:pPr>
            <w:r>
              <w:rPr>
                <w:rFonts w:ascii="Arial" w:cs="Arial" w:eastAsia="Arial" w:hAnsi="Arial"/>
                <w:sz w:val="18"/>
                <w:szCs w:val="18"/>
                <w:color w:val="auto"/>
                <w:w w:val="95"/>
              </w:rPr>
              <w:t>Other financial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Embedded financial liabilities</w:t>
            </w:r>
          </w:p>
        </w:tc>
        <w:tc>
          <w:tcPr>
            <w:tcW w:w="3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FVPTL</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FVPTL</w:t>
            </w:r>
          </w:p>
        </w:tc>
        <w:tc>
          <w:tcPr>
            <w:tcW w:w="0" w:type="dxa"/>
            <w:vAlign w:val="bottom"/>
          </w:tcPr>
          <w:p>
            <w:pPr>
              <w:spacing w:after="0"/>
              <w:rPr>
                <w:sz w:val="1"/>
                <w:szCs w:val="1"/>
                <w:color w:val="auto"/>
              </w:rPr>
            </w:pPr>
          </w:p>
        </w:tc>
      </w:tr>
      <w:tr>
        <w:trPr>
          <w:trHeight w:val="432"/>
        </w:trPr>
        <w:tc>
          <w:tcPr>
            <w:tcW w:w="4660" w:type="dxa"/>
            <w:vAlign w:val="bottom"/>
            <w:gridSpan w:val="2"/>
          </w:tcPr>
          <w:p>
            <w:pPr>
              <w:spacing w:after="0"/>
              <w:rPr>
                <w:sz w:val="20"/>
                <w:szCs w:val="20"/>
                <w:color w:val="auto"/>
              </w:rPr>
            </w:pPr>
            <w:r>
              <w:rPr>
                <w:rFonts w:ascii="Arial" w:cs="Arial" w:eastAsia="Arial" w:hAnsi="Arial"/>
                <w:sz w:val="18"/>
                <w:szCs w:val="18"/>
                <w:color w:val="auto"/>
              </w:rPr>
              <w:t>ii. Impairment of financial assets</w:t>
            </w:r>
          </w:p>
        </w:tc>
        <w:tc>
          <w:tcPr>
            <w:tcW w:w="2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IFRS 9 replaces the ‘incurred loss’ model in IAS 39 with an ‘expected credit loss’ model. The new impairment model applies to financial assets measured at amortised cost.</w:t>
      </w:r>
    </w:p>
    <w:p>
      <w:pPr>
        <w:spacing w:after="0" w:line="170"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For assets in the scope of the IFRS 9 impairment model, impairment losses are generally expected to increase and become more volatile. The Group has determined that the application of IFRS 9’s impairment requirements at 1 January 2018 did not result in a material additional allowance for impairment.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IFRS 16 Leases</w:t>
      </w:r>
    </w:p>
    <w:p>
      <w:pPr>
        <w:spacing w:after="0" w:line="225" w:lineRule="exact"/>
        <w:rPr>
          <w:sz w:val="20"/>
          <w:szCs w:val="20"/>
          <w:color w:val="auto"/>
        </w:rPr>
      </w:pPr>
    </w:p>
    <w:p>
      <w:pPr>
        <w:ind w:left="420" w:right="20"/>
        <w:spacing w:after="0" w:line="259" w:lineRule="auto"/>
        <w:rPr>
          <w:sz w:val="20"/>
          <w:szCs w:val="20"/>
          <w:color w:val="auto"/>
        </w:rPr>
      </w:pPr>
      <w:r>
        <w:rPr>
          <w:rFonts w:ascii="Arial" w:cs="Arial" w:eastAsia="Arial" w:hAnsi="Arial"/>
          <w:sz w:val="18"/>
          <w:szCs w:val="18"/>
          <w:color w:val="auto"/>
        </w:rPr>
        <w:t>IFRS 16 applies to the Groups financial statements beginning 1 January 2019. IFRS 16 specifies how an entity will recognise, measure, present and disclose leases. The standard provides a single lessee accounting model, requiring lessees to recognise assets and liabilities for all leases unless the lease term is 12 months or less or the underlying asset has a low value. The Group is currently assessing the impact of adoption of this new accounting standard.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380" w:hanging="372"/>
        <w:spacing w:after="0"/>
        <w:tabs>
          <w:tab w:leader="none" w:pos="3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accounting policies </w:t>
      </w:r>
      <w:r>
        <w:rPr>
          <w:rFonts w:ascii="Arial" w:cs="Arial" w:eastAsia="Arial" w:hAnsi="Arial"/>
          <w:sz w:val="18"/>
          <w:szCs w:val="18"/>
          <w:i w:val="1"/>
          <w:iCs w:val="1"/>
          <w:color w:val="auto"/>
        </w:rPr>
        <w:t>(continued)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consolidated financial statements include the financial statements of the Company and all of its subsidiary undertakings.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ind w:left="420" w:right="760"/>
        <w:spacing w:after="0" w:line="277" w:lineRule="auto"/>
        <w:rPr>
          <w:sz w:val="20"/>
          <w:szCs w:val="20"/>
          <w:color w:val="auto"/>
        </w:rPr>
      </w:pPr>
      <w:r>
        <w:rPr>
          <w:rFonts w:ascii="Arial" w:cs="Arial" w:eastAsia="Arial" w:hAnsi="Arial"/>
          <w:sz w:val="18"/>
          <w:szCs w:val="18"/>
          <w:color w:val="auto"/>
        </w:rPr>
        <w:t>Subsidiaries are entities controlled by the Group. The Group controls an entity when it is exposed to, or has rights to, variable returns from its involvement with the entity and has the ability to affect those returns through its power over the entity.</w:t>
      </w:r>
    </w:p>
    <w:p>
      <w:pPr>
        <w:spacing w:after="0" w:line="170"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color w:val="auto"/>
        </w:rPr>
        <w:t>Subsidiaries are fully consolidated from the date on which control is transferred to the Group. Where necessary, adjustments are made to the financial statements of subsidiaries to bring their accounting policies in line with those used by the Group.</w:t>
      </w:r>
    </w:p>
    <w:p>
      <w:pPr>
        <w:spacing w:after="0" w:line="170" w:lineRule="exact"/>
        <w:rPr>
          <w:sz w:val="20"/>
          <w:szCs w:val="20"/>
          <w:color w:val="auto"/>
        </w:rPr>
      </w:pPr>
    </w:p>
    <w:p>
      <w:pPr>
        <w:ind w:left="420" w:right="240"/>
        <w:spacing w:after="0" w:line="286" w:lineRule="auto"/>
        <w:rPr>
          <w:sz w:val="20"/>
          <w:szCs w:val="20"/>
          <w:color w:val="auto"/>
        </w:rPr>
      </w:pPr>
      <w:r>
        <w:rPr>
          <w:rFonts w:ascii="Arial" w:cs="Arial" w:eastAsia="Arial" w:hAnsi="Arial"/>
          <w:sz w:val="17"/>
          <w:szCs w:val="17"/>
          <w:color w:val="auto"/>
        </w:rPr>
        <w:t>Non-controlling interest (“NCI”) represents the portion of the equity (or net assets) of a subsidiary not attributable, either directly or indirectly, to the Group and is presented separately in the consolidated income statements (“income statement”) and within equity in the consolidated statement of financial position (“statement of financial position”), distinguished from the Company’s shareholders’ equity.</w:t>
      </w:r>
    </w:p>
    <w:p>
      <w:pPr>
        <w:spacing w:after="0" w:line="166" w:lineRule="exact"/>
        <w:rPr>
          <w:sz w:val="20"/>
          <w:szCs w:val="20"/>
          <w:color w:val="auto"/>
        </w:rPr>
      </w:pPr>
    </w:p>
    <w:p>
      <w:pPr>
        <w:ind w:left="420" w:right="80"/>
        <w:spacing w:after="0" w:line="312" w:lineRule="auto"/>
        <w:rPr>
          <w:sz w:val="20"/>
          <w:szCs w:val="20"/>
          <w:color w:val="auto"/>
        </w:rPr>
      </w:pPr>
      <w:r>
        <w:rPr>
          <w:rFonts w:ascii="Arial" w:cs="Arial" w:eastAsia="Arial" w:hAnsi="Arial"/>
          <w:sz w:val="16"/>
          <w:szCs w:val="16"/>
          <w:color w:val="auto"/>
        </w:rPr>
        <w:t>In a business combination, NCI is measured at its proportionate share of the recognised amount of the subsidiary’s identifiable net asset at the acquisition date. NCI is allocated its share of profit or loss and its share of each component of other comprehensive income and other reserves included in equity, post-acquisition. Changes in the Group’s interest in a subsidiary that do not result in a loss of control are accounted for as equity transactions.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Transactions eliminated on consolidation</w:t>
      </w:r>
    </w:p>
    <w:p>
      <w:pPr>
        <w:spacing w:after="0" w:line="225" w:lineRule="exact"/>
        <w:rPr>
          <w:sz w:val="20"/>
          <w:szCs w:val="20"/>
          <w:color w:val="auto"/>
        </w:rPr>
      </w:pPr>
    </w:p>
    <w:p>
      <w:pPr>
        <w:ind w:left="420" w:right="140"/>
        <w:spacing w:after="0" w:line="264" w:lineRule="auto"/>
        <w:rPr>
          <w:sz w:val="20"/>
          <w:szCs w:val="20"/>
          <w:color w:val="auto"/>
        </w:rPr>
      </w:pPr>
      <w:r>
        <w:rPr>
          <w:rFonts w:ascii="Arial" w:cs="Arial" w:eastAsia="Arial" w:hAnsi="Arial"/>
          <w:sz w:val="18"/>
          <w:szCs w:val="18"/>
          <w:color w:val="auto"/>
        </w:rPr>
        <w:t>Intra-group balances and transactions, and any unrealised income and expenses arising from intra-group transactions, are eliminated in preparing the consolidated financial statements. Unrealised losses are eliminated in the same way as unrealised gains, but only to the extent that there is no evidence of impairment.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Associates</w:t>
      </w:r>
    </w:p>
    <w:p>
      <w:pPr>
        <w:spacing w:after="0" w:line="225" w:lineRule="exact"/>
        <w:rPr>
          <w:sz w:val="20"/>
          <w:szCs w:val="20"/>
          <w:color w:val="auto"/>
        </w:rPr>
      </w:pPr>
    </w:p>
    <w:p>
      <w:pPr>
        <w:ind w:left="420" w:right="20"/>
        <w:spacing w:after="0" w:line="312" w:lineRule="auto"/>
        <w:rPr>
          <w:sz w:val="20"/>
          <w:szCs w:val="20"/>
          <w:color w:val="auto"/>
        </w:rPr>
      </w:pPr>
      <w:r>
        <w:rPr>
          <w:rFonts w:ascii="Arial" w:cs="Arial" w:eastAsia="Arial" w:hAnsi="Arial"/>
          <w:sz w:val="16"/>
          <w:szCs w:val="16"/>
          <w:color w:val="auto"/>
        </w:rPr>
        <w:t>The Group’s interests in equity-accounted investees comprise interests in associates. Associates are those entities in which the Group has significant influence, but not control. Significant influence is the power to participate in the financial and operational policy decisions of an entity but is not control or joint control over those policies. Significant influence generally accompanies a shareholding of between 20% and 50% of voting rights.</w:t>
      </w:r>
    </w:p>
    <w:p>
      <w:pPr>
        <w:spacing w:after="0" w:line="14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Interests in associates are accounted for using the equity method of accounting, from the date significant influence is deemed to exist and are recognised initially at cost, which includes transaction costs.</w:t>
      </w:r>
    </w:p>
    <w:p>
      <w:pPr>
        <w:spacing w:after="0" w:line="170" w:lineRule="exact"/>
        <w:rPr>
          <w:sz w:val="20"/>
          <w:szCs w:val="20"/>
          <w:color w:val="auto"/>
        </w:rPr>
      </w:pPr>
    </w:p>
    <w:p>
      <w:pPr>
        <w:ind w:left="400" w:right="60"/>
        <w:spacing w:after="0" w:line="276" w:lineRule="auto"/>
        <w:rPr>
          <w:sz w:val="20"/>
          <w:szCs w:val="20"/>
          <w:color w:val="auto"/>
        </w:rPr>
      </w:pPr>
      <w:r>
        <w:rPr>
          <w:rFonts w:ascii="Arial" w:cs="Arial" w:eastAsia="Arial" w:hAnsi="Arial"/>
          <w:sz w:val="17"/>
          <w:szCs w:val="17"/>
          <w:color w:val="auto"/>
        </w:rPr>
        <w:t>Under the equity method of accounting, the Group’s share of the post-acquisition profits and losses of associates is recognised in the income statement and its share of post-acquisition movements in certain reserves is recognised directly in comprehensive income/loss. The cumulative post-acquisition share of profits and losses are adjusted against the cost of the investment in associates in the statement of financial position, less any impairment in value. If the Group’s share of losses exceeds the carrying amount of an associate, the carrying amount is reduced to nil and recognition of further losses is discontinued except to the extent that the Group has incurred obligations in respect of the associate.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Group’s investment in associates includes goodwill identified on acquisition, net of any accumulated impairment loss.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accounting policies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420" w:right="20"/>
        <w:spacing w:after="0" w:line="276" w:lineRule="auto"/>
        <w:rPr>
          <w:sz w:val="20"/>
          <w:szCs w:val="20"/>
          <w:color w:val="auto"/>
        </w:rPr>
      </w:pPr>
      <w:r>
        <w:rPr>
          <w:rFonts w:ascii="Arial" w:cs="Arial" w:eastAsia="Arial" w:hAnsi="Arial"/>
          <w:sz w:val="17"/>
          <w:szCs w:val="17"/>
          <w:color w:val="auto"/>
        </w:rPr>
        <w:t>Business combinations are accounted for using the acquisition method when control is transferred to the Group. The cost of an acquisition is measured as the aggregate of the consideration transferred, measured at acquisition date fair value, and the amount of any non-controlling interests in the acquiree. For each business combination, the group elects whether to measure the non-controlling interests in the acquiree at fair value or at the proportionate share of the acquiree’s identifiable net assets. Transaction costs, other than those associated with the issue of debt or equity securities, that we incur in connection with a business combination are expensed as incurred.</w:t>
      </w:r>
    </w:p>
    <w:p>
      <w:pPr>
        <w:spacing w:after="0" w:line="173" w:lineRule="exact"/>
        <w:rPr>
          <w:sz w:val="20"/>
          <w:szCs w:val="20"/>
          <w:color w:val="auto"/>
        </w:rPr>
      </w:pPr>
    </w:p>
    <w:p>
      <w:pPr>
        <w:ind w:left="420" w:right="280"/>
        <w:spacing w:after="0" w:line="277" w:lineRule="auto"/>
        <w:rPr>
          <w:sz w:val="20"/>
          <w:szCs w:val="20"/>
          <w:color w:val="auto"/>
        </w:rPr>
      </w:pPr>
      <w:r>
        <w:rPr>
          <w:rFonts w:ascii="Arial" w:cs="Arial" w:eastAsia="Arial" w:hAnsi="Arial"/>
          <w:sz w:val="18"/>
          <w:szCs w:val="18"/>
          <w:color w:val="auto"/>
        </w:rPr>
        <w:t>For acquisitions achieved in stages, the previously held equity interest in the acquiree is remeasured at its acquisition date fair value and the resulting gain or loss, if any, is recognised in the profit or loss account.</w:t>
      </w:r>
    </w:p>
    <w:p>
      <w:pPr>
        <w:spacing w:after="0" w:line="170"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Goodwill is initially measured as the excess of the fair value of the aggregate of the consideration transferred over the fair value of the identifiable assets acquired and liabilities assumed.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left="400" w:right="100"/>
        <w:spacing w:after="0" w:line="264" w:lineRule="auto"/>
        <w:rPr>
          <w:sz w:val="20"/>
          <w:szCs w:val="20"/>
          <w:color w:val="auto"/>
        </w:rPr>
      </w:pPr>
      <w:r>
        <w:rPr>
          <w:rFonts w:ascii="Arial" w:cs="Arial" w:eastAsia="Arial" w:hAnsi="Arial"/>
          <w:sz w:val="18"/>
          <w:szCs w:val="18"/>
          <w:color w:val="auto"/>
        </w:rPr>
        <w:t>Transactions in foreign currencies are recorded at the rate of exchange prevailing at the date of the transaction. Monetary assets and liabilities denominated in foreign currencies are retranslated at the rate of exchange prevailing at the reporting date. Currency translation differences on monetary assets and liabilities are taken to the income statement.</w:t>
      </w:r>
    </w:p>
    <w:p>
      <w:pPr>
        <w:spacing w:after="0" w:line="181" w:lineRule="exact"/>
        <w:rPr>
          <w:sz w:val="20"/>
          <w:szCs w:val="20"/>
          <w:color w:val="auto"/>
        </w:rPr>
      </w:pPr>
    </w:p>
    <w:p>
      <w:pPr>
        <w:ind w:left="400" w:right="180"/>
        <w:spacing w:after="0" w:line="259" w:lineRule="auto"/>
        <w:rPr>
          <w:sz w:val="20"/>
          <w:szCs w:val="20"/>
          <w:color w:val="auto"/>
        </w:rPr>
      </w:pPr>
      <w:r>
        <w:rPr>
          <w:rFonts w:ascii="Arial" w:cs="Arial" w:eastAsia="Arial" w:hAnsi="Arial"/>
          <w:sz w:val="18"/>
          <w:szCs w:val="18"/>
          <w:color w:val="auto"/>
        </w:rPr>
        <w:t>Results of subsidiaries with non-U.S. dollar functional currencies are translated into U.S. dollar at average exchange rates for the reporting period, and the related statements of financial position are translated at the rates of exchange ruling at the reporting date. Adjustments arising on translation of the results and net assets of non-U.S. dollar associates are recognised in a separate translation reserve within equity. All other translation differences are taken to the income statement.</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Goodwill arising on acquisition of a foreign associate is regarded as an asset of the foreign operation and is translated accordingly.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20" w:right="340"/>
        <w:spacing w:after="0" w:line="277" w:lineRule="auto"/>
        <w:rPr>
          <w:sz w:val="20"/>
          <w:szCs w:val="20"/>
          <w:color w:val="auto"/>
        </w:rPr>
      </w:pPr>
      <w:r>
        <w:rPr>
          <w:rFonts w:ascii="Arial" w:cs="Arial" w:eastAsia="Arial" w:hAnsi="Arial"/>
          <w:sz w:val="18"/>
          <w:szCs w:val="18"/>
          <w:color w:val="auto"/>
        </w:rPr>
        <w:t>Revenues are recognised when there is persuasive evidence that an arrangement exists, significant risks and rewards of ownership of the goods have been transferred to the buyer, the price is fixed or determinable and collectability is reasonably assured.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ind w:left="420" w:right="460"/>
        <w:spacing w:after="0" w:line="277" w:lineRule="auto"/>
        <w:rPr>
          <w:sz w:val="20"/>
          <w:szCs w:val="20"/>
          <w:color w:val="auto"/>
        </w:rPr>
      </w:pPr>
      <w:r>
        <w:rPr>
          <w:rFonts w:ascii="Arial" w:cs="Arial" w:eastAsia="Arial" w:hAnsi="Arial"/>
          <w:sz w:val="18"/>
          <w:szCs w:val="18"/>
          <w:color w:val="auto"/>
        </w:rPr>
        <w:t>Product sales are recognised when title has transferred to the customer and the customer has assumed the risks and rewards of ownership, which is typically on delivery to the customer.</w:t>
      </w:r>
    </w:p>
    <w:p>
      <w:pPr>
        <w:spacing w:after="0" w:line="170" w:lineRule="exact"/>
        <w:rPr>
          <w:sz w:val="20"/>
          <w:szCs w:val="20"/>
          <w:color w:val="auto"/>
        </w:rPr>
      </w:pPr>
    </w:p>
    <w:p>
      <w:pPr>
        <w:ind w:left="420" w:right="300"/>
        <w:spacing w:after="0" w:line="286" w:lineRule="auto"/>
        <w:rPr>
          <w:sz w:val="20"/>
          <w:szCs w:val="20"/>
          <w:color w:val="auto"/>
        </w:rPr>
      </w:pPr>
      <w:r>
        <w:rPr>
          <w:rFonts w:ascii="Arial" w:cs="Arial" w:eastAsia="Arial" w:hAnsi="Arial"/>
          <w:sz w:val="16"/>
          <w:szCs w:val="16"/>
          <w:color w:val="auto"/>
        </w:rPr>
        <w:t>Revenue from sales transactions where the buyer has the right to return the product is recognised at the time of sale only if (i) the seller’s price to the buyer is substantially fixed or determinable at the date of sale, (ii) the buyer has paid the seller, or the buyer is obligated to pay the seller and the obligation is not contingent on resale of the product, (iii) the buyer’s obligation to the seller would not be changed in the event of theft or physical destruction or damage of the product, (iv) the buyer acquiring the product for resale has economic substance apart from that provided by the seller,</w:t>
      </w:r>
    </w:p>
    <w:p>
      <w:pPr>
        <w:spacing w:after="0" w:line="2" w:lineRule="exact"/>
        <w:rPr>
          <w:sz w:val="20"/>
          <w:szCs w:val="20"/>
          <w:color w:val="auto"/>
        </w:rPr>
      </w:pPr>
    </w:p>
    <w:p>
      <w:pPr>
        <w:ind w:left="420" w:right="120" w:hanging="9"/>
        <w:spacing w:after="0" w:line="261" w:lineRule="auto"/>
        <w:tabs>
          <w:tab w:leader="none" w:pos="6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seller does not have significant obligations for future performance to directly bring about resale of the product by the buyer, and (vi) the amount of future returns can be reasonably estimated.</w:t>
      </w:r>
    </w:p>
    <w:p>
      <w:pPr>
        <w:spacing w:after="0" w:line="184" w:lineRule="exact"/>
        <w:rPr>
          <w:sz w:val="20"/>
          <w:szCs w:val="20"/>
          <w:color w:val="auto"/>
        </w:rPr>
      </w:pPr>
    </w:p>
    <w:p>
      <w:pPr>
        <w:ind w:left="420" w:right="320"/>
        <w:spacing w:after="0" w:line="279" w:lineRule="auto"/>
        <w:rPr>
          <w:sz w:val="20"/>
          <w:szCs w:val="20"/>
          <w:color w:val="auto"/>
        </w:rPr>
      </w:pPr>
      <w:r>
        <w:rPr>
          <w:rFonts w:ascii="Arial" w:cs="Arial" w:eastAsia="Arial" w:hAnsi="Arial"/>
          <w:sz w:val="17"/>
          <w:szCs w:val="17"/>
          <w:color w:val="auto"/>
        </w:rPr>
        <w:t>Revenues from sales of products are recorded net of estimated allowances for returns, specialty distributor fees, wholesaler fees, prompt payment discounts, government rebates, chargebacks and rebates under managed care plans. Provisions for returns, specialty distributor fees, wholesaler fees, government rebates and rebates under managed care plans are included within current liabilities in our consolidated balance sheet. Provisions for chargebacks and prompt payment discounts are generally shown as a reduction in accounts receivable.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accounting policies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color w:val="auto"/>
        </w:rPr>
        <w:t>Intangible assets acquired separately are measured on initial recognition at cost. Following initial recognition, intangible assets are carried at cost less any accumulated amortisation and accumulated impairment losses.</w:t>
      </w:r>
    </w:p>
    <w:p>
      <w:pPr>
        <w:spacing w:after="0" w:line="170" w:lineRule="exact"/>
        <w:rPr>
          <w:sz w:val="20"/>
          <w:szCs w:val="20"/>
          <w:color w:val="auto"/>
        </w:rPr>
      </w:pPr>
    </w:p>
    <w:p>
      <w:pPr>
        <w:ind w:left="420" w:right="120"/>
        <w:spacing w:after="0" w:line="277" w:lineRule="auto"/>
        <w:rPr>
          <w:sz w:val="20"/>
          <w:szCs w:val="20"/>
          <w:color w:val="auto"/>
        </w:rPr>
      </w:pPr>
      <w:r>
        <w:rPr>
          <w:rFonts w:ascii="Arial" w:cs="Arial" w:eastAsia="Arial" w:hAnsi="Arial"/>
          <w:sz w:val="18"/>
          <w:szCs w:val="18"/>
          <w:color w:val="auto"/>
        </w:rPr>
        <w:t>Internally generated intangible assets, excluding capitalised development costs, are not capitalised and expenditure is reflected in the income statement in the year in which the expenditure is incurred.</w:t>
      </w:r>
    </w:p>
    <w:p>
      <w:pPr>
        <w:spacing w:after="0" w:line="170" w:lineRule="exact"/>
        <w:rPr>
          <w:sz w:val="20"/>
          <w:szCs w:val="20"/>
          <w:color w:val="auto"/>
        </w:rPr>
      </w:pPr>
    </w:p>
    <w:p>
      <w:pPr>
        <w:ind w:left="420" w:right="140"/>
        <w:spacing w:after="0" w:line="255" w:lineRule="auto"/>
        <w:rPr>
          <w:sz w:val="20"/>
          <w:szCs w:val="20"/>
          <w:color w:val="auto"/>
        </w:rPr>
      </w:pPr>
      <w:r>
        <w:rPr>
          <w:rFonts w:ascii="Arial" w:cs="Arial" w:eastAsia="Arial" w:hAnsi="Arial"/>
          <w:sz w:val="18"/>
          <w:szCs w:val="18"/>
          <w:color w:val="auto"/>
        </w:rPr>
        <w:t>Intangible assets available for use consist primarily of purchased developed technology and intellectual property and are amortised on a straight-line basis over their estimated useful lives, which range from 8 to 10 years, and are assessed for impairment whenever there is an indication that the intangible asset may be impaired. The amortisation period and the amortisation method for an intangible asset with a finite useful life is reviewed at least at the end of each reporting period. Changes in the expected useful life or the expected pattern of consumption of future economic benefits embodied in the asset is accounted for by changing the amortisation period or method, as appropriate, and are treated as changes in accounting estimates. The amortisation expense on intangible assets with finite lives is recognised in the income statement in the expense category consistent with the function of the intangible assets.</w:t>
      </w:r>
    </w:p>
    <w:p>
      <w:pPr>
        <w:spacing w:after="0" w:line="189"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Intangible assets not yet ready for use comprise acquired In-Process Research &amp; Development, or IPR&amp;D. IPR&amp;D is not amortised but tested for impairment on an annual basis or when facts and circumstances warrant an impairment test. Any impairment charge is recorded in profit or loss. If and when development is complete, which generally occurs when regulatory approval to market a product is obtained, the associated assets would then be amortised over their estimated useful lives.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of non-financial assets</w:t>
      </w:r>
    </w:p>
    <w:p>
      <w:pPr>
        <w:spacing w:after="0" w:line="225" w:lineRule="exact"/>
        <w:rPr>
          <w:sz w:val="20"/>
          <w:szCs w:val="20"/>
          <w:color w:val="auto"/>
        </w:rPr>
      </w:pPr>
    </w:p>
    <w:p>
      <w:pPr>
        <w:ind w:left="420" w:right="220"/>
        <w:spacing w:after="0" w:line="264" w:lineRule="auto"/>
        <w:rPr>
          <w:sz w:val="20"/>
          <w:szCs w:val="20"/>
          <w:color w:val="auto"/>
        </w:rPr>
      </w:pPr>
      <w:r>
        <w:rPr>
          <w:rFonts w:ascii="Arial" w:cs="Arial" w:eastAsia="Arial" w:hAnsi="Arial"/>
          <w:sz w:val="18"/>
          <w:szCs w:val="18"/>
          <w:color w:val="auto"/>
        </w:rPr>
        <w:t>The carrying amounts of depreciable non-financial assets are reviewed at each reporting date to determine whether there is any indication of impairment. Non-depreciable intangible assets, which comprise assets not yet ready for use are tested annually for impairment and additionally if any indicators of impairment are identified.</w:t>
      </w:r>
    </w:p>
    <w:p>
      <w:pPr>
        <w:spacing w:after="0" w:line="181"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color w:val="auto"/>
        </w:rPr>
        <w:t>An impairment loss is recognised when the carrying amount of an asset exceeds its recoverable amount. Impairment losses are recognised in the income statement.</w:t>
      </w:r>
    </w:p>
    <w:p>
      <w:pPr>
        <w:spacing w:after="0" w:line="170" w:lineRule="exact"/>
        <w:rPr>
          <w:sz w:val="20"/>
          <w:szCs w:val="20"/>
          <w:color w:val="auto"/>
        </w:rPr>
      </w:pPr>
    </w:p>
    <w:p>
      <w:pPr>
        <w:ind w:left="420"/>
        <w:spacing w:after="0" w:line="259" w:lineRule="auto"/>
        <w:rPr>
          <w:sz w:val="20"/>
          <w:szCs w:val="20"/>
          <w:color w:val="auto"/>
        </w:rPr>
      </w:pPr>
      <w:r>
        <w:rPr>
          <w:rFonts w:ascii="Arial" w:cs="Arial" w:eastAsia="Arial" w:hAnsi="Arial"/>
          <w:sz w:val="18"/>
          <w:szCs w:val="18"/>
          <w:color w:val="auto"/>
        </w:rPr>
        <w:t>The recoverable amount of assets is the greater of their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an asset that does not generate largely independent cash inflows, the recoverable amount is determined for the cash generating unit to which the asset belongs.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380" w:hanging="372"/>
        <w:spacing w:after="0"/>
        <w:tabs>
          <w:tab w:leader="none" w:pos="3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accounting policies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Current and deferred income tax</w:t>
      </w:r>
    </w:p>
    <w:p>
      <w:pPr>
        <w:spacing w:after="0" w:line="225"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Tax expense comprises current and deferred income tax. Tax expense is recognised in the statement of comprehensive income except to the extent that it relates to items recognised directly in equity, in which case it is recognised in equity.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Current income tax</w:t>
      </w:r>
    </w:p>
    <w:p>
      <w:pPr>
        <w:spacing w:after="0" w:line="225" w:lineRule="exact"/>
        <w:rPr>
          <w:sz w:val="20"/>
          <w:szCs w:val="20"/>
          <w:color w:val="auto"/>
        </w:rPr>
      </w:pPr>
    </w:p>
    <w:p>
      <w:pPr>
        <w:ind w:left="420" w:right="480"/>
        <w:spacing w:after="0" w:line="277" w:lineRule="auto"/>
        <w:rPr>
          <w:sz w:val="20"/>
          <w:szCs w:val="20"/>
          <w:color w:val="auto"/>
        </w:rPr>
      </w:pPr>
      <w:r>
        <w:rPr>
          <w:rFonts w:ascii="Arial" w:cs="Arial" w:eastAsia="Arial" w:hAnsi="Arial"/>
          <w:sz w:val="18"/>
          <w:szCs w:val="18"/>
          <w:color w:val="auto"/>
        </w:rPr>
        <w:t>Current income tax is the expected tax payable on the taxable income for the year using tax rates and laws that have been enacted or substantively enacted at the reporting date, and any adjustment to tax payable in respect of previous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Deferred income tax</w:t>
      </w:r>
    </w:p>
    <w:p>
      <w:pPr>
        <w:spacing w:after="0" w:line="225" w:lineRule="exact"/>
        <w:rPr>
          <w:sz w:val="20"/>
          <w:szCs w:val="20"/>
          <w:color w:val="auto"/>
        </w:rPr>
      </w:pPr>
    </w:p>
    <w:p>
      <w:pPr>
        <w:ind w:left="420"/>
        <w:spacing w:after="0" w:line="297" w:lineRule="auto"/>
        <w:rPr>
          <w:sz w:val="20"/>
          <w:szCs w:val="20"/>
          <w:color w:val="auto"/>
        </w:rPr>
      </w:pPr>
      <w:r>
        <w:rPr>
          <w:rFonts w:ascii="Arial" w:cs="Arial" w:eastAsia="Arial" w:hAnsi="Arial"/>
          <w:sz w:val="16"/>
          <w:szCs w:val="16"/>
          <w:color w:val="auto"/>
        </w:rPr>
        <w:t>Deferred income tax is provided using the balance sheet liability method providing for temporary differences between the carrying amounts of assets and liabilities for financial reporting purposes and the amounts used for taxation purposes. The amount of deferred tax provided is based on the expected manner of realisation or settlement of the carrying amount of assets and liabilities at rates expected to apply in the period when the liability is settled, or the asset is recovered. A deferred tax asset is only recognised to the extent that it is probable that future taxable profits will be available against which the asset can be utilised. Deferred tax assets are reduced to the extent that it is no longer probable that the related income tax benefit will be realised.</w:t>
      </w:r>
    </w:p>
    <w:p>
      <w:pPr>
        <w:spacing w:after="0" w:line="158" w:lineRule="exact"/>
        <w:rPr>
          <w:sz w:val="20"/>
          <w:szCs w:val="20"/>
          <w:color w:val="auto"/>
        </w:rPr>
      </w:pPr>
    </w:p>
    <w:p>
      <w:pPr>
        <w:ind w:left="420" w:right="360"/>
        <w:spacing w:after="0" w:line="264" w:lineRule="auto"/>
        <w:rPr>
          <w:sz w:val="20"/>
          <w:szCs w:val="20"/>
          <w:color w:val="auto"/>
        </w:rPr>
      </w:pPr>
      <w:r>
        <w:rPr>
          <w:rFonts w:ascii="Arial" w:cs="Arial" w:eastAsia="Arial" w:hAnsi="Arial"/>
          <w:sz w:val="18"/>
          <w:szCs w:val="18"/>
          <w:color w:val="auto"/>
        </w:rPr>
        <w:t>Deferred tax is charged or credited in the income statement, except when it relates to items charged or credited directly to either comprehensive income/(loss) or shareholders’ equity, in which case the deferred tax is also recorded in either comprehensive income/(loss) or shareholders’ equity, respectively.</w:t>
      </w:r>
    </w:p>
    <w:p>
      <w:pPr>
        <w:spacing w:after="0" w:line="181" w:lineRule="exact"/>
        <w:rPr>
          <w:sz w:val="20"/>
          <w:szCs w:val="20"/>
          <w:color w:val="auto"/>
        </w:rPr>
      </w:pPr>
    </w:p>
    <w:p>
      <w:pPr>
        <w:ind w:left="420" w:right="40"/>
        <w:spacing w:after="0" w:line="277" w:lineRule="auto"/>
        <w:rPr>
          <w:sz w:val="20"/>
          <w:szCs w:val="20"/>
          <w:color w:val="auto"/>
        </w:rPr>
      </w:pPr>
      <w:r>
        <w:rPr>
          <w:rFonts w:ascii="Arial" w:cs="Arial" w:eastAsia="Arial" w:hAnsi="Arial"/>
          <w:sz w:val="18"/>
          <w:szCs w:val="18"/>
          <w:color w:val="auto"/>
        </w:rPr>
        <w:t>Deferred income tax assets and liabilities are offset if there is a legally enforceable right to offset tax liabilities and assets, and they relate to taxes levied by the same tax authority and the same taxable entity.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20" w:right="200"/>
        <w:spacing w:after="0" w:line="264" w:lineRule="auto"/>
        <w:rPr>
          <w:sz w:val="20"/>
          <w:szCs w:val="20"/>
          <w:color w:val="auto"/>
        </w:rPr>
      </w:pPr>
      <w:r>
        <w:rPr>
          <w:rFonts w:ascii="Arial" w:cs="Arial" w:eastAsia="Arial" w:hAnsi="Arial"/>
          <w:sz w:val="18"/>
          <w:szCs w:val="18"/>
          <w:color w:val="auto"/>
        </w:rPr>
        <w:t>Cash and cash equivalents comprise cash balances and call deposits with maturities of three months or less. Cash equivalents are short-term highly liquid investments with an original maturity of three months or less from the date of acquisition that are readily convertible to known amounts of cash and subject to insignificant risk of changes in value.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420" w:right="320"/>
        <w:spacing w:after="0" w:line="277" w:lineRule="auto"/>
        <w:rPr>
          <w:sz w:val="20"/>
          <w:szCs w:val="20"/>
          <w:color w:val="auto"/>
        </w:rPr>
      </w:pPr>
      <w:r>
        <w:rPr>
          <w:rFonts w:ascii="Arial" w:cs="Arial" w:eastAsia="Arial" w:hAnsi="Arial"/>
          <w:sz w:val="18"/>
          <w:szCs w:val="18"/>
          <w:color w:val="auto"/>
        </w:rPr>
        <w:t>Expenditure on research activities, undertaken with the prospect of gaining new scientific or technical knowledge and understanding, is expensed as incurred.</w:t>
      </w:r>
    </w:p>
    <w:p>
      <w:pPr>
        <w:spacing w:after="0" w:line="170" w:lineRule="exact"/>
        <w:rPr>
          <w:sz w:val="20"/>
          <w:szCs w:val="20"/>
          <w:color w:val="auto"/>
        </w:rPr>
      </w:pPr>
    </w:p>
    <w:p>
      <w:pPr>
        <w:ind w:left="420" w:right="60"/>
        <w:spacing w:after="0" w:line="259" w:lineRule="auto"/>
        <w:rPr>
          <w:sz w:val="20"/>
          <w:szCs w:val="20"/>
          <w:color w:val="auto"/>
        </w:rPr>
      </w:pPr>
      <w:r>
        <w:rPr>
          <w:rFonts w:ascii="Arial" w:cs="Arial" w:eastAsia="Arial" w:hAnsi="Arial"/>
          <w:sz w:val="18"/>
          <w:szCs w:val="18"/>
          <w:color w:val="auto"/>
        </w:rPr>
        <w:t>An internally-generated intangible asset is recognised only if development costs are measured reliably, the product or process is technically and commercially feasible, future economic benefits are probable, and we intend to, and have sufficient resources to, complete development and to use or sell the asset. We have determined that, to date, the regulatory, clinical or field trial risks inherent in the development of our products currently preclude us from capitalising any development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accounting policies </w:t>
      </w:r>
      <w:r>
        <w:rPr>
          <w:rFonts w:ascii="Arial" w:cs="Arial" w:eastAsia="Arial" w:hAnsi="Arial"/>
          <w:sz w:val="18"/>
          <w:szCs w:val="18"/>
          <w:i w:val="1"/>
          <w:iCs w:val="1"/>
          <w:color w:val="auto"/>
        </w:rPr>
        <w:t>(continued)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225" w:lineRule="exact"/>
        <w:rPr>
          <w:sz w:val="20"/>
          <w:szCs w:val="20"/>
          <w:color w:val="auto"/>
        </w:rPr>
      </w:pPr>
    </w:p>
    <w:p>
      <w:pPr>
        <w:ind w:left="420" w:right="100"/>
        <w:spacing w:after="0" w:line="277" w:lineRule="auto"/>
        <w:rPr>
          <w:sz w:val="20"/>
          <w:szCs w:val="20"/>
          <w:color w:val="auto"/>
        </w:rPr>
      </w:pPr>
      <w:r>
        <w:rPr>
          <w:rFonts w:ascii="Arial" w:cs="Arial" w:eastAsia="Arial" w:hAnsi="Arial"/>
          <w:sz w:val="18"/>
          <w:szCs w:val="18"/>
          <w:color w:val="auto"/>
        </w:rPr>
        <w:t>The Group operates a number of defined contribution retirement plans. Obligations for contributions to defined contribution plans are recognised as an employee benefit expense in profit or loss in the periods during which related services are rendered by employees.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Payments made under operating leases are recognised in profit or loss on a straight-line basis over the term of the lease.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420" w:right="320"/>
        <w:spacing w:after="0" w:line="286" w:lineRule="auto"/>
        <w:rPr>
          <w:sz w:val="20"/>
          <w:szCs w:val="20"/>
          <w:color w:val="auto"/>
        </w:rPr>
      </w:pPr>
      <w:r>
        <w:rPr>
          <w:rFonts w:ascii="Arial" w:cs="Arial" w:eastAsia="Arial" w:hAnsi="Arial"/>
          <w:sz w:val="17"/>
          <w:szCs w:val="17"/>
          <w:color w:val="auto"/>
        </w:rPr>
        <w:t>Items of property, plant and equipment are measured at cost less accumulated depreciation and any accumulated impairment losses. Cost includes expenditure that is directly attributable to the acquisition of the asset. Depreciation is computed using the straight-line method to allocate the cost of property, plant and equipment to their estimated residual values over their estimated useful lives as follows:</w:t>
      </w:r>
    </w:p>
    <w:p>
      <w:pPr>
        <w:spacing w:after="0" w:line="18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fittings</w:t>
            </w:r>
          </w:p>
        </w:tc>
        <w:tc>
          <w:tcPr>
            <w:tcW w:w="2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Equipment</w:t>
            </w:r>
          </w:p>
        </w:tc>
        <w:tc>
          <w:tcPr>
            <w:tcW w:w="2140" w:type="dxa"/>
            <w:vAlign w:val="bottom"/>
          </w:tcPr>
          <w:p>
            <w:pPr>
              <w:ind w:left="90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1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3 years</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methods, useful lives and residual values are reviewed at each reporting date and adjusted if appropriate.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420"/>
        <w:spacing w:after="0" w:line="259" w:lineRule="auto"/>
        <w:rPr>
          <w:sz w:val="20"/>
          <w:szCs w:val="20"/>
          <w:color w:val="auto"/>
        </w:rPr>
      </w:pPr>
      <w:r>
        <w:rPr>
          <w:rFonts w:ascii="Arial" w:cs="Arial" w:eastAsia="Arial" w:hAnsi="Arial"/>
          <w:sz w:val="18"/>
          <w:szCs w:val="18"/>
          <w:color w:val="auto"/>
        </w:rPr>
        <w:t>Inventories are stated at the lower of cost and net realisable value. In the case of raw materials, work in progress and finished goods, cost is calculated on a first-in, first-out basis and includes the expenditure incurred in acquiring inventories and bringing them to their existing location and condition. Net realisable value is the estimated selling price in the ordinary course of business, less estimated costs of completion and the estimated costs necessary to make the sale.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225" w:lineRule="exact"/>
        <w:rPr>
          <w:sz w:val="20"/>
          <w:szCs w:val="20"/>
          <w:color w:val="auto"/>
        </w:rPr>
      </w:pPr>
    </w:p>
    <w:p>
      <w:pPr>
        <w:ind w:left="420" w:right="360"/>
        <w:spacing w:after="0" w:line="342" w:lineRule="auto"/>
        <w:rPr>
          <w:sz w:val="20"/>
          <w:szCs w:val="20"/>
          <w:color w:val="auto"/>
        </w:rPr>
      </w:pPr>
      <w:r>
        <w:rPr>
          <w:rFonts w:ascii="Arial" w:cs="Arial" w:eastAsia="Arial" w:hAnsi="Arial"/>
          <w:sz w:val="16"/>
          <w:szCs w:val="16"/>
          <w:color w:val="auto"/>
        </w:rPr>
        <w:t>Trade receivables are recognised initially at fair value and then carried at amortised cost less allowance for impairment. Appropriate allowances for estimated irrecoverable amounts are recognised in the income statement when there is objective evidence that the asset is impaired.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Finance income and costs</w:t>
      </w:r>
    </w:p>
    <w:p>
      <w:pPr>
        <w:spacing w:after="0" w:line="225"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color w:val="auto"/>
        </w:rPr>
        <w:t>Finance income comprises interest income on funds invested. Interest income is recognised as it accrues in the income statement, using the effective interest method.</w:t>
      </w:r>
    </w:p>
    <w:p>
      <w:pPr>
        <w:spacing w:after="0" w:line="170" w:lineRule="exact"/>
        <w:rPr>
          <w:sz w:val="20"/>
          <w:szCs w:val="20"/>
          <w:color w:val="auto"/>
        </w:rPr>
      </w:pPr>
    </w:p>
    <w:p>
      <w:pPr>
        <w:ind w:left="420" w:right="600"/>
        <w:spacing w:after="0" w:line="277" w:lineRule="auto"/>
        <w:rPr>
          <w:sz w:val="20"/>
          <w:szCs w:val="20"/>
          <w:color w:val="auto"/>
        </w:rPr>
      </w:pPr>
      <w:r>
        <w:rPr>
          <w:rFonts w:ascii="Arial" w:cs="Arial" w:eastAsia="Arial" w:hAnsi="Arial"/>
          <w:sz w:val="18"/>
          <w:szCs w:val="18"/>
          <w:color w:val="auto"/>
        </w:rPr>
        <w:t>Finance costs comprise interest expense on borrowings, and bank charges. All borrowing costs are recognised in the income statement using the effective interest method.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left="420" w:right="60"/>
        <w:spacing w:after="0" w:line="277" w:lineRule="auto"/>
        <w:rPr>
          <w:sz w:val="20"/>
          <w:szCs w:val="20"/>
          <w:color w:val="auto"/>
        </w:rPr>
      </w:pPr>
      <w:r>
        <w:rPr>
          <w:rFonts w:ascii="Arial" w:cs="Arial" w:eastAsia="Arial" w:hAnsi="Arial"/>
          <w:sz w:val="18"/>
          <w:szCs w:val="18"/>
          <w:color w:val="auto"/>
        </w:rPr>
        <w:t>Ordinary shares are classified as equity. Incremental costs directly attributable to the issue of ordinary shares are recognised as a deduction from equity, net of any tax effects.</w:t>
      </w:r>
    </w:p>
    <w:p>
      <w:pPr>
        <w:spacing w:after="0" w:line="170" w:lineRule="exact"/>
        <w:rPr>
          <w:sz w:val="20"/>
          <w:szCs w:val="20"/>
          <w:color w:val="auto"/>
        </w:rPr>
      </w:pPr>
    </w:p>
    <w:p>
      <w:pPr>
        <w:ind w:left="420" w:right="560"/>
        <w:spacing w:after="0" w:line="277" w:lineRule="auto"/>
        <w:rPr>
          <w:sz w:val="20"/>
          <w:szCs w:val="20"/>
          <w:color w:val="auto"/>
        </w:rPr>
      </w:pPr>
      <w:r>
        <w:rPr>
          <w:rFonts w:ascii="Arial" w:cs="Arial" w:eastAsia="Arial" w:hAnsi="Arial"/>
          <w:sz w:val="18"/>
          <w:szCs w:val="18"/>
          <w:color w:val="auto"/>
        </w:rPr>
        <w:t>Ordinary declared as final dividends are recognised as a liability in the period in which they are approved by shareholders. Interim dividends are recognised as a liability when declared.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380" w:hanging="372"/>
        <w:spacing w:after="0"/>
        <w:tabs>
          <w:tab w:leader="none" w:pos="3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accounting policies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liabilities</w:t>
      </w:r>
    </w:p>
    <w:p>
      <w:pPr>
        <w:spacing w:after="0" w:line="225" w:lineRule="exact"/>
        <w:rPr>
          <w:sz w:val="20"/>
          <w:szCs w:val="20"/>
          <w:color w:val="auto"/>
        </w:rPr>
      </w:pPr>
    </w:p>
    <w:p>
      <w:pPr>
        <w:ind w:left="420" w:right="520"/>
        <w:spacing w:after="0" w:line="277" w:lineRule="auto"/>
        <w:rPr>
          <w:sz w:val="20"/>
          <w:szCs w:val="20"/>
          <w:color w:val="auto"/>
        </w:rPr>
      </w:pPr>
      <w:r>
        <w:rPr>
          <w:rFonts w:ascii="Arial" w:cs="Arial" w:eastAsia="Arial" w:hAnsi="Arial"/>
          <w:sz w:val="18"/>
          <w:szCs w:val="18"/>
          <w:color w:val="auto"/>
        </w:rPr>
        <w:t>Financial liabilities are recognised initially on the date that the Group becomes a party to the contractual provisions of the instrument. A financial liability is derecognised when the Group’s contractual obligations are discharged, cancelled or expire.</w:t>
      </w:r>
    </w:p>
    <w:p>
      <w:pPr>
        <w:spacing w:after="0" w:line="170" w:lineRule="exact"/>
        <w:rPr>
          <w:sz w:val="20"/>
          <w:szCs w:val="20"/>
          <w:color w:val="auto"/>
        </w:rPr>
      </w:pPr>
    </w:p>
    <w:p>
      <w:pPr>
        <w:ind w:left="420"/>
        <w:spacing w:after="0" w:line="279" w:lineRule="auto"/>
        <w:rPr>
          <w:sz w:val="20"/>
          <w:szCs w:val="20"/>
          <w:color w:val="auto"/>
        </w:rPr>
      </w:pPr>
      <w:r>
        <w:rPr>
          <w:rFonts w:ascii="Arial" w:cs="Arial" w:eastAsia="Arial" w:hAnsi="Arial"/>
          <w:sz w:val="17"/>
          <w:szCs w:val="17"/>
          <w:color w:val="auto"/>
        </w:rPr>
        <w:t>Financial liabilities comprise loans and borrowings and trade and other payables. Such financial liabilities are recognised initially at fair value less any directly attributable transaction costs. Subsequent to initial recognition, these financial liabilities are measured at amortised cost using the effective interest method. Amortised cost is calculated by taking into account any discount or premium on acquisition and fees or costs that are an integral part of the effective interest rate. The effective interest rate amortisation is included in finance expense in the income statement.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225" w:lineRule="exact"/>
        <w:rPr>
          <w:sz w:val="20"/>
          <w:szCs w:val="20"/>
          <w:color w:val="auto"/>
        </w:rPr>
      </w:pPr>
    </w:p>
    <w:p>
      <w:pPr>
        <w:ind w:left="420"/>
        <w:spacing w:after="0" w:line="286" w:lineRule="auto"/>
        <w:rPr>
          <w:sz w:val="20"/>
          <w:szCs w:val="20"/>
          <w:color w:val="auto"/>
        </w:rPr>
      </w:pPr>
      <w:r>
        <w:rPr>
          <w:rFonts w:ascii="Arial" w:cs="Arial" w:eastAsia="Arial" w:hAnsi="Arial"/>
          <w:sz w:val="17"/>
          <w:szCs w:val="17"/>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as fair value through profit and loss. These embedded derivatives are measured at fair value with changes in fair value recognised in profit or loss.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25" w:lineRule="exact"/>
        <w:rPr>
          <w:sz w:val="20"/>
          <w:szCs w:val="20"/>
          <w:color w:val="auto"/>
        </w:rPr>
      </w:pPr>
    </w:p>
    <w:p>
      <w:pPr>
        <w:jc w:val="both"/>
        <w:ind w:left="420" w:right="120"/>
        <w:spacing w:after="0" w:line="286" w:lineRule="auto"/>
        <w:rPr>
          <w:sz w:val="20"/>
          <w:szCs w:val="20"/>
          <w:color w:val="auto"/>
        </w:rPr>
      </w:pPr>
      <w:r>
        <w:rPr>
          <w:rFonts w:ascii="Arial" w:cs="Arial" w:eastAsia="Arial" w:hAnsi="Arial"/>
          <w:sz w:val="17"/>
          <w:szCs w:val="17"/>
          <w:color w:val="auto"/>
        </w:rPr>
        <w:t>Share-based payment expense for share options awarded to employees is measured and recognised based on their estimated grant date fair values. The fair value of the award is calculated using the Black-Scholes option pricing model. The value of awards expected to vest is recognised as an expense in the income statement over the requisite service periods together with a corresponding increase in equity.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rFonts w:ascii="Arial" w:cs="Arial" w:eastAsia="Arial" w:hAnsi="Arial"/>
          <w:sz w:val="18"/>
          <w:szCs w:val="18"/>
          <w:b w:val="1"/>
          <w:bCs w:val="1"/>
          <w:color w:val="auto"/>
        </w:rPr>
      </w:pPr>
    </w:p>
    <w:p>
      <w:pPr>
        <w:ind w:left="42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2014, the Group through Adapt Pharma Limited invested in Avectas Limited (‘Avectas’) acquiring a 29.33% equity interest in Avectas. Avectas is an Irish incorporated company which is involved in the research and development of delivery platform technology with a focus on gene and cellular therapy. Avectas is a private entity that is not listed on any public exchange.</w:t>
      </w:r>
    </w:p>
    <w:p>
      <w:pPr>
        <w:spacing w:after="0" w:line="181" w:lineRule="exact"/>
        <w:rPr>
          <w:rFonts w:ascii="Arial" w:cs="Arial" w:eastAsia="Arial" w:hAnsi="Arial"/>
          <w:sz w:val="18"/>
          <w:szCs w:val="18"/>
          <w:b w:val="1"/>
          <w:bCs w:val="1"/>
          <w:color w:val="auto"/>
        </w:rPr>
      </w:pPr>
    </w:p>
    <w:p>
      <w:pPr>
        <w:ind w:left="42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October 2015, the Group entered into a loan agreement with Avectas. Under the terms of the agreement, the Group provided a euro denominated loan with an aggregate principal amount of €1.5 million to Avectas. Avectas drew down the loan in October 2015. On 18 April 2016, the loan agreement with Avectas was amended. The amended agreement increased the loan facility from the Group to Avectas from €1.5 million to €3.5 million and the repayment date was extended from October 2016 to April 2017. Avectas drew down the incremental loan of €2.0 million on 21 April 2016.</w:t>
      </w:r>
    </w:p>
    <w:p>
      <w:pPr>
        <w:spacing w:after="0" w:line="154"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color w:val="auto"/>
        </w:rPr>
        <w:t>Through to April 2016, the Group’s interest in Avectas was accounted for using the equity method in the consolidated financial statements (see Note 7).</w:t>
      </w:r>
    </w:p>
    <w:p>
      <w:pPr>
        <w:spacing w:after="0" w:line="248" w:lineRule="exact"/>
        <w:rPr>
          <w:rFonts w:ascii="Arial" w:cs="Arial" w:eastAsia="Arial" w:hAnsi="Arial"/>
          <w:sz w:val="18"/>
          <w:szCs w:val="18"/>
          <w:b w:val="1"/>
          <w:bCs w:val="1"/>
          <w:color w:val="auto"/>
        </w:rPr>
      </w:pPr>
    </w:p>
    <w:p>
      <w:pPr>
        <w:jc w:val="both"/>
        <w:ind w:left="42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amending the loan agreement with Avectas Limited, the Group re-assessed whether it controlled Avectas. Giving consideration to all pertinent facts including but not limited to the level of the Company’s equity interest in Avectas and the significant financial support provided by the Group to Avectas through loan facilities, it was determined that the Company controlled Avectas.</w:t>
      </w:r>
    </w:p>
    <w:p>
      <w:pPr>
        <w:spacing w:after="0" w:line="181" w:lineRule="exact"/>
        <w:rPr>
          <w:rFonts w:ascii="Arial" w:cs="Arial" w:eastAsia="Arial" w:hAnsi="Arial"/>
          <w:sz w:val="18"/>
          <w:szCs w:val="18"/>
          <w:b w:val="1"/>
          <w:bCs w:val="1"/>
          <w:color w:val="auto"/>
        </w:rPr>
      </w:pPr>
    </w:p>
    <w:p>
      <w:pPr>
        <w:ind w:left="42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fair value of the assets and liabilities of Avectas Limited at 18 April 2016, being the date that the Group was deemed to control Avectas Limited were included in the consolidated financial statements of the Group at that date. The results of operations of Avectas have been included in the consolidated financial statements of the Group from 18 April 2016. In 2016, the Group’s consolidated income statement included revenues of $0.5 million from the Avectas business as measured from 18 April 2016 to 31 December 2016. If Avectas operations had been consolidated with the Group’s operations from 1 January 2016, there would not have been a material impact on revenue or loss before tax for the Group in 2016. The fair values of assets acquired and liabilities assumed by the Group at 18 April 2016, are summarised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At 18 April 2016</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9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R&amp;D tax credit receivable</w:t>
            </w:r>
          </w:p>
        </w:tc>
        <w:tc>
          <w:tcPr>
            <w:tcW w:w="13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Intangible assets</w:t>
            </w:r>
          </w:p>
        </w:tc>
        <w:tc>
          <w:tcPr>
            <w:tcW w:w="1360" w:type="dxa"/>
            <w:vAlign w:val="bottom"/>
          </w:tcPr>
          <w:p>
            <w:pPr>
              <w:jc w:val="right"/>
              <w:spacing w:after="0"/>
              <w:rPr>
                <w:sz w:val="20"/>
                <w:szCs w:val="20"/>
                <w:color w:val="auto"/>
              </w:rPr>
            </w:pPr>
            <w:r>
              <w:rPr>
                <w:rFonts w:ascii="Arial" w:cs="Arial" w:eastAsia="Arial" w:hAnsi="Arial"/>
                <w:sz w:val="18"/>
                <w:szCs w:val="18"/>
                <w:color w:val="auto"/>
              </w:rPr>
              <w:t>8,056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Derivative financial liability</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Loans advanced by Adapt Pharma</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b w:val="1"/>
                <w:bCs w:val="1"/>
                <w:color w:val="auto"/>
              </w:rPr>
              <w:t>Total identifiable net assets acquired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ind w:left="420"/>
              <w:spacing w:after="0"/>
              <w:rPr>
                <w:sz w:val="20"/>
                <w:szCs w:val="20"/>
                <w:color w:val="auto"/>
              </w:rPr>
            </w:pPr>
            <w:r>
              <w:rPr>
                <w:rFonts w:ascii="Arial" w:cs="Arial" w:eastAsia="Arial" w:hAnsi="Arial"/>
                <w:sz w:val="18"/>
                <w:szCs w:val="18"/>
                <w:color w:val="auto"/>
                <w:w w:val="94"/>
              </w:rPr>
              <w:t>The net assets of the business were split between the Group and the non-controlling interest at 18 April 2016 as follows:</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At 18 April 2016</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90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Group’s interest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9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b w:val="1"/>
                <w:bCs w:val="1"/>
                <w:color w:val="auto"/>
              </w:rPr>
              <w:t>Total identifiable net assets acquired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jc w:val="right"/>
              <w:ind w:right="3550"/>
              <w:spacing w:after="0"/>
              <w:rPr>
                <w:sz w:val="20"/>
                <w:szCs w:val="20"/>
                <w:color w:val="auto"/>
              </w:rPr>
            </w:pPr>
            <w:r>
              <w:rPr>
                <w:rFonts w:ascii="Arial" w:cs="Arial" w:eastAsia="Arial" w:hAnsi="Arial"/>
                <w:sz w:val="18"/>
                <w:szCs w:val="18"/>
                <w:color w:val="auto"/>
              </w:rPr>
              <w:t>19</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4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90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April 2017, the Group through Adapt Pharma Limited invested a further US$2.7million (€2.5 million) in Avectas increasing its equity interest in Avectas from 29.33% to 45.24%. At the same time, non-controlling shareholders of Avectas invested a further US$0.6 million in Avectas. Of the US$0.6 million invested, US$0.4 million was raised through the issuance of shares in Avectas and US$0.2 million through the conversion of an outstanding loan into shares in Avectas. The change in the Group’s interest in Avectas in 2017 has been accounted for as an equity transaction by way of an increase of US$1.4 million to non-controlling interest within equity, representing an increase in the portion of the net assets of Avectas attributable to non-controlling shareholders.</w:t>
      </w:r>
    </w:p>
    <w:p>
      <w:pPr>
        <w:spacing w:after="0" w:line="193" w:lineRule="exact"/>
        <w:rPr>
          <w:rFonts w:ascii="Arial" w:cs="Arial" w:eastAsia="Arial" w:hAnsi="Arial"/>
          <w:sz w:val="18"/>
          <w:szCs w:val="18"/>
          <w:b w:val="1"/>
          <w:bCs w:val="1"/>
          <w:color w:val="auto"/>
        </w:rPr>
      </w:pPr>
    </w:p>
    <w:p>
      <w:pPr>
        <w:ind w:left="400" w:right="8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March 2018, Avectas Limited issued €1.6 million (US$1.9 million) convertible loan notes (“2018 Convertible Loan Notes”). The Company subscribed for €1.5 million (US$1.8 million) of the 2018 Convertible Loan Notes.</w:t>
      </w:r>
    </w:p>
    <w:p>
      <w:pPr>
        <w:spacing w:after="0" w:line="170" w:lineRule="exact"/>
        <w:rPr>
          <w:sz w:val="20"/>
          <w:szCs w:val="20"/>
          <w:color w:val="auto"/>
        </w:rPr>
      </w:pPr>
    </w:p>
    <w:p>
      <w:pPr>
        <w:ind w:left="400" w:right="200"/>
        <w:spacing w:after="0" w:line="264" w:lineRule="auto"/>
        <w:rPr>
          <w:sz w:val="20"/>
          <w:szCs w:val="20"/>
          <w:color w:val="auto"/>
        </w:rPr>
      </w:pPr>
      <w:r>
        <w:rPr>
          <w:rFonts w:ascii="Arial" w:cs="Arial" w:eastAsia="Arial" w:hAnsi="Arial"/>
          <w:sz w:val="18"/>
          <w:szCs w:val="18"/>
          <w:color w:val="auto"/>
        </w:rPr>
        <w:t>In May 2018, following the Company serving notices on Avectas Limited, all outstanding convertible loan notes were converted into 277,777 ordinary shares of Avectas Limited. The Company disposed of its entire investment in Avectas Limited by transferring its investment in Avectas to ALSHC Limited, by way of a distribution. ALSHC Limited is owned by the shareholders of the Company.</w:t>
      </w:r>
    </w:p>
    <w:p>
      <w:pPr>
        <w:spacing w:after="0" w:line="177"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color w:val="auto"/>
        </w:rPr>
        <w:t>Revenue is primarily derived from the Group’s main activity and principally comprises revenue from the sale of the Group’s pharmaceutical products.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660" w:type="dxa"/>
            <w:vAlign w:val="bottom"/>
            <w:gridSpan w:val="2"/>
          </w:tcPr>
          <w:p>
            <w:pPr>
              <w:jc w:val="center"/>
              <w:ind w:left="2215"/>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3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Sale of goods</w:t>
            </w:r>
          </w:p>
        </w:tc>
        <w:tc>
          <w:tcPr>
            <w:tcW w:w="23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84,445</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24,817</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39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Finance income and expense</w:t>
            </w:r>
          </w:p>
        </w:tc>
        <w:tc>
          <w:tcPr>
            <w:tcW w:w="2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vMerge w:val="continue"/>
          </w:tcPr>
          <w:p>
            <w:pPr>
              <w:spacing w:after="0"/>
              <w:rPr>
                <w:sz w:val="24"/>
                <w:szCs w:val="24"/>
                <w:color w:val="auto"/>
              </w:rPr>
            </w:pPr>
          </w:p>
        </w:tc>
        <w:tc>
          <w:tcPr>
            <w:tcW w:w="394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i w:val="1"/>
                <w:iCs w:val="1"/>
                <w:color w:val="auto"/>
              </w:rPr>
              <w:t>Finance income</w:t>
            </w:r>
          </w:p>
        </w:tc>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60" w:type="dxa"/>
            <w:vAlign w:val="bottom"/>
            <w:gridSpan w:val="2"/>
          </w:tcPr>
          <w:p>
            <w:pPr>
              <w:jc w:val="center"/>
              <w:ind w:left="2215"/>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3780" w:type="dxa"/>
            <w:vAlign w:val="bottom"/>
          </w:tcPr>
          <w:p>
            <w:pPr>
              <w:spacing w:after="0"/>
              <w:rPr>
                <w:sz w:val="15"/>
                <w:szCs w:val="15"/>
                <w:color w:val="auto"/>
              </w:rPr>
            </w:pPr>
          </w:p>
        </w:tc>
        <w:tc>
          <w:tcPr>
            <w:tcW w:w="36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bank deposits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exchange gains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Finance income</w:t>
            </w:r>
          </w:p>
        </w:tc>
        <w:tc>
          <w:tcPr>
            <w:tcW w:w="3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1,307</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940" w:type="dxa"/>
            <w:vAlign w:val="bottom"/>
            <w:gridSpan w:val="2"/>
            <w:vMerge w:val="restart"/>
          </w:tcPr>
          <w:p>
            <w:pPr>
              <w:ind w:left="140"/>
              <w:spacing w:after="0"/>
              <w:rPr>
                <w:sz w:val="20"/>
                <w:szCs w:val="20"/>
                <w:color w:val="auto"/>
              </w:rPr>
            </w:pPr>
            <w:r>
              <w:rPr>
                <w:rFonts w:ascii="Arial" w:cs="Arial" w:eastAsia="Arial" w:hAnsi="Arial"/>
                <w:sz w:val="18"/>
                <w:szCs w:val="18"/>
                <w:i w:val="1"/>
                <w:iCs w:val="1"/>
                <w:color w:val="auto"/>
              </w:rPr>
              <w:t>Finance expense</w:t>
            </w:r>
          </w:p>
        </w:tc>
        <w:tc>
          <w:tcPr>
            <w:tcW w:w="2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394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60" w:type="dxa"/>
            <w:vAlign w:val="bottom"/>
            <w:gridSpan w:val="2"/>
          </w:tcPr>
          <w:p>
            <w:pPr>
              <w:jc w:val="center"/>
              <w:ind w:left="2215"/>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3780" w:type="dxa"/>
            <w:vAlign w:val="bottom"/>
          </w:tcPr>
          <w:p>
            <w:pPr>
              <w:spacing w:after="0"/>
              <w:rPr>
                <w:sz w:val="15"/>
                <w:szCs w:val="15"/>
                <w:color w:val="auto"/>
              </w:rPr>
            </w:pPr>
          </w:p>
        </w:tc>
        <w:tc>
          <w:tcPr>
            <w:tcW w:w="36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Bank charges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Finance charges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2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expense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615"/>
              <w:spacing w:after="0"/>
              <w:rPr>
                <w:sz w:val="20"/>
                <w:szCs w:val="20"/>
                <w:color w:val="auto"/>
              </w:rPr>
            </w:pPr>
            <w:r>
              <w:rPr>
                <w:rFonts w:ascii="Arial" w:cs="Arial" w:eastAsia="Arial" w:hAnsi="Arial"/>
                <w:sz w:val="18"/>
                <w:szCs w:val="18"/>
                <w:color w:val="auto"/>
              </w:rPr>
              <w:t>20</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78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Staff numbers and costs</w:t>
      </w:r>
    </w:p>
    <w:p>
      <w:pPr>
        <w:spacing w:after="0" w:line="229" w:lineRule="exact"/>
        <w:rPr>
          <w:rFonts w:ascii="Arial" w:cs="Arial" w:eastAsia="Arial" w:hAnsi="Arial"/>
          <w:sz w:val="18"/>
          <w:szCs w:val="18"/>
          <w:b w:val="1"/>
          <w:bCs w:val="1"/>
          <w:color w:val="auto"/>
        </w:rPr>
      </w:pPr>
    </w:p>
    <w:p>
      <w:pPr>
        <w:ind w:left="42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In 2017, 2016 and 2015, the Group employed an average of 62, 49 and 11 persons, respectively, including executive directors. At 31 December 2017 and 2016, the Group had 62 </w:t>
      </w:r>
      <w:r>
        <w:rPr>
          <w:rFonts w:ascii="Arial" w:cs="Arial" w:eastAsia="Arial" w:hAnsi="Arial"/>
          <w:sz w:val="18"/>
          <w:szCs w:val="18"/>
          <w:i w:val="1"/>
          <w:iCs w:val="1"/>
          <w:color w:val="auto"/>
        </w:rPr>
        <w:t>(2016:</w:t>
      </w:r>
      <w:r>
        <w:rPr>
          <w:rFonts w:ascii="Arial" w:cs="Arial" w:eastAsia="Arial" w:hAnsi="Arial"/>
          <w:sz w:val="18"/>
          <w:szCs w:val="18"/>
          <w:color w:val="auto"/>
        </w:rPr>
        <w:t xml:space="preserve"> 65</w:t>
      </w:r>
      <w:r>
        <w:rPr>
          <w:rFonts w:ascii="Arial" w:cs="Arial" w:eastAsia="Arial" w:hAnsi="Arial"/>
          <w:sz w:val="18"/>
          <w:szCs w:val="18"/>
          <w:i w:val="1"/>
          <w:iCs w:val="1"/>
          <w:color w:val="auto"/>
        </w:rPr>
        <w:t>)</w:t>
      </w:r>
      <w:r>
        <w:rPr>
          <w:rFonts w:ascii="Arial" w:cs="Arial" w:eastAsia="Arial" w:hAnsi="Arial"/>
          <w:sz w:val="18"/>
          <w:szCs w:val="18"/>
          <w:color w:val="auto"/>
        </w:rPr>
        <w:t xml:space="preserve"> employees worldwide. Of the total 62 employees at 31 December 2017, 18 </w:t>
      </w:r>
      <w:r>
        <w:rPr>
          <w:rFonts w:ascii="Arial" w:cs="Arial" w:eastAsia="Arial" w:hAnsi="Arial"/>
          <w:sz w:val="18"/>
          <w:szCs w:val="18"/>
          <w:i w:val="1"/>
          <w:iCs w:val="1"/>
          <w:color w:val="auto"/>
        </w:rPr>
        <w:t>(2016: 22)</w:t>
      </w:r>
      <w:r>
        <w:rPr>
          <w:rFonts w:ascii="Arial" w:cs="Arial" w:eastAsia="Arial" w:hAnsi="Arial"/>
          <w:sz w:val="18"/>
          <w:szCs w:val="18"/>
          <w:color w:val="auto"/>
        </w:rPr>
        <w:t xml:space="preserve"> employees were employed by Avectas Limited and 44 </w:t>
      </w:r>
      <w:r>
        <w:rPr>
          <w:rFonts w:ascii="Arial" w:cs="Arial" w:eastAsia="Arial" w:hAnsi="Arial"/>
          <w:sz w:val="18"/>
          <w:szCs w:val="18"/>
          <w:i w:val="1"/>
          <w:iCs w:val="1"/>
          <w:color w:val="auto"/>
        </w:rPr>
        <w:t>(2016:</w:t>
      </w:r>
      <w:r>
        <w:rPr>
          <w:rFonts w:ascii="Arial" w:cs="Arial" w:eastAsia="Arial" w:hAnsi="Arial"/>
          <w:sz w:val="18"/>
          <w:szCs w:val="18"/>
          <w:color w:val="auto"/>
        </w:rPr>
        <w:t xml:space="preserve"> 43) employed by other subsidiaries of Adapt Pharma Limited.</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3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US$’000</w:t>
            </w:r>
          </w:p>
        </w:tc>
        <w:tc>
          <w:tcPr>
            <w:tcW w:w="260" w:type="dxa"/>
            <w:vAlign w:val="bottom"/>
          </w:tcPr>
          <w:p>
            <w:pPr>
              <w:spacing w:after="0"/>
              <w:rPr>
                <w:sz w:val="12"/>
                <w:szCs w:val="12"/>
                <w:color w:val="auto"/>
              </w:rPr>
            </w:pPr>
          </w:p>
        </w:tc>
        <w:tc>
          <w:tcPr>
            <w:tcW w:w="13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US$’000</w:t>
            </w:r>
          </w:p>
        </w:tc>
        <w:tc>
          <w:tcPr>
            <w:tcW w:w="280" w:type="dxa"/>
            <w:vAlign w:val="bottom"/>
          </w:tcPr>
          <w:p>
            <w:pPr>
              <w:spacing w:after="0"/>
              <w:rPr>
                <w:sz w:val="12"/>
                <w:szCs w:val="12"/>
                <w:color w:val="auto"/>
              </w:rPr>
            </w:pPr>
          </w:p>
        </w:tc>
        <w:tc>
          <w:tcPr>
            <w:tcW w:w="136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expense was as follows:</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Social welfare costs</w:t>
            </w:r>
          </w:p>
        </w:tc>
        <w:tc>
          <w:tcPr>
            <w:tcW w:w="1360" w:type="dxa"/>
            <w:vAlign w:val="bottom"/>
          </w:tcPr>
          <w:p>
            <w:pPr>
              <w:jc w:val="right"/>
              <w:spacing w:after="0"/>
              <w:rPr>
                <w:sz w:val="20"/>
                <w:szCs w:val="20"/>
                <w:color w:val="auto"/>
              </w:rPr>
            </w:pPr>
            <w:r>
              <w:rPr>
                <w:rFonts w:ascii="Arial" w:cs="Arial" w:eastAsia="Arial" w:hAnsi="Arial"/>
                <w:sz w:val="18"/>
                <w:szCs w:val="18"/>
                <w:color w:val="auto"/>
              </w:rPr>
              <w:t>736</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Pension costs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Shared based compensation expense</w:t>
            </w:r>
          </w:p>
        </w:tc>
        <w:tc>
          <w:tcPr>
            <w:tcW w:w="1360" w:type="dxa"/>
            <w:vAlign w:val="bottom"/>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employee benefit expense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12,475</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8,507</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Equity accounted investee</w:t>
      </w:r>
    </w:p>
    <w:p>
      <w:pPr>
        <w:spacing w:after="0" w:line="229" w:lineRule="exact"/>
        <w:rPr>
          <w:rFonts w:ascii="Arial" w:cs="Arial" w:eastAsia="Arial" w:hAnsi="Arial"/>
          <w:sz w:val="18"/>
          <w:szCs w:val="18"/>
          <w:b w:val="1"/>
          <w:bCs w:val="1"/>
          <w:color w:val="auto"/>
        </w:rPr>
      </w:pPr>
    </w:p>
    <w:p>
      <w:pPr>
        <w:ind w:left="4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Group’s interest in Avectas through to 18 April 2016 was accounted for using the equity method in the consolidated financial statements. It was determined that the Group controlled Avectas from 18 April 2016. The fair value of the assets and liabilities of Avectas Limited at 18 April 2016, being the date that the Group was deemed to control Avectas Limited were included in the consolidated financial statements of the Group at that date. The results of operations of Avectas have been included in the consolidated financial statements of the Group from 18 April 2016 (see Note 3). Movement in the equity accounted investment from 1 January 2015 to 18 April 2016 is shown below:</w:t>
      </w:r>
    </w:p>
    <w:p>
      <w:pPr>
        <w:spacing w:after="0" w:line="164"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1 January 2015</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Income statement - share of loss, net of tax</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 currency translation loss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31 December 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Income statement - share of loss, net of tax</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currency translation gain</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18 April 2016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right="160"/>
        <w:spacing w:after="0" w:line="286" w:lineRule="auto"/>
        <w:rPr>
          <w:sz w:val="20"/>
          <w:szCs w:val="20"/>
          <w:color w:val="auto"/>
        </w:rPr>
      </w:pPr>
      <w:r>
        <w:rPr>
          <w:rFonts w:ascii="Arial" w:cs="Arial" w:eastAsia="Arial" w:hAnsi="Arial"/>
          <w:sz w:val="17"/>
          <w:szCs w:val="17"/>
          <w:color w:val="auto"/>
        </w:rPr>
        <w:t>On 18 April 2016, being the date the Company was deemed to control Avectas Limited, the previously held equity interest in Avectas Limited was re-measured to its fair value of US$1.71 million. The resulting gain of US$0.86 million was recognised in the profit or loss in 2016. The cumulative foreign exchange loss of $0.18 million previously recognised in other comprehensive income was reclassified to the profit and loss.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 2017, 2016 and 2015, the Group recognised the following current and deferred tax expense</w:t>
      </w:r>
      <w:r>
        <w:rPr>
          <w:rFonts w:ascii="Arial" w:cs="Arial" w:eastAsia="Arial" w:hAnsi="Arial"/>
          <w:sz w:val="18"/>
          <w:szCs w:val="18"/>
          <w:i w:val="1"/>
          <w:iCs w:val="1"/>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tax expense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Tax expense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gridSpan w:val="8"/>
          </w:tcPr>
          <w:p>
            <w:pPr>
              <w:ind w:left="420"/>
              <w:spacing w:after="0"/>
              <w:rPr>
                <w:sz w:val="20"/>
                <w:szCs w:val="20"/>
                <w:color w:val="auto"/>
              </w:rPr>
            </w:pPr>
            <w:r>
              <w:rPr>
                <w:rFonts w:ascii="Arial" w:cs="Arial" w:eastAsia="Arial" w:hAnsi="Arial"/>
                <w:sz w:val="18"/>
                <w:szCs w:val="18"/>
                <w:color w:val="auto"/>
                <w:w w:val="95"/>
              </w:rPr>
              <w:t>A reconciliation of expected tax expense of the Group and the actual income tax charge is as follows:</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US$’000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profit/(loss) on ordinary activities before tax</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(7,548)</w:t>
            </w:r>
          </w:p>
        </w:tc>
        <w:tc>
          <w:tcPr>
            <w:tcW w:w="1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tax using corporation tax rate of 12.5%</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(944)</w:t>
            </w:r>
          </w:p>
        </w:tc>
        <w:tc>
          <w:tcPr>
            <w:tcW w:w="1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Effects of:</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Expenses not deductible for tax purposes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Temporary differences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taxed at a higher rate of tax</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gain in equity accounted investee</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Exempt from income tax</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Unrelieved tax losses and other deductions</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Losses utilised</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jc w:val="right"/>
              <w:ind w:right="200"/>
              <w:spacing w:after="0"/>
              <w:rPr>
                <w:sz w:val="20"/>
                <w:szCs w:val="20"/>
                <w:color w:val="auto"/>
              </w:rPr>
            </w:pPr>
            <w:r>
              <w:rPr>
                <w:rFonts w:ascii="Arial" w:cs="Arial" w:eastAsia="Arial" w:hAnsi="Arial"/>
                <w:sz w:val="18"/>
                <w:szCs w:val="18"/>
                <w:color w:val="auto"/>
              </w:rPr>
              <w:t>(2,352)</w:t>
            </w:r>
          </w:p>
        </w:tc>
        <w:tc>
          <w:tcPr>
            <w:tcW w:w="1640" w:type="dxa"/>
            <w:vAlign w:val="bottom"/>
            <w:gridSpan w:val="4"/>
          </w:tcPr>
          <w:p>
            <w:pPr>
              <w:jc w:val="right"/>
              <w:ind w:right="220"/>
              <w:spacing w:after="0"/>
              <w:rPr>
                <w:sz w:val="20"/>
                <w:szCs w:val="20"/>
                <w:color w:val="auto"/>
              </w:rPr>
            </w:pPr>
            <w:r>
              <w:rPr>
                <w:rFonts w:ascii="Arial" w:cs="Arial" w:eastAsia="Arial" w:hAnsi="Arial"/>
                <w:sz w:val="18"/>
                <w:szCs w:val="18"/>
                <w:color w:val="auto"/>
              </w:rPr>
              <w:t>(61)</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Current tax expense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Deferred tax liabilities</w:t>
            </w: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Movement in deferred tax liabilities</w:t>
            </w:r>
          </w:p>
        </w:tc>
        <w:tc>
          <w:tcPr>
            <w:tcW w:w="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6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Intangible</w:t>
            </w:r>
          </w:p>
        </w:tc>
        <w:tc>
          <w:tcPr>
            <w:tcW w:w="20" w:type="dxa"/>
            <w:vAlign w:val="bottom"/>
          </w:tcPr>
          <w:p>
            <w:pPr>
              <w:spacing w:after="0"/>
              <w:rPr>
                <w:sz w:val="10"/>
                <w:szCs w:val="10"/>
                <w:color w:val="auto"/>
              </w:rPr>
            </w:pPr>
          </w:p>
        </w:tc>
        <w:tc>
          <w:tcPr>
            <w:tcW w:w="16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Property, plant</w:t>
            </w:r>
          </w:p>
        </w:tc>
        <w:tc>
          <w:tcPr>
            <w:tcW w:w="40" w:type="dxa"/>
            <w:vAlign w:val="bottom"/>
          </w:tcPr>
          <w:p>
            <w:pPr>
              <w:spacing w:after="0"/>
              <w:rPr>
                <w:sz w:val="10"/>
                <w:szCs w:val="10"/>
                <w:color w:val="auto"/>
              </w:rPr>
            </w:pPr>
          </w:p>
        </w:tc>
        <w:tc>
          <w:tcPr>
            <w:tcW w:w="160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Prepaids and</w:t>
            </w:r>
          </w:p>
        </w:tc>
        <w:tc>
          <w:tcPr>
            <w:tcW w:w="20" w:type="dxa"/>
            <w:vAlign w:val="bottom"/>
          </w:tcPr>
          <w:p>
            <w:pPr>
              <w:spacing w:after="0"/>
              <w:rPr>
                <w:sz w:val="10"/>
                <w:szCs w:val="10"/>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4"/>
                <w:szCs w:val="14"/>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and equipment</w:t>
            </w:r>
          </w:p>
        </w:tc>
        <w:tc>
          <w:tcPr>
            <w:tcW w:w="40" w:type="dxa"/>
            <w:vAlign w:val="bottom"/>
          </w:tcPr>
          <w:p>
            <w:pPr>
              <w:spacing w:after="0"/>
              <w:rPr>
                <w:sz w:val="14"/>
                <w:szCs w:val="14"/>
                <w:color w:val="auto"/>
              </w:rPr>
            </w:pPr>
          </w:p>
        </w:tc>
        <w:tc>
          <w:tcPr>
            <w:tcW w:w="1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other assets</w:t>
            </w:r>
          </w:p>
        </w:tc>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US$’000</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US$’000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4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1 January 2016</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Avectas Acquisition (see Note 3)</w:t>
            </w:r>
          </w:p>
        </w:tc>
        <w:tc>
          <w:tcPr>
            <w:tcW w:w="1380" w:type="dxa"/>
            <w:vAlign w:val="bottom"/>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Recognised in profit or loss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Recognised in OCI</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Balance at 31 December 2016</w:t>
            </w:r>
          </w:p>
        </w:tc>
        <w:tc>
          <w:tcPr>
            <w:tcW w:w="1380" w:type="dxa"/>
            <w:vAlign w:val="bottom"/>
          </w:tcPr>
          <w:p>
            <w:pPr>
              <w:jc w:val="right"/>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Recognised in profit or loss</w:t>
            </w: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Recognised in OCI</w:t>
            </w:r>
          </w:p>
        </w:tc>
        <w:tc>
          <w:tcPr>
            <w:tcW w:w="138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Balance at 31 December 2017</w:t>
            </w:r>
          </w:p>
        </w:tc>
        <w:tc>
          <w:tcPr>
            <w:tcW w:w="1380" w:type="dxa"/>
            <w:vAlign w:val="bottom"/>
          </w:tcPr>
          <w:p>
            <w:pPr>
              <w:jc w:val="right"/>
              <w:spacing w:after="0"/>
              <w:rPr>
                <w:sz w:val="20"/>
                <w:szCs w:val="20"/>
                <w:color w:val="auto"/>
              </w:rPr>
            </w:pPr>
            <w:r>
              <w:rPr>
                <w:rFonts w:ascii="Arial" w:cs="Arial" w:eastAsia="Arial" w:hAnsi="Arial"/>
                <w:sz w:val="18"/>
                <w:szCs w:val="18"/>
                <w:color w:val="auto"/>
              </w:rPr>
              <w:t>1,060</w:t>
            </w: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80" w:type="dxa"/>
            <w:vAlign w:val="bottom"/>
          </w:tcPr>
          <w:p>
            <w:pPr>
              <w:jc w:val="right"/>
              <w:ind w:right="355"/>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20" w:right="8700" w:hanging="412"/>
        <w:spacing w:after="0" w:line="566" w:lineRule="auto"/>
        <w:tabs>
          <w:tab w:leader="none" w:pos="39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i w:val="1"/>
          <w:iCs w:val="1"/>
          <w:u w:val="single" w:color="auto"/>
          <w:color w:val="auto"/>
        </w:rPr>
        <w:t>Deferred tax assets</w:t>
      </w:r>
    </w:p>
    <w:p>
      <w:pPr>
        <w:spacing w:after="0" w:line="1" w:lineRule="exact"/>
        <w:rPr>
          <w:sz w:val="20"/>
          <w:szCs w:val="20"/>
          <w:color w:val="auto"/>
        </w:rPr>
      </w:pPr>
    </w:p>
    <w:p>
      <w:pPr>
        <w:ind w:left="420" w:right="80"/>
        <w:spacing w:after="0" w:line="264" w:lineRule="auto"/>
        <w:rPr>
          <w:sz w:val="20"/>
          <w:szCs w:val="20"/>
          <w:color w:val="auto"/>
        </w:rPr>
      </w:pPr>
      <w:r>
        <w:rPr>
          <w:rFonts w:ascii="Arial" w:cs="Arial" w:eastAsia="Arial" w:hAnsi="Arial"/>
          <w:sz w:val="18"/>
          <w:szCs w:val="18"/>
          <w:color w:val="auto"/>
        </w:rPr>
        <w:t xml:space="preserve">At 31 December 2017, deferred tax assets have not been recognised in respect of net operating loss (“NOL”) carry-forwards for Irish and U.S. tax totalling US$13.3 million </w:t>
      </w:r>
      <w:r>
        <w:rPr>
          <w:rFonts w:ascii="Arial" w:cs="Arial" w:eastAsia="Arial" w:hAnsi="Arial"/>
          <w:sz w:val="18"/>
          <w:szCs w:val="18"/>
          <w:i w:val="1"/>
          <w:iCs w:val="1"/>
          <w:color w:val="auto"/>
        </w:rPr>
        <w:t>(2016: US$29.0 million)</w:t>
      </w:r>
      <w:r>
        <w:rPr>
          <w:rFonts w:ascii="Arial" w:cs="Arial" w:eastAsia="Arial" w:hAnsi="Arial"/>
          <w:sz w:val="18"/>
          <w:szCs w:val="18"/>
          <w:color w:val="auto"/>
        </w:rPr>
        <w:t xml:space="preserve"> because it is not probable that future taxable profits will be available against which we can utilise the benefits therefrom.</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Irish Corporation Tax NOLs</w:t>
      </w:r>
    </w:p>
    <w:p>
      <w:pPr>
        <w:spacing w:after="0" w:line="225" w:lineRule="exact"/>
        <w:rPr>
          <w:sz w:val="20"/>
          <w:szCs w:val="20"/>
          <w:color w:val="auto"/>
        </w:rPr>
      </w:pPr>
    </w:p>
    <w:p>
      <w:pPr>
        <w:ind w:left="420" w:right="220"/>
        <w:spacing w:after="0" w:line="264" w:lineRule="auto"/>
        <w:rPr>
          <w:sz w:val="20"/>
          <w:szCs w:val="20"/>
          <w:color w:val="auto"/>
        </w:rPr>
      </w:pPr>
      <w:r>
        <w:rPr>
          <w:rFonts w:ascii="Arial" w:cs="Arial" w:eastAsia="Arial" w:hAnsi="Arial"/>
          <w:sz w:val="18"/>
          <w:szCs w:val="18"/>
          <w:color w:val="auto"/>
        </w:rPr>
        <w:t xml:space="preserve">At 31 December 2017, the Group had NOL carry-forwards for Irish corporation tax of US$8.7 million </w:t>
      </w:r>
      <w:r>
        <w:rPr>
          <w:rFonts w:ascii="Arial" w:cs="Arial" w:eastAsia="Arial" w:hAnsi="Arial"/>
          <w:sz w:val="18"/>
          <w:szCs w:val="18"/>
          <w:i w:val="1"/>
          <w:iCs w:val="1"/>
          <w:color w:val="auto"/>
        </w:rPr>
        <w:t>(2016: US$19.7 million).</w:t>
      </w:r>
      <w:r>
        <w:rPr>
          <w:rFonts w:ascii="Arial" w:cs="Arial" w:eastAsia="Arial" w:hAnsi="Arial"/>
          <w:sz w:val="18"/>
          <w:szCs w:val="18"/>
          <w:color w:val="auto"/>
        </w:rPr>
        <w:t xml:space="preserve"> NOL carry-forwards comprised US$8.7 million </w:t>
      </w:r>
      <w:r>
        <w:rPr>
          <w:rFonts w:ascii="Arial" w:cs="Arial" w:eastAsia="Arial" w:hAnsi="Arial"/>
          <w:sz w:val="18"/>
          <w:szCs w:val="18"/>
          <w:i w:val="1"/>
          <w:iCs w:val="1"/>
          <w:color w:val="auto"/>
        </w:rPr>
        <w:t>(2016: US$5.8 million)</w:t>
      </w:r>
      <w:r>
        <w:rPr>
          <w:rFonts w:ascii="Arial" w:cs="Arial" w:eastAsia="Arial" w:hAnsi="Arial"/>
          <w:sz w:val="18"/>
          <w:szCs w:val="18"/>
          <w:color w:val="auto"/>
        </w:rPr>
        <w:t xml:space="preserve"> NOLs associated with the operations of Avectas Limited. NOL carry-forwards for Irish corporation tax can be carried forward indefinitely.</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 Federal and State Tax NOLs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At 31 December 2017, the Group had NOL carry-forwards for U.S. federal and state tax of US$NIL </w:t>
      </w:r>
      <w:r>
        <w:rPr>
          <w:rFonts w:ascii="Arial" w:cs="Arial" w:eastAsia="Arial" w:hAnsi="Arial"/>
          <w:sz w:val="17"/>
          <w:szCs w:val="17"/>
          <w:i w:val="1"/>
          <w:iCs w:val="1"/>
          <w:color w:val="auto"/>
        </w:rPr>
        <w:t>(2016: $4.4 million)</w:t>
      </w:r>
      <w:r>
        <w:rPr>
          <w:rFonts w:ascii="Arial" w:cs="Arial" w:eastAsia="Arial" w:hAnsi="Arial"/>
          <w:sz w:val="17"/>
          <w:szCs w:val="17"/>
          <w:color w:val="auto"/>
        </w:rPr>
        <w:t xml:space="preserve"> and US$4.6 million </w:t>
      </w:r>
      <w:r>
        <w:rPr>
          <w:rFonts w:ascii="Arial" w:cs="Arial" w:eastAsia="Arial" w:hAnsi="Arial"/>
          <w:sz w:val="17"/>
          <w:szCs w:val="17"/>
          <w:i w:val="1"/>
          <w:iCs w:val="1"/>
          <w:color w:val="auto"/>
        </w:rPr>
        <w:t>(2016:</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US$4.9 million). </w:t>
      </w:r>
      <w:r>
        <w:rPr>
          <w:rFonts w:ascii="Arial" w:cs="Arial" w:eastAsia="Arial" w:hAnsi="Arial"/>
          <w:sz w:val="18"/>
          <w:szCs w:val="18"/>
          <w:color w:val="auto"/>
        </w:rPr>
        <w:t>NOL carry-forwards for state tax will expire in 2035.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9</w:t>
            </w:r>
          </w:p>
        </w:tc>
        <w:tc>
          <w:tcPr>
            <w:tcW w:w="3820" w:type="dxa"/>
            <w:vAlign w:val="bottom"/>
            <w:gridSpan w:val="2"/>
          </w:tcPr>
          <w:p>
            <w:pPr>
              <w:ind w:left="140"/>
              <w:spacing w:after="0"/>
              <w:rPr>
                <w:sz w:val="20"/>
                <w:szCs w:val="20"/>
                <w:color w:val="auto"/>
              </w:rPr>
            </w:pPr>
            <w:r>
              <w:rPr>
                <w:rFonts w:ascii="Arial" w:cs="Arial" w:eastAsia="Arial" w:hAnsi="Arial"/>
                <w:sz w:val="18"/>
                <w:szCs w:val="18"/>
                <w:b w:val="1"/>
                <w:bCs w:val="1"/>
                <w:color w:val="auto"/>
              </w:rPr>
              <w:t>Inventories</w:t>
            </w:r>
          </w:p>
        </w:tc>
        <w:tc>
          <w:tcPr>
            <w:tcW w:w="2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80" w:type="dxa"/>
            <w:vAlign w:val="bottom"/>
            <w:gridSpan w:val="2"/>
          </w:tcPr>
          <w:p>
            <w:pPr>
              <w:jc w:val="center"/>
              <w:ind w:left="2853"/>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Work in progress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29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11,824</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7,039</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10  Trade and other receivables</w:t>
            </w:r>
          </w:p>
        </w:tc>
        <w:tc>
          <w:tcPr>
            <w:tcW w:w="2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gridSpan w:val="3"/>
            <w:vMerge w:val="continue"/>
          </w:tcPr>
          <w:p>
            <w:pPr>
              <w:spacing w:after="0"/>
              <w:rPr>
                <w:sz w:val="24"/>
                <w:szCs w:val="24"/>
                <w:color w:val="auto"/>
              </w:rPr>
            </w:pPr>
          </w:p>
        </w:tc>
        <w:tc>
          <w:tcPr>
            <w:tcW w:w="2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80" w:type="dxa"/>
            <w:vAlign w:val="bottom"/>
            <w:gridSpan w:val="2"/>
          </w:tcPr>
          <w:p>
            <w:pPr>
              <w:jc w:val="center"/>
              <w:ind w:left="2853"/>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16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42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10,504</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Prepayments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1,252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R&amp;D tax credit receivable</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VAT receivable</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and other receivables</w:t>
            </w:r>
          </w:p>
        </w:tc>
        <w:tc>
          <w:tcPr>
            <w:tcW w:w="4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12,099</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4,142</w:t>
            </w: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1133"/>
              <w:spacing w:after="0"/>
              <w:rPr>
                <w:sz w:val="20"/>
                <w:szCs w:val="20"/>
                <w:color w:val="auto"/>
              </w:rPr>
            </w:pPr>
            <w:r>
              <w:rPr>
                <w:rFonts w:ascii="Arial" w:cs="Arial" w:eastAsia="Arial" w:hAnsi="Arial"/>
                <w:sz w:val="18"/>
                <w:szCs w:val="18"/>
                <w:color w:val="auto"/>
              </w:rPr>
              <w:t>23</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66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Intangible assets</w:t>
      </w: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Acquired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In-process</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developed</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research &amp;</w:t>
            </w:r>
          </w:p>
        </w:tc>
        <w:tc>
          <w:tcPr>
            <w:tcW w:w="14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technologies</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development</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Cost</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At 1 January 2016</w:t>
            </w:r>
          </w:p>
        </w:tc>
        <w:tc>
          <w:tcPr>
            <w:tcW w:w="1360" w:type="dxa"/>
            <w:vAlign w:val="bottom"/>
          </w:tcPr>
          <w:p>
            <w:pPr>
              <w:jc w:val="right"/>
              <w:spacing w:after="0"/>
              <w:rPr>
                <w:sz w:val="20"/>
                <w:szCs w:val="20"/>
                <w:color w:val="auto"/>
              </w:rPr>
            </w:pPr>
            <w:r>
              <w:rPr>
                <w:rFonts w:ascii="Arial" w:cs="Arial" w:eastAsia="Arial" w:hAnsi="Arial"/>
                <w:sz w:val="18"/>
                <w:szCs w:val="18"/>
                <w:color w:val="auto"/>
              </w:rPr>
              <w:t>3,151</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Avectas acquisition (see Note 3)</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8,056</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At 31 December 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Additions</w:t>
            </w:r>
          </w:p>
        </w:tc>
        <w:tc>
          <w:tcPr>
            <w:tcW w:w="1360" w:type="dxa"/>
            <w:vAlign w:val="bottom"/>
          </w:tcPr>
          <w:p>
            <w:pPr>
              <w:jc w:val="right"/>
              <w:spacing w:after="0"/>
              <w:rPr>
                <w:sz w:val="20"/>
                <w:szCs w:val="20"/>
                <w:color w:val="auto"/>
              </w:rPr>
            </w:pPr>
            <w:r>
              <w:rPr>
                <w:rFonts w:ascii="Arial" w:cs="Arial" w:eastAsia="Arial" w:hAnsi="Arial"/>
                <w:sz w:val="18"/>
                <w:szCs w:val="18"/>
                <w:color w:val="auto"/>
              </w:rPr>
              <w:t>33,000</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2017</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39,151</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8,478</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47,629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Amortisation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At 1 January 2016</w:t>
            </w: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At 31 December 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Charge for year</w:t>
            </w:r>
          </w:p>
        </w:tc>
        <w:tc>
          <w:tcPr>
            <w:tcW w:w="1360" w:type="dxa"/>
            <w:vAlign w:val="bottom"/>
          </w:tcPr>
          <w:p>
            <w:pPr>
              <w:jc w:val="right"/>
              <w:spacing w:after="0"/>
              <w:rPr>
                <w:sz w:val="20"/>
                <w:szCs w:val="20"/>
                <w:color w:val="auto"/>
              </w:rPr>
            </w:pPr>
            <w:r>
              <w:rPr>
                <w:rFonts w:ascii="Arial" w:cs="Arial" w:eastAsia="Arial" w:hAnsi="Arial"/>
                <w:sz w:val="18"/>
                <w:szCs w:val="18"/>
                <w:color w:val="auto"/>
              </w:rPr>
              <w:t>1,665</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At 31 December 2017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260" w:type="dxa"/>
            <w:vAlign w:val="bottom"/>
          </w:tcPr>
          <w:p>
            <w:pPr>
              <w:spacing w:after="0"/>
              <w:rPr>
                <w:sz w:val="22"/>
                <w:szCs w:val="22"/>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i w:val="1"/>
                <w:iCs w:val="1"/>
                <w:color w:val="auto"/>
              </w:rPr>
              <w:t>Net book value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31 December 2017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36,851</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8,478</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At 31 December 2016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5,516</w:t>
            </w:r>
          </w:p>
        </w:tc>
        <w:tc>
          <w:tcPr>
            <w:tcW w:w="26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7,448</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Acquired developed technology</w:t>
      </w:r>
    </w:p>
    <w:p>
      <w:pPr>
        <w:spacing w:after="0" w:line="225" w:lineRule="exact"/>
        <w:rPr>
          <w:sz w:val="20"/>
          <w:szCs w:val="20"/>
          <w:color w:val="auto"/>
        </w:rPr>
      </w:pPr>
    </w:p>
    <w:p>
      <w:pPr>
        <w:ind w:left="420" w:right="120"/>
        <w:spacing w:after="0" w:line="259" w:lineRule="auto"/>
        <w:rPr>
          <w:sz w:val="20"/>
          <w:szCs w:val="20"/>
          <w:color w:val="auto"/>
        </w:rPr>
      </w:pPr>
      <w:r>
        <w:rPr>
          <w:rFonts w:ascii="Arial" w:cs="Arial" w:eastAsia="Arial" w:hAnsi="Arial"/>
          <w:sz w:val="18"/>
          <w:szCs w:val="18"/>
          <w:color w:val="auto"/>
        </w:rPr>
        <w:t>In March 2016, the Group made a milestone payment of US$2.5 million to Opiant Pharmaceuticals Inc. (“Opiant”) following the first commercial sale of Narcan® (naloxone hydrochloride) Nasal Spray in the U.S. In October 2016, Health Canada approved the Group’s naloxone nasal spray in Canada for the emergency treatment of known or suspected opioid overdose and in accordance with the licensing agreement with Opiant, the Group made a milestone payment of US $0.5 million to Opiant.</w:t>
      </w:r>
    </w:p>
    <w:p>
      <w:pPr>
        <w:spacing w:after="0" w:line="187" w:lineRule="exact"/>
        <w:rPr>
          <w:sz w:val="20"/>
          <w:szCs w:val="20"/>
          <w:color w:val="auto"/>
        </w:rPr>
      </w:pPr>
    </w:p>
    <w:p>
      <w:pPr>
        <w:ind w:left="420"/>
        <w:spacing w:after="0" w:line="273" w:lineRule="auto"/>
        <w:rPr>
          <w:sz w:val="20"/>
          <w:szCs w:val="20"/>
          <w:color w:val="auto"/>
        </w:rPr>
      </w:pPr>
      <w:r>
        <w:rPr>
          <w:rFonts w:ascii="Arial" w:cs="Arial" w:eastAsia="Arial" w:hAnsi="Arial"/>
          <w:sz w:val="17"/>
          <w:szCs w:val="17"/>
          <w:color w:val="auto"/>
        </w:rPr>
        <w:t>In accordance with the licensing agreement entered with Opiant Pharmaceuticals in 2014 (“Opiant Licensing Agreement), sales-based milestones become payable by the Group once net sales of Narcan® (naloxone hydrochloride) Nasal Spray exceed certain thresholds in a given calendar year. In 2017, net sales of Narcan® (naloxone hydrochloride) Nasal Spray exceeded certain sales thresholds and milestones totalling US$33.0 million became payable by the Group. Each sales-based milestone has been capitalised within intangible assets when net sales of Narcan® (naloxone hydrochloride) Nasal Spray exceeded the corresponding sales threshold. Amortisation of these milestone payments commenced in the month capitalised. Please refer to Note 13 for further details on the settlement of accrued milestone payments after 31 December 2017.</w:t>
      </w:r>
    </w:p>
    <w:p>
      <w:pPr>
        <w:spacing w:after="0" w:line="178" w:lineRule="exact"/>
        <w:rPr>
          <w:sz w:val="20"/>
          <w:szCs w:val="20"/>
          <w:color w:val="auto"/>
        </w:rPr>
      </w:pPr>
    </w:p>
    <w:p>
      <w:pPr>
        <w:ind w:left="420" w:right="160"/>
        <w:spacing w:after="0" w:line="259" w:lineRule="auto"/>
        <w:rPr>
          <w:sz w:val="20"/>
          <w:szCs w:val="20"/>
          <w:color w:val="auto"/>
        </w:rPr>
      </w:pPr>
      <w:r>
        <w:rPr>
          <w:rFonts w:ascii="Arial" w:cs="Arial" w:eastAsia="Arial" w:hAnsi="Arial"/>
          <w:sz w:val="18"/>
          <w:szCs w:val="18"/>
          <w:color w:val="auto"/>
        </w:rPr>
        <w:t>The weighted average remaining useful life of acquired developed technologies at 31 December 2017 and 2016 was 7.9 years and 8.9 years, respectively. The amortisation of licences in 2017 and 2016 has been recognised within Cost of Sales in the income statement. Royalties based on product sales, payable by the Group, are recognised as an expense in cost of sales in the profit and loss in the period in which the associated sale takes place.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In-process research and development (IPR&amp;D)</w:t>
      </w:r>
    </w:p>
    <w:p>
      <w:pPr>
        <w:spacing w:after="0" w:line="225" w:lineRule="exact"/>
        <w:rPr>
          <w:rFonts w:ascii="Arial" w:cs="Arial" w:eastAsia="Arial" w:hAnsi="Arial"/>
          <w:sz w:val="18"/>
          <w:szCs w:val="18"/>
          <w:b w:val="1"/>
          <w:bCs w:val="1"/>
          <w:color w:val="auto"/>
        </w:rPr>
      </w:pPr>
    </w:p>
    <w:p>
      <w:pPr>
        <w:ind w:left="42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18 April 2016, it was determined that the Group through its subsidiary, Adapt Pharma Limited, controlled Avectas Limited (see Note 3). The fair value of Avectas’ IPR&amp;D assets relating to its delivery platform technology were estimated at US$8.1 million at 18 April 2016 and included within the consolidated financial statements of the Group from that date.</w:t>
      </w:r>
    </w:p>
    <w:p>
      <w:pPr>
        <w:spacing w:after="0" w:line="177" w:lineRule="exact"/>
        <w:rPr>
          <w:rFonts w:ascii="Arial" w:cs="Arial" w:eastAsia="Arial" w:hAnsi="Arial"/>
          <w:sz w:val="18"/>
          <w:szCs w:val="18"/>
          <w:b w:val="1"/>
          <w:bCs w:val="1"/>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tcPr>
          <w:p>
            <w:pPr>
              <w:jc w:val="center"/>
              <w:ind w:left="208"/>
              <w:spacing w:after="0"/>
              <w:rPr>
                <w:sz w:val="20"/>
                <w:szCs w:val="20"/>
                <w:color w:val="auto"/>
              </w:rPr>
            </w:pPr>
            <w:r>
              <w:rPr>
                <w:rFonts w:ascii="Arial" w:cs="Arial" w:eastAsia="Arial" w:hAnsi="Arial"/>
                <w:sz w:val="14"/>
                <w:szCs w:val="14"/>
                <w:b w:val="1"/>
                <w:bCs w:val="1"/>
                <w:color w:val="auto"/>
                <w:w w:val="97"/>
              </w:rPr>
              <w:t>Furniture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Equipment</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Computer</w:t>
            </w:r>
          </w:p>
        </w:tc>
        <w:tc>
          <w:tcPr>
            <w:tcW w:w="13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96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and fittings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equipment</w:t>
            </w: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960" w:type="dxa"/>
            <w:vAlign w:val="bottom"/>
            <w:tcBorders>
              <w:top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US$’000</w:t>
            </w:r>
          </w:p>
        </w:tc>
        <w:tc>
          <w:tcPr>
            <w:tcW w:w="260" w:type="dxa"/>
            <w:vAlign w:val="bottom"/>
          </w:tcPr>
          <w:p>
            <w:pPr>
              <w:spacing w:after="0"/>
              <w:rPr>
                <w:sz w:val="15"/>
                <w:szCs w:val="15"/>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5"/>
                <w:szCs w:val="15"/>
                <w:color w:val="auto"/>
              </w:rPr>
            </w:pPr>
          </w:p>
        </w:tc>
        <w:tc>
          <w:tcPr>
            <w:tcW w:w="126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4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Cost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At 1 January 2016</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153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Avectas Acquisition (see Note 3)</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31 December 2016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20" w:type="dxa"/>
            <w:vAlign w:val="bottom"/>
            <w:vMerge w:val="continue"/>
          </w:tcPr>
          <w:p>
            <w:pPr>
              <w:spacing w:after="0"/>
              <w:rPr>
                <w:sz w:val="22"/>
                <w:szCs w:val="22"/>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2017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235</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20" w:type="dxa"/>
            <w:vAlign w:val="bottom"/>
            <w:vMerge w:val="restart"/>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1 January 2016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Charge for year</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31 December 2016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Charge for year</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20" w:type="dxa"/>
            <w:vAlign w:val="bottom"/>
            <w:vMerge w:val="continue"/>
          </w:tcPr>
          <w:p>
            <w:pPr>
              <w:spacing w:after="0"/>
              <w:rPr>
                <w:sz w:val="22"/>
                <w:szCs w:val="22"/>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2017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101</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455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20" w:type="dxa"/>
            <w:vAlign w:val="bottom"/>
            <w:vMerge w:val="restart"/>
          </w:tcPr>
          <w:p>
            <w:pPr>
              <w:spacing w:after="0"/>
              <w:rPr>
                <w:sz w:val="17"/>
                <w:szCs w:val="17"/>
                <w:color w:val="auto"/>
              </w:rPr>
            </w:pPr>
          </w:p>
        </w:tc>
        <w:tc>
          <w:tcPr>
            <w:tcW w:w="49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book value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31 December 2017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2016</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145</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3"/>
          </w:tcPr>
          <w:p>
            <w:pPr>
              <w:jc w:val="right"/>
              <w:ind w:right="408"/>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49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tab/>
        <w:t>Trade and other payables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US$’000</w:t>
            </w:r>
          </w:p>
        </w:tc>
        <w:tc>
          <w:tcPr>
            <w:tcW w:w="260" w:type="dxa"/>
            <w:vAlign w:val="bottom"/>
          </w:tcPr>
          <w:p>
            <w:pPr>
              <w:spacing w:after="0"/>
              <w:rPr>
                <w:sz w:val="15"/>
                <w:szCs w:val="15"/>
                <w:color w:val="auto"/>
              </w:rPr>
            </w:pPr>
          </w:p>
        </w:tc>
        <w:tc>
          <w:tcPr>
            <w:tcW w:w="1260" w:type="dxa"/>
            <w:vAlign w:val="bottom"/>
          </w:tcPr>
          <w:p>
            <w:pPr>
              <w:jc w:val="right"/>
              <w:ind w:right="294"/>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Accrued sale rebates and returns</w:t>
            </w:r>
          </w:p>
        </w:tc>
        <w:tc>
          <w:tcPr>
            <w:tcW w:w="1260" w:type="dxa"/>
            <w:vAlign w:val="bottom"/>
          </w:tcPr>
          <w:p>
            <w:pPr>
              <w:jc w:val="right"/>
              <w:spacing w:after="0"/>
              <w:rPr>
                <w:sz w:val="20"/>
                <w:szCs w:val="20"/>
                <w:color w:val="auto"/>
              </w:rPr>
            </w:pPr>
            <w:r>
              <w:rPr>
                <w:rFonts w:ascii="Arial" w:cs="Arial" w:eastAsia="Arial" w:hAnsi="Arial"/>
                <w:sz w:val="18"/>
                <w:szCs w:val="18"/>
                <w:color w:val="auto"/>
              </w:rPr>
              <w:t>8,467</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milestones payments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Accrued royalties</w:t>
            </w:r>
          </w:p>
        </w:tc>
        <w:tc>
          <w:tcPr>
            <w:tcW w:w="1260" w:type="dxa"/>
            <w:vAlign w:val="bottom"/>
          </w:tcPr>
          <w:p>
            <w:pPr>
              <w:jc w:val="right"/>
              <w:spacing w:after="0"/>
              <w:rPr>
                <w:sz w:val="20"/>
                <w:szCs w:val="20"/>
                <w:color w:val="auto"/>
              </w:rPr>
            </w:pPr>
            <w:r>
              <w:rPr>
                <w:rFonts w:ascii="Arial" w:cs="Arial" w:eastAsia="Arial" w:hAnsi="Arial"/>
                <w:sz w:val="18"/>
                <w:szCs w:val="18"/>
                <w:color w:val="auto"/>
              </w:rPr>
              <w:t>2,976</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Accrued PAYE and social welfare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revenues</w:t>
            </w:r>
          </w:p>
        </w:tc>
        <w:tc>
          <w:tcPr>
            <w:tcW w:w="1260" w:type="dxa"/>
            <w:vAlign w:val="bottom"/>
          </w:tcPr>
          <w:p>
            <w:pPr>
              <w:jc w:val="right"/>
              <w:spacing w:after="0"/>
              <w:rPr>
                <w:sz w:val="20"/>
                <w:szCs w:val="20"/>
                <w:color w:val="auto"/>
              </w:rPr>
            </w:pPr>
            <w:r>
              <w:rPr>
                <w:rFonts w:ascii="Arial" w:cs="Arial" w:eastAsia="Arial" w:hAnsi="Arial"/>
                <w:sz w:val="18"/>
                <w:szCs w:val="18"/>
                <w:color w:val="auto"/>
              </w:rPr>
              <w:t>1,489</w:t>
            </w:r>
          </w:p>
        </w:tc>
        <w:tc>
          <w:tcPr>
            <w:tcW w:w="2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2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Trade and other payables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46,837</w:t>
            </w:r>
          </w:p>
        </w:tc>
        <w:tc>
          <w:tcPr>
            <w:tcW w:w="2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0" w:right="240"/>
        <w:spacing w:after="0" w:line="302" w:lineRule="auto"/>
        <w:rPr>
          <w:sz w:val="20"/>
          <w:szCs w:val="20"/>
          <w:color w:val="auto"/>
        </w:rPr>
      </w:pPr>
      <w:r>
        <w:rPr>
          <w:rFonts w:ascii="Arial" w:cs="Arial" w:eastAsia="Arial" w:hAnsi="Arial"/>
          <w:sz w:val="16"/>
          <w:szCs w:val="16"/>
          <w:color w:val="auto"/>
        </w:rPr>
        <w:t>The Opiant Licensing Agreement sets out each of the sales-based milestone amounts which become payable by the Group, once net sales of Narcan® (naloxone hydrochloride) Nasal Spray are exceeded in a calendar year. Each sales-based milestone is payable once, only upon the first achievement of such milestone. Accrued milestone payments of $25.0 million at 31 December 2017 represent the amounts payable by the Group at that balance sheet date due to net sales of Narcan® (naloxone hydrochloride) Nasal Spray exceeding certain net sales thresholds in 2017.</w:t>
      </w:r>
    </w:p>
    <w:p>
      <w:pPr>
        <w:spacing w:after="0" w:line="154" w:lineRule="exact"/>
        <w:rPr>
          <w:sz w:val="20"/>
          <w:szCs w:val="20"/>
          <w:color w:val="auto"/>
        </w:rPr>
      </w:pPr>
    </w:p>
    <w:p>
      <w:pPr>
        <w:ind w:left="400" w:right="560"/>
        <w:spacing w:after="0" w:line="342" w:lineRule="auto"/>
        <w:rPr>
          <w:sz w:val="20"/>
          <w:szCs w:val="20"/>
          <w:color w:val="auto"/>
        </w:rPr>
      </w:pPr>
      <w:r>
        <w:rPr>
          <w:rFonts w:ascii="Arial" w:cs="Arial" w:eastAsia="Arial" w:hAnsi="Arial"/>
          <w:sz w:val="16"/>
          <w:szCs w:val="16"/>
          <w:color w:val="auto"/>
        </w:rPr>
        <w:t>In February 2018, the Group entered into a licensing agreement (“2018 License Agreement”) with a third party in connection with nasal naloxone patents. Total upfront consideration in connection with the licensing agreement included US$12.5 million, which was paid upon signing.</w:t>
      </w:r>
    </w:p>
    <w:p>
      <w:pPr>
        <w:spacing w:after="0" w:line="124" w:lineRule="exact"/>
        <w:rPr>
          <w:sz w:val="20"/>
          <w:szCs w:val="20"/>
          <w:color w:val="auto"/>
        </w:rPr>
      </w:pPr>
    </w:p>
    <w:p>
      <w:pPr>
        <w:ind w:left="420" w:right="60"/>
        <w:spacing w:after="0" w:line="276" w:lineRule="auto"/>
        <w:rPr>
          <w:sz w:val="20"/>
          <w:szCs w:val="20"/>
          <w:color w:val="auto"/>
        </w:rPr>
      </w:pPr>
      <w:r>
        <w:rPr>
          <w:rFonts w:ascii="Arial" w:cs="Arial" w:eastAsia="Arial" w:hAnsi="Arial"/>
          <w:sz w:val="17"/>
          <w:szCs w:val="17"/>
          <w:color w:val="auto"/>
        </w:rPr>
        <w:t>In accordance with the Opiant Licensing Agreement, the Group can deduct 50% of the upfront payment paid to a third party in respect of nasal naloxone patents from royalties and sales-based milestones payable by the Group. Accordingly, the Group settled the accrued milestone payment liability in March 2018, by making a payment totalling $18.75 million. The $18.75 million represented $25.0 million of milestones payable at 31 December 2017 less $6.25 million, being 50% of the upfront payment made in respect of the 2018 License Agreement. Therefore, there was a $6.25 million reduction in the $25.0 million milestone payable to Opiant which was capitalised within intangible assets as at 31 December 2017.</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tab/>
        <w:t>Loans and borrowings</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74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41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94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5"/>
              </w:rPr>
              <w:t>US$’000</w:t>
            </w:r>
          </w:p>
        </w:tc>
        <w:tc>
          <w:tcPr>
            <w:tcW w:w="3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Borders>
              <w:top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loans and borrowings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8% Convertible Preference Shares</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419</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loans (note 18)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Total current loans and borrowing</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3"/>
              </w:rPr>
              <w:t>564</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60"/>
          </w:cols>
          <w:pgMar w:left="240" w:top="341" w:right="199" w:bottom="1440" w:gutter="0" w:footer="0" w:header="0"/>
        </w:sectPr>
      </w:pPr>
    </w:p>
    <w:p>
      <w:pPr>
        <w:jc w:val="center"/>
        <w:ind w:left="694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6350</wp:posOffset>
            </wp:positionV>
            <wp:extent cx="7886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jc w:val="center"/>
        <w:ind w:left="6940"/>
        <w:spacing w:after="0"/>
        <w:rPr>
          <w:sz w:val="20"/>
          <w:szCs w:val="20"/>
          <w:color w:val="auto"/>
        </w:rPr>
      </w:pPr>
      <w:r>
        <w:rPr>
          <w:rFonts w:ascii="Arial" w:cs="Arial" w:eastAsia="Arial" w:hAnsi="Arial"/>
          <w:sz w:val="13"/>
          <w:szCs w:val="13"/>
          <w:b w:val="1"/>
          <w:bCs w:val="1"/>
          <w:color w:val="auto"/>
        </w:rPr>
        <w:t>US$’000</w:t>
      </w:r>
    </w:p>
    <w:p>
      <w:pPr>
        <w:spacing w:after="0" w:line="20" w:lineRule="exact"/>
        <w:rPr>
          <w:sz w:val="20"/>
          <w:szCs w:val="20"/>
          <w:color w:val="auto"/>
        </w:rPr>
      </w:pPr>
      <w:r>
        <w:rPr>
          <w:sz w:val="20"/>
          <w:szCs w:val="20"/>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6350</wp:posOffset>
            </wp:positionV>
            <wp:extent cx="7975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jc w:val="center"/>
        <w:ind w:right="2200"/>
        <w:spacing w:after="0"/>
        <w:rPr>
          <w:sz w:val="20"/>
          <w:szCs w:val="20"/>
          <w:color w:val="auto"/>
        </w:rPr>
      </w:pPr>
      <w:r>
        <w:rPr>
          <w:rFonts w:ascii="Arial" w:cs="Arial" w:eastAsia="Arial" w:hAnsi="Arial"/>
          <w:sz w:val="13"/>
          <w:szCs w:val="13"/>
          <w:b w:val="1"/>
          <w:bCs w:val="1"/>
          <w:color w:val="auto"/>
        </w:rPr>
        <w:t>US$’000</w:t>
      </w:r>
    </w:p>
    <w:p>
      <w:pPr>
        <w:spacing w:after="0" w:line="200" w:lineRule="exact"/>
        <w:rPr>
          <w:sz w:val="20"/>
          <w:szCs w:val="20"/>
          <w:color w:val="auto"/>
        </w:rPr>
      </w:pPr>
    </w:p>
    <w:p>
      <w:pPr>
        <w:sectPr>
          <w:pgSz w:w="11900" w:h="16838" w:orient="portrait"/>
          <w:cols w:equalWidth="0" w:num="2">
            <w:col w:w="8020" w:space="720"/>
            <w:col w:w="2720"/>
          </w:cols>
          <w:pgMar w:left="240" w:top="341" w:right="199" w:bottom="1440" w:gutter="0" w:footer="0" w:header="0"/>
          <w:type w:val="continuous"/>
        </w:sectPr>
      </w:pP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loans and borrowings</w:t>
            </w:r>
          </w:p>
        </w:tc>
        <w:tc>
          <w:tcPr>
            <w:tcW w:w="2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8% Convertible Preference Shares</w:t>
            </w:r>
          </w:p>
        </w:tc>
        <w:tc>
          <w:tcPr>
            <w:tcW w:w="2340" w:type="dxa"/>
            <w:vAlign w:val="bottom"/>
          </w:tcPr>
          <w:p>
            <w:pPr>
              <w:spacing w:after="0"/>
              <w:rPr>
                <w:sz w:val="18"/>
                <w:szCs w:val="18"/>
                <w:color w:val="auto"/>
              </w:rPr>
            </w:pPr>
          </w:p>
        </w:tc>
        <w:tc>
          <w:tcPr>
            <w:tcW w:w="15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loans (note 18)</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loans and borrowing</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Arial" w:cs="Arial" w:eastAsia="Arial" w:hAnsi="Arial"/>
                <w:sz w:val="18"/>
                <w:szCs w:val="18"/>
                <w:color w:val="auto"/>
              </w:rPr>
              <w:t>26</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410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borrowings (continued)</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8% Convertible Preference Shares</w:t>
      </w:r>
    </w:p>
    <w:p>
      <w:pPr>
        <w:spacing w:after="0" w:line="225" w:lineRule="exact"/>
        <w:rPr>
          <w:rFonts w:ascii="Arial" w:cs="Arial" w:eastAsia="Arial" w:hAnsi="Arial"/>
          <w:sz w:val="18"/>
          <w:szCs w:val="18"/>
          <w:b w:val="1"/>
          <w:bCs w:val="1"/>
          <w:color w:val="auto"/>
        </w:rPr>
      </w:pPr>
    </w:p>
    <w:p>
      <w:pPr>
        <w:ind w:left="4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a 45.24% equity interest in Avectas Limited (“Avectas”). It has been determined that the Company controls Avectas and accordingly, the liabilities of Avectas have been included in the consolidated financial statements of the Group from 18 April 2016.</w:t>
      </w:r>
    </w:p>
    <w:p>
      <w:pPr>
        <w:spacing w:after="0" w:line="170"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6"/>
          <w:szCs w:val="16"/>
          <w:color w:val="auto"/>
        </w:rPr>
        <w:t>Avectas had previously issued 250,000 and 100,000 Convertible Preference Shares in April 2012 and October 2013, respectively. Avectas received</w:t>
      </w:r>
    </w:p>
    <w:p>
      <w:pPr>
        <w:spacing w:after="0" w:line="46" w:lineRule="exact"/>
        <w:rPr>
          <w:rFonts w:ascii="Arial" w:cs="Arial" w:eastAsia="Arial" w:hAnsi="Arial"/>
          <w:sz w:val="18"/>
          <w:szCs w:val="18"/>
          <w:b w:val="1"/>
          <w:bCs w:val="1"/>
          <w:color w:val="auto"/>
        </w:rPr>
      </w:pPr>
    </w:p>
    <w:p>
      <w:pPr>
        <w:ind w:left="420"/>
        <w:spacing w:after="0" w:line="273" w:lineRule="auto"/>
        <w:rPr>
          <w:rFonts w:ascii="Arial" w:cs="Arial" w:eastAsia="Arial" w:hAnsi="Arial"/>
          <w:sz w:val="18"/>
          <w:szCs w:val="18"/>
          <w:b w:val="1"/>
          <w:bCs w:val="1"/>
          <w:color w:val="auto"/>
        </w:rPr>
      </w:pPr>
      <w:r>
        <w:rPr>
          <w:rFonts w:ascii="Arial" w:cs="Arial" w:eastAsia="Arial" w:hAnsi="Arial"/>
          <w:sz w:val="16"/>
          <w:szCs w:val="16"/>
          <w:color w:val="auto"/>
        </w:rPr>
        <w:t>€0.35 million from the issuance of the Convertible Preference Shares. The Convertible Preference Shares may be redeemed in full on the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anniversary of the issuance of the shares. Alternatively, the holder of the Convertible Preference Shares has the option to convert the Convertible Preference Shares into a variable number of ordinary shares in the capital of Avectas in the event of a conversion event being either a qualifying investment or a listing. On 25 January 2018, all outstanding Convertible Preference Shares were converted into 35,113 ordinary shares in Avectas.</w:t>
      </w:r>
    </w:p>
    <w:p>
      <w:pPr>
        <w:spacing w:after="0" w:line="176" w:lineRule="exact"/>
        <w:rPr>
          <w:rFonts w:ascii="Arial" w:cs="Arial" w:eastAsia="Arial" w:hAnsi="Arial"/>
          <w:sz w:val="18"/>
          <w:szCs w:val="18"/>
          <w:b w:val="1"/>
          <w:bCs w:val="1"/>
          <w:color w:val="auto"/>
        </w:rPr>
      </w:pPr>
    </w:p>
    <w:p>
      <w:pPr>
        <w:ind w:left="420" w:right="5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The finance charge on the 8% Convertible Preference Shares is accrued at 3% in accordance with the terms of agreement. The 3% finance charge represents the base rate which is deferred until such time as the Convertible Preference Shares are redeemed or converted. In 2017, the Group recognised a finance charge of US$0.01 million </w:t>
      </w:r>
      <w:r>
        <w:rPr>
          <w:rFonts w:ascii="Arial" w:cs="Arial" w:eastAsia="Arial" w:hAnsi="Arial"/>
          <w:sz w:val="16"/>
          <w:szCs w:val="16"/>
          <w:i w:val="1"/>
          <w:iCs w:val="1"/>
          <w:color w:val="auto"/>
        </w:rPr>
        <w:t>(2016: US$0.01 million, 2015: US$Nil)</w:t>
      </w:r>
      <w:r>
        <w:rPr>
          <w:rFonts w:ascii="Arial" w:cs="Arial" w:eastAsia="Arial" w:hAnsi="Arial"/>
          <w:sz w:val="16"/>
          <w:szCs w:val="16"/>
          <w:color w:val="auto"/>
        </w:rPr>
        <w:t xml:space="preserve"> in respect of the Convertible Preference Shares.</w:t>
      </w:r>
    </w:p>
    <w:p>
      <w:pPr>
        <w:spacing w:after="0" w:line="146" w:lineRule="exact"/>
        <w:rPr>
          <w:rFonts w:ascii="Arial" w:cs="Arial" w:eastAsia="Arial" w:hAnsi="Arial"/>
          <w:sz w:val="18"/>
          <w:szCs w:val="18"/>
          <w:b w:val="1"/>
          <w:bCs w:val="1"/>
          <w:color w:val="auto"/>
        </w:rPr>
      </w:pPr>
    </w:p>
    <w:p>
      <w:pPr>
        <w:ind w:lef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Convertible Preference Shares contain embedded derivatives that require separation under IAS 39 as their economic characteristics and risks are not deemed to be closely related to the host contract. At 31 December 2017, the fair values of the embedded derivative liabilities are estimated at US$0.4 million </w:t>
      </w:r>
      <w:r>
        <w:rPr>
          <w:rFonts w:ascii="Arial" w:cs="Arial" w:eastAsia="Arial" w:hAnsi="Arial"/>
          <w:sz w:val="18"/>
          <w:szCs w:val="18"/>
          <w:i w:val="1"/>
          <w:iCs w:val="1"/>
          <w:color w:val="auto"/>
        </w:rPr>
        <w:t>(2016: US$0.4 million)</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Term Loan</w:t>
      </w:r>
    </w:p>
    <w:p>
      <w:pPr>
        <w:spacing w:after="0" w:line="225" w:lineRule="exact"/>
        <w:rPr>
          <w:rFonts w:ascii="Arial" w:cs="Arial" w:eastAsia="Arial" w:hAnsi="Arial"/>
          <w:sz w:val="18"/>
          <w:szCs w:val="18"/>
          <w:b w:val="1"/>
          <w:bCs w:val="1"/>
          <w:color w:val="auto"/>
        </w:rPr>
      </w:pPr>
    </w:p>
    <w:p>
      <w:pPr>
        <w:ind w:left="42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April 2016, Avectas Limited entered into a loan agreement with a shareholder of Avectas Limited. Under the terms of the agreement, the shareholder advanced a euro denominated loan with an aggregate principal amount of €0.2 million to Avectas. On 21 April 2017, this loan was converted by the shareholder into 11,111 ordinary shares of Avectas Limited.</w:t>
      </w:r>
    </w:p>
    <w:p>
      <w:pPr>
        <w:spacing w:after="0" w:line="177" w:lineRule="exact"/>
        <w:rPr>
          <w:rFonts w:ascii="Arial" w:cs="Arial" w:eastAsia="Arial" w:hAnsi="Arial"/>
          <w:sz w:val="18"/>
          <w:szCs w:val="18"/>
          <w:b w:val="1"/>
          <w:bCs w:val="1"/>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 and premium</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6100" w:type="dxa"/>
            <w:vAlign w:val="bottom"/>
            <w:gridSpan w:val="3"/>
          </w:tcPr>
          <w:p>
            <w:pPr>
              <w:spacing w:after="0"/>
              <w:rPr>
                <w:sz w:val="20"/>
                <w:szCs w:val="20"/>
                <w:color w:val="auto"/>
              </w:rPr>
            </w:pPr>
            <w:r>
              <w:rPr>
                <w:rFonts w:ascii="Arial" w:cs="Arial" w:eastAsia="Arial" w:hAnsi="Arial"/>
                <w:sz w:val="14"/>
                <w:szCs w:val="14"/>
                <w:b w:val="1"/>
                <w:bCs w:val="1"/>
                <w:color w:val="auto"/>
              </w:rPr>
              <w:t>Share capital</w:t>
            </w: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180"/>
        </w:trPr>
        <w:tc>
          <w:tcPr>
            <w:tcW w:w="20" w:type="dxa"/>
            <w:vAlign w:val="bottom"/>
          </w:tcPr>
          <w:p>
            <w:pPr>
              <w:spacing w:after="0"/>
              <w:rPr>
                <w:sz w:val="15"/>
                <w:szCs w:val="15"/>
                <w:color w:val="auto"/>
              </w:rPr>
            </w:pPr>
          </w:p>
        </w:tc>
        <w:tc>
          <w:tcPr>
            <w:tcW w:w="58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US$’000</w:t>
            </w:r>
          </w:p>
        </w:tc>
      </w:tr>
    </w:tbl>
    <w:p>
      <w:pPr>
        <w:spacing w:after="0" w:line="178"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Authorised share capital</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200,000,000 ordinary shares of US$0.01 each</w:t>
            </w: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2,000</w:t>
            </w:r>
          </w:p>
        </w:tc>
        <w:tc>
          <w:tcPr>
            <w:tcW w:w="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2,000</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940" w:type="dxa"/>
            <w:vAlign w:val="bottom"/>
          </w:tcPr>
          <w:p>
            <w:pPr>
              <w:ind w:left="420"/>
              <w:spacing w:after="0"/>
              <w:rPr>
                <w:sz w:val="20"/>
                <w:szCs w:val="20"/>
                <w:color w:val="auto"/>
              </w:rPr>
            </w:pPr>
            <w:r>
              <w:rPr>
                <w:rFonts w:ascii="Arial" w:cs="Arial" w:eastAsia="Arial" w:hAnsi="Arial"/>
                <w:sz w:val="14"/>
                <w:szCs w:val="14"/>
                <w:b w:val="1"/>
                <w:bCs w:val="1"/>
                <w:color w:val="auto"/>
                <w:w w:val="91"/>
              </w:rPr>
              <w:t>US$’000</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4"/>
                <w:szCs w:val="14"/>
                <w:b w:val="1"/>
                <w:bCs w:val="1"/>
                <w:color w:val="auto"/>
                <w:w w:val="95"/>
              </w:rPr>
              <w:t>US$’000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420"/>
              <w:spacing w:after="0"/>
              <w:rPr>
                <w:sz w:val="20"/>
                <w:szCs w:val="20"/>
                <w:color w:val="auto"/>
              </w:rPr>
            </w:pPr>
            <w:r>
              <w:rPr>
                <w:rFonts w:ascii="Arial" w:cs="Arial" w:eastAsia="Arial" w:hAnsi="Arial"/>
                <w:sz w:val="14"/>
                <w:szCs w:val="14"/>
                <w:b w:val="1"/>
                <w:bCs w:val="1"/>
                <w:color w:val="auto"/>
              </w:rPr>
              <w:t>US$’000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Allotted, called up and fully paid</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120,025,000 ordinary shares of US$0.01 each</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-8255</wp:posOffset>
            </wp:positionV>
            <wp:extent cx="687768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i w:val="1"/>
          <w:iCs w:val="1"/>
          <w:color w:val="auto"/>
        </w:rPr>
        <w:t>(2016: 120,025,000 ordinary shares of US$0.01 each)</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(2015: 110,025,000 ordinary shares of US$0.01 each)</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premium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share premium account comprises excess monies received in respect of share capital over the nominal value of shares issued. On 20</w:t>
      </w:r>
    </w:p>
    <w:p>
      <w:pPr>
        <w:spacing w:after="0" w:line="35" w:lineRule="exact"/>
        <w:rPr>
          <w:sz w:val="20"/>
          <w:szCs w:val="20"/>
          <w:color w:val="auto"/>
        </w:rPr>
      </w:pPr>
    </w:p>
    <w:p>
      <w:pPr>
        <w:ind w:left="420" w:right="20"/>
        <w:spacing w:after="0" w:line="323" w:lineRule="auto"/>
        <w:rPr>
          <w:sz w:val="20"/>
          <w:szCs w:val="20"/>
          <w:color w:val="auto"/>
        </w:rPr>
      </w:pPr>
      <w:r>
        <w:rPr>
          <w:rFonts w:ascii="Arial" w:cs="Arial" w:eastAsia="Arial" w:hAnsi="Arial"/>
          <w:sz w:val="16"/>
          <w:szCs w:val="16"/>
          <w:color w:val="auto"/>
        </w:rPr>
        <w:t>December 2017, the shareholders of the Company approved a reduction of US$15.0 million in the Company’s share premium account with the resulting reserve to be treated as profits available for distribution. The resolution was registered with the Companies Registration Office on 20 December 2017.</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issuance</w:t>
      </w:r>
    </w:p>
    <w:p>
      <w:pPr>
        <w:spacing w:after="0" w:line="225"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color w:val="auto"/>
        </w:rPr>
        <w:t>In 2016, the Company completed an equity fundraising. As part of that fundraising, the Company issued 10,000,000 ordinary shares of US$0.01 each and received net proceeds of US$10.0 million.</w:t>
      </w:r>
    </w:p>
    <w:p>
      <w:pPr>
        <w:spacing w:after="0" w:line="170" w:lineRule="exact"/>
        <w:rPr>
          <w:sz w:val="20"/>
          <w:szCs w:val="20"/>
          <w:color w:val="auto"/>
        </w:rPr>
      </w:pPr>
    </w:p>
    <w:p>
      <w:pPr>
        <w:ind w:left="420" w:right="220"/>
        <w:spacing w:after="0" w:line="277" w:lineRule="auto"/>
        <w:rPr>
          <w:sz w:val="20"/>
          <w:szCs w:val="20"/>
          <w:color w:val="auto"/>
        </w:rPr>
      </w:pPr>
      <w:r>
        <w:rPr>
          <w:rFonts w:ascii="Arial" w:cs="Arial" w:eastAsia="Arial" w:hAnsi="Arial"/>
          <w:sz w:val="18"/>
          <w:szCs w:val="18"/>
          <w:color w:val="auto"/>
        </w:rPr>
        <w:t>In 2015, the Company completed an equity fundraising. As part of that fundraising, the Company issued 10,025,000 ordinary shares of US$0.01 each and received net proceeds of US$10.0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payments</w:t>
      </w:r>
    </w:p>
    <w:p>
      <w:pPr>
        <w:spacing w:after="0" w:line="229"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In 2017, 2016 and 2015, the Group recognised share based payment expense in respect of the following plans:</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64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6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20" w:type="dxa"/>
            <w:vAlign w:val="bottom"/>
            <w:tcBorders>
              <w:top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US$’000</w:t>
            </w:r>
          </w:p>
        </w:tc>
        <w:tc>
          <w:tcPr>
            <w:tcW w:w="3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5"/>
              </w:rPr>
              <w:t>US$’000</w:t>
            </w:r>
          </w:p>
        </w:tc>
        <w:tc>
          <w:tcPr>
            <w:tcW w:w="3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US$’000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Adapt Pharma – 2015 Plan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Avectas – 2017 Plan</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Share based payment expense</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Adapt Pharma — 2015 Plan</w:t>
      </w:r>
    </w:p>
    <w:p>
      <w:pPr>
        <w:spacing w:after="0" w:line="225" w:lineRule="exact"/>
        <w:rPr>
          <w:sz w:val="20"/>
          <w:szCs w:val="20"/>
          <w:color w:val="auto"/>
        </w:rPr>
      </w:pPr>
    </w:p>
    <w:p>
      <w:pPr>
        <w:ind w:left="420" w:right="180"/>
        <w:spacing w:after="0" w:line="276" w:lineRule="auto"/>
        <w:rPr>
          <w:sz w:val="20"/>
          <w:szCs w:val="20"/>
          <w:color w:val="auto"/>
        </w:rPr>
      </w:pPr>
      <w:r>
        <w:rPr>
          <w:rFonts w:ascii="Arial" w:cs="Arial" w:eastAsia="Arial" w:hAnsi="Arial"/>
          <w:sz w:val="17"/>
          <w:szCs w:val="17"/>
          <w:color w:val="auto"/>
        </w:rPr>
        <w:t>In April 2015, the Adapt Pharma Limited Share Option Plan (the “Adapt Pharma 2015 Plan”) was established. Under the Adapt Pharma 2015 Plan, the Company grants options to purchase ordinary shares of the Company to employees of its subsidiary entities. The options are granted at fixed exercise prices equal to the estimated fair value of the Company’s shares at the grant date. Share options typically vest over a period of four or five years from the grant date. Vesting is contingent on an exit event, including share sale and as such, would ordinarily vest on closing of the acquisition of the Group by Emergent BioSolutions Inc. The options will expire 7 to 10 years from the grant date.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summarises information and activity related to the share option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 options</w:t>
            </w:r>
          </w:p>
        </w:tc>
        <w:tc>
          <w:tcPr>
            <w:tcW w:w="120" w:type="dxa"/>
            <w:vAlign w:val="bottom"/>
          </w:tcPr>
          <w:p>
            <w:pPr>
              <w:spacing w:after="0"/>
              <w:rPr>
                <w:sz w:val="12"/>
                <w:szCs w:val="12"/>
                <w:color w:val="auto"/>
              </w:rPr>
            </w:pPr>
          </w:p>
        </w:tc>
        <w:tc>
          <w:tcPr>
            <w:tcW w:w="10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86"/>
              </w:rPr>
              <w:t>average</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(years)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 January 2015</w:t>
            </w:r>
          </w:p>
        </w:tc>
        <w:tc>
          <w:tcPr>
            <w:tcW w:w="2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c>
          <w:tcPr>
            <w:tcW w:w="11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31 December 2015</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1,606</w:t>
            </w:r>
          </w:p>
        </w:tc>
        <w:tc>
          <w:tcPr>
            <w:tcW w:w="160" w:type="dxa"/>
            <w:vAlign w:val="bottom"/>
          </w:tcPr>
          <w:p>
            <w:pPr>
              <w:spacing w:after="0"/>
              <w:rPr>
                <w:sz w:val="18"/>
                <w:szCs w:val="18"/>
                <w:color w:val="auto"/>
              </w:rPr>
            </w:pPr>
          </w:p>
        </w:tc>
        <w:tc>
          <w:tcPr>
            <w:tcW w:w="11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1.00</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31 December 2016</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112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2.14</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3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31 December 2017</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3,763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48"/>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28</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22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based payments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services received in return for share options granted is measured by reference to the fair value of share options granted. The estimate of the fair value of the services received is measured based on the Black Scholes Option Pricing Model. The table below shows, for all share option grants, the weighted-average assumptions used in the Black Scholes option pricing model and the resulting weighted-average grant date fair value of share options granted in 2017:</w:t>
      </w:r>
    </w:p>
    <w:p>
      <w:pPr>
        <w:spacing w:after="0" w:line="179"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Share price at grant date(1)</w:t>
            </w:r>
          </w:p>
        </w:tc>
        <w:tc>
          <w:tcPr>
            <w:tcW w:w="2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price(2)</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Volatility(3)</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rates(4)</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Expected term (years)(5)</w:t>
            </w:r>
          </w:p>
        </w:tc>
        <w:tc>
          <w:tcPr>
            <w:tcW w:w="2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 Years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 years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yield(6)</w:t>
            </w:r>
          </w:p>
        </w:tc>
        <w:tc>
          <w:tcPr>
            <w:tcW w:w="2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270"/>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options granted in 2017, the share price at the grant date ranged from US$1.75 to US$3.00.</w:t>
      </w:r>
    </w:p>
    <w:p>
      <w:pPr>
        <w:spacing w:after="0" w:line="23" w:lineRule="exact"/>
        <w:rPr>
          <w:rFonts w:ascii="Arial" w:cs="Arial" w:eastAsia="Arial" w:hAnsi="Arial"/>
          <w:sz w:val="18"/>
          <w:szCs w:val="18"/>
          <w:color w:val="auto"/>
        </w:rPr>
      </w:pPr>
    </w:p>
    <w:p>
      <w:pPr>
        <w:ind w:left="680" w:hanging="270"/>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options granted in 2017, the exercise price of those options granted ranged from US$1.75 to US$3.00.</w:t>
      </w:r>
    </w:p>
    <w:p>
      <w:pPr>
        <w:spacing w:after="0" w:line="9" w:lineRule="exact"/>
        <w:rPr>
          <w:rFonts w:ascii="Arial" w:cs="Arial" w:eastAsia="Arial" w:hAnsi="Arial"/>
          <w:sz w:val="18"/>
          <w:szCs w:val="18"/>
          <w:color w:val="auto"/>
        </w:rPr>
      </w:pPr>
    </w:p>
    <w:p>
      <w:pPr>
        <w:ind w:left="680" w:hanging="270"/>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expected volatility is based on the volatility of similar speciality pharmaceutical companies.</w:t>
      </w:r>
    </w:p>
    <w:p>
      <w:pPr>
        <w:spacing w:after="0" w:line="9" w:lineRule="exact"/>
        <w:rPr>
          <w:rFonts w:ascii="Arial" w:cs="Arial" w:eastAsia="Arial" w:hAnsi="Arial"/>
          <w:sz w:val="18"/>
          <w:szCs w:val="18"/>
          <w:color w:val="auto"/>
        </w:rPr>
      </w:pPr>
    </w:p>
    <w:p>
      <w:pPr>
        <w:ind w:left="680" w:hanging="270"/>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risk-free interest rate was based on US. Treasury instruments whose term was consistent with the expected term of the share option grants.</w:t>
      </w:r>
    </w:p>
    <w:p>
      <w:pPr>
        <w:spacing w:after="0" w:line="32" w:lineRule="exact"/>
        <w:rPr>
          <w:rFonts w:ascii="Arial" w:cs="Arial" w:eastAsia="Arial" w:hAnsi="Arial"/>
          <w:sz w:val="16"/>
          <w:szCs w:val="16"/>
          <w:color w:val="auto"/>
        </w:rPr>
      </w:pPr>
    </w:p>
    <w:p>
      <w:pPr>
        <w:ind w:left="680" w:hanging="270"/>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expected term of share option grants represents the weighted-average period the awards are expected to remain outstanding.</w:t>
      </w:r>
    </w:p>
    <w:p>
      <w:pPr>
        <w:spacing w:after="0" w:line="9" w:lineRule="exact"/>
        <w:rPr>
          <w:rFonts w:ascii="Arial" w:cs="Arial" w:eastAsia="Arial" w:hAnsi="Arial"/>
          <w:sz w:val="18"/>
          <w:szCs w:val="18"/>
          <w:color w:val="auto"/>
        </w:rPr>
      </w:pPr>
    </w:p>
    <w:p>
      <w:pPr>
        <w:ind w:left="680" w:hanging="270"/>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expected dividend yield was based on the expected dividend pay-out in the period consistent with the expected term of the share option grants.</w:t>
      </w:r>
    </w:p>
    <w:p>
      <w:pPr>
        <w:spacing w:after="0" w:line="234" w:lineRule="exact"/>
        <w:rPr>
          <w:sz w:val="20"/>
          <w:szCs w:val="20"/>
          <w:color w:val="auto"/>
        </w:rPr>
      </w:pPr>
    </w:p>
    <w:p>
      <w:pPr>
        <w:ind w:left="420" w:right="700"/>
        <w:spacing w:after="0" w:line="277" w:lineRule="auto"/>
        <w:rPr>
          <w:sz w:val="20"/>
          <w:szCs w:val="20"/>
          <w:color w:val="auto"/>
        </w:rPr>
      </w:pPr>
      <w:r>
        <w:rPr>
          <w:rFonts w:ascii="Arial" w:cs="Arial" w:eastAsia="Arial" w:hAnsi="Arial"/>
          <w:sz w:val="18"/>
          <w:szCs w:val="18"/>
          <w:color w:val="auto"/>
        </w:rPr>
        <w:t xml:space="preserve">In 2017, share-based payments expense of US$0.4 million </w:t>
      </w:r>
      <w:r>
        <w:rPr>
          <w:rFonts w:ascii="Arial" w:cs="Arial" w:eastAsia="Arial" w:hAnsi="Arial"/>
          <w:sz w:val="18"/>
          <w:szCs w:val="18"/>
          <w:i w:val="1"/>
          <w:iCs w:val="1"/>
          <w:color w:val="auto"/>
        </w:rPr>
        <w:t>(2016: US$0.3 million, 2015: US$0.1 million)</w:t>
      </w:r>
      <w:r>
        <w:rPr>
          <w:rFonts w:ascii="Arial" w:cs="Arial" w:eastAsia="Arial" w:hAnsi="Arial"/>
          <w:sz w:val="18"/>
          <w:szCs w:val="18"/>
          <w:color w:val="auto"/>
        </w:rPr>
        <w:t xml:space="preserve"> was recognised in selling, general and administrative expense in the income statement.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Avectas — 2017 Plan</w:t>
      </w:r>
    </w:p>
    <w:p>
      <w:pPr>
        <w:spacing w:after="0" w:line="225" w:lineRule="exact"/>
        <w:rPr>
          <w:sz w:val="20"/>
          <w:szCs w:val="20"/>
          <w:color w:val="auto"/>
        </w:rPr>
      </w:pPr>
    </w:p>
    <w:p>
      <w:pPr>
        <w:ind w:left="420" w:right="80"/>
        <w:spacing w:after="0" w:line="259" w:lineRule="auto"/>
        <w:rPr>
          <w:sz w:val="20"/>
          <w:szCs w:val="20"/>
          <w:color w:val="auto"/>
        </w:rPr>
      </w:pPr>
      <w:r>
        <w:rPr>
          <w:rFonts w:ascii="Arial" w:cs="Arial" w:eastAsia="Arial" w:hAnsi="Arial"/>
          <w:sz w:val="18"/>
          <w:szCs w:val="18"/>
          <w:color w:val="auto"/>
        </w:rPr>
        <w:t>In April 2017, the Avectas Limited Share Option Plan (the “Avectas 2017 Plan”) was established. Under the Avectas 2017 Plan, Avectas Limited grants options to purchase ordinary shares of Avectas Limited to employees of Avectas Limited. The options are granted at fixed exercise prices. Share options typically vest over a period of four or five years from the grant date. Vesting is contingent on an exit event. The options will expire 7 years from the grant date.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summarises information and activity related to the share option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4"/>
              </w:rPr>
              <w:t>Share options</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exercise price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term (years)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14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1 January 2017</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0" w:type="dxa"/>
            <w:vAlign w:val="bottom"/>
          </w:tcPr>
          <w:p>
            <w:pPr>
              <w:ind w:left="20"/>
              <w:spacing w:after="0"/>
              <w:rPr>
                <w:sz w:val="20"/>
                <w:szCs w:val="20"/>
                <w:color w:val="auto"/>
              </w:rPr>
            </w:pPr>
            <w:r>
              <w:rPr>
                <w:rFonts w:ascii="Arial" w:cs="Arial" w:eastAsia="Arial" w:hAnsi="Arial"/>
                <w:sz w:val="18"/>
                <w:szCs w:val="18"/>
                <w:color w:val="auto"/>
                <w:w w:val="79"/>
              </w:rPr>
              <w:t>46</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19.27</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Outstanding at 31 December 2017</w:t>
            </w: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w w:val="79"/>
              </w:rPr>
              <w:t>46</w:t>
            </w:r>
          </w:p>
        </w:tc>
        <w:tc>
          <w:tcPr>
            <w:tcW w:w="44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19.27</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630"/>
              <w:spacing w:after="0"/>
              <w:rPr>
                <w:sz w:val="20"/>
                <w:szCs w:val="20"/>
                <w:color w:val="auto"/>
              </w:rPr>
            </w:pPr>
            <w:r>
              <w:rPr>
                <w:rFonts w:ascii="Arial" w:cs="Arial" w:eastAsia="Arial" w:hAnsi="Arial"/>
                <w:sz w:val="18"/>
                <w:szCs w:val="18"/>
                <w:color w:val="auto"/>
              </w:rPr>
              <w:t>29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61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based payments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services received in return for share options granted is measured by reference to the fair value of share options granted. The estimate of the fair value of the services received is measured based on the Black Scholes Option Pricing Model. The table below shows, for all share option grants, the weighted-average assumptions used in the Black Scholes option pricing model and the resulting weighted-average grant date fair value of share options granted in 2017:</w:t>
      </w:r>
    </w:p>
    <w:p>
      <w:pPr>
        <w:spacing w:after="0" w:line="179"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grant date</w:t>
            </w:r>
          </w:p>
        </w:tc>
        <w:tc>
          <w:tcPr>
            <w:tcW w:w="28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Share price at grant date</w:t>
            </w:r>
          </w:p>
        </w:tc>
        <w:tc>
          <w:tcPr>
            <w:tcW w:w="284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8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Volatility(1)</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rates(2)</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Expected term (years)(3)</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yield(4)</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40" w:hanging="331"/>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expected volatility is based on the volatility of similar speciality pharmaceutical companies.</w:t>
      </w:r>
    </w:p>
    <w:p>
      <w:pPr>
        <w:spacing w:after="0" w:line="23" w:lineRule="exact"/>
        <w:rPr>
          <w:rFonts w:ascii="Arial" w:cs="Arial" w:eastAsia="Arial" w:hAnsi="Arial"/>
          <w:sz w:val="18"/>
          <w:szCs w:val="18"/>
          <w:color w:val="auto"/>
        </w:rPr>
      </w:pPr>
    </w:p>
    <w:p>
      <w:pPr>
        <w:ind w:left="740" w:hanging="331"/>
        <w:spacing w:after="0"/>
        <w:tabs>
          <w:tab w:leader="none" w:pos="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risk-free interest rate was based on euro government bonds whose term was consistent with the expected term of the share option grants.</w:t>
      </w:r>
    </w:p>
    <w:p>
      <w:pPr>
        <w:spacing w:after="0" w:line="32" w:lineRule="exact"/>
        <w:rPr>
          <w:rFonts w:ascii="Arial" w:cs="Arial" w:eastAsia="Arial" w:hAnsi="Arial"/>
          <w:sz w:val="16"/>
          <w:szCs w:val="16"/>
          <w:color w:val="auto"/>
        </w:rPr>
      </w:pPr>
    </w:p>
    <w:p>
      <w:pPr>
        <w:ind w:left="740" w:hanging="331"/>
        <w:spacing w:after="0"/>
        <w:tabs>
          <w:tab w:leader="none" w:pos="7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expected term of share option grants represents the weighted-average period the awards are expected to remain outstanding.</w:t>
      </w:r>
    </w:p>
    <w:p>
      <w:pPr>
        <w:spacing w:after="0" w:line="9" w:lineRule="exact"/>
        <w:rPr>
          <w:rFonts w:ascii="Arial" w:cs="Arial" w:eastAsia="Arial" w:hAnsi="Arial"/>
          <w:sz w:val="18"/>
          <w:szCs w:val="18"/>
          <w:color w:val="auto"/>
        </w:rPr>
      </w:pPr>
    </w:p>
    <w:p>
      <w:pPr>
        <w:ind w:left="740" w:hanging="331"/>
        <w:spacing w:after="0"/>
        <w:tabs>
          <w:tab w:leader="none" w:pos="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expected dividend yield was based on the expected dividend pay-out in the period consistent with the expected term of the share option grants.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2017, share-based payments expense of US$0.02 million was recognised in selling, general and administrative expense in the income statement.</w:t>
      </w:r>
    </w:p>
    <w:p>
      <w:pPr>
        <w:spacing w:after="0" w:line="233"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229" w:lineRule="exact"/>
        <w:rPr>
          <w:rFonts w:ascii="Arial" w:cs="Arial" w:eastAsia="Arial" w:hAnsi="Arial"/>
          <w:sz w:val="18"/>
          <w:szCs w:val="18"/>
          <w:b w:val="1"/>
          <w:bCs w:val="1"/>
          <w:color w:val="auto"/>
        </w:rPr>
      </w:pPr>
    </w:p>
    <w:p>
      <w:pPr>
        <w:ind w:left="420" w:right="3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We manage our financial risk exposures on a group wide basis and seek to reduce our exposure to significant risks through a process of controlling, monitoring and reporting. Our approach to the management of these financial risks is further described for each risk area below.</w:t>
      </w:r>
    </w:p>
    <w:p>
      <w:pPr>
        <w:spacing w:after="0" w:line="146"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Financial value hierarchy</w:t>
      </w:r>
    </w:p>
    <w:p>
      <w:pPr>
        <w:spacing w:after="0" w:line="22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We use the following hierarchy for determining and disclosing the fair value of financial instruments by valuation technique:</w:t>
      </w:r>
    </w:p>
    <w:p>
      <w:pPr>
        <w:spacing w:after="0" w:line="225" w:lineRule="exact"/>
        <w:rPr>
          <w:rFonts w:ascii="Arial" w:cs="Arial" w:eastAsia="Arial" w:hAnsi="Arial"/>
          <w:sz w:val="18"/>
          <w:szCs w:val="18"/>
          <w:b w:val="1"/>
          <w:bCs w:val="1"/>
          <w:color w:val="auto"/>
        </w:rPr>
      </w:pPr>
    </w:p>
    <w:p>
      <w:pPr>
        <w:ind w:left="780" w:hanging="370"/>
        <w:spacing w:after="0"/>
        <w:tabs>
          <w:tab w:leader="none" w:pos="7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Level 1: quoted (unadjusted) prices in active markets for identical assets or liabilities.</w:t>
      </w:r>
    </w:p>
    <w:p>
      <w:pPr>
        <w:spacing w:after="0" w:line="23" w:lineRule="exact"/>
        <w:rPr>
          <w:rFonts w:ascii="Arial" w:cs="Arial" w:eastAsia="Arial" w:hAnsi="Arial"/>
          <w:sz w:val="18"/>
          <w:szCs w:val="18"/>
          <w:color w:val="auto"/>
        </w:rPr>
      </w:pPr>
    </w:p>
    <w:p>
      <w:pPr>
        <w:ind w:left="780" w:hanging="370"/>
        <w:spacing w:after="0"/>
        <w:tabs>
          <w:tab w:leader="none" w:pos="7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Level 2: other techniques for which all inputs which have a significant effect on the recorded fair value are observable, either directly or indirectly.</w:t>
      </w:r>
    </w:p>
    <w:p>
      <w:pPr>
        <w:spacing w:after="0" w:line="32" w:lineRule="exact"/>
        <w:rPr>
          <w:rFonts w:ascii="Arial" w:cs="Arial" w:eastAsia="Arial" w:hAnsi="Arial"/>
          <w:sz w:val="16"/>
          <w:szCs w:val="16"/>
          <w:color w:val="auto"/>
        </w:rPr>
      </w:pPr>
    </w:p>
    <w:p>
      <w:pPr>
        <w:ind w:left="780" w:hanging="370"/>
        <w:spacing w:after="0"/>
        <w:tabs>
          <w:tab w:leader="none" w:pos="7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Level 3: techniques which use inputs that have a significant effect on the recorded fair value that are not based on observable market data.</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group recognises transfers between levels of the fair value hierarchy at the end of the reporting period during which the change has occurred.</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trade and other receivables, trade payables and other current financial liabilities</w:t>
      </w:r>
    </w:p>
    <w:p>
      <w:pPr>
        <w:spacing w:after="0" w:line="225" w:lineRule="exact"/>
        <w:rPr>
          <w:sz w:val="20"/>
          <w:szCs w:val="20"/>
          <w:color w:val="auto"/>
        </w:rPr>
      </w:pPr>
    </w:p>
    <w:p>
      <w:pPr>
        <w:ind w:left="420" w:right="140"/>
        <w:spacing w:after="0" w:line="277" w:lineRule="auto"/>
        <w:rPr>
          <w:sz w:val="20"/>
          <w:szCs w:val="20"/>
          <w:color w:val="auto"/>
        </w:rPr>
      </w:pPr>
      <w:r>
        <w:rPr>
          <w:rFonts w:ascii="Arial" w:cs="Arial" w:eastAsia="Arial" w:hAnsi="Arial"/>
          <w:sz w:val="18"/>
          <w:szCs w:val="18"/>
          <w:color w:val="auto"/>
        </w:rPr>
        <w:t>The fair value of cash, trade and other receivables, trade payables and other current financial liabilities approximate their carrying amounts largely due to the short-term maturities of these instruments.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11"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Financial instruments and risk management </w:t>
      </w:r>
      <w:r>
        <w:rPr>
          <w:rFonts w:ascii="Arial" w:cs="Arial" w:eastAsia="Arial" w:hAnsi="Arial"/>
          <w:sz w:val="18"/>
          <w:szCs w:val="18"/>
          <w:color w:val="auto"/>
        </w:rPr>
        <w:t>(continued)</w:t>
      </w:r>
    </w:p>
    <w:p>
      <w:pPr>
        <w:spacing w:after="0" w:line="225" w:lineRule="exact"/>
        <w:rPr>
          <w:rFonts w:ascii="Arial" w:cs="Arial" w:eastAsia="Arial" w:hAnsi="Arial"/>
          <w:sz w:val="18"/>
          <w:szCs w:val="18"/>
          <w:b w:val="1"/>
          <w:bCs w:val="1"/>
          <w:i w:val="1"/>
          <w:iCs w:val="1"/>
          <w:color w:val="auto"/>
        </w:rPr>
      </w:pPr>
    </w:p>
    <w:p>
      <w:pPr>
        <w:ind w:left="4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Interest rate risk</w:t>
      </w:r>
    </w:p>
    <w:p>
      <w:pPr>
        <w:spacing w:after="0" w:line="225" w:lineRule="exact"/>
        <w:rPr>
          <w:rFonts w:ascii="Arial" w:cs="Arial" w:eastAsia="Arial" w:hAnsi="Arial"/>
          <w:sz w:val="18"/>
          <w:szCs w:val="18"/>
          <w:b w:val="1"/>
          <w:bCs w:val="1"/>
          <w:i w:val="1"/>
          <w:iCs w:val="1"/>
          <w:color w:val="auto"/>
        </w:rPr>
      </w:pPr>
    </w:p>
    <w:p>
      <w:pPr>
        <w:ind w:left="420" w:right="2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At 31 December 2017 and 2016, the Group had US$0.4 million and US$0.6 million of external borrowings, respectively, all of which has been advanced to Avectas Limited. There is little exposure to interest rate risk on such loan agreements as under the agreements the borrowings subject to a fixed finance charge.</w:t>
      </w:r>
    </w:p>
    <w:p>
      <w:pPr>
        <w:spacing w:after="0" w:line="181" w:lineRule="exact"/>
        <w:rPr>
          <w:rFonts w:ascii="Arial" w:cs="Arial" w:eastAsia="Arial" w:hAnsi="Arial"/>
          <w:sz w:val="18"/>
          <w:szCs w:val="18"/>
          <w:b w:val="1"/>
          <w:bCs w:val="1"/>
          <w:i w:val="1"/>
          <w:iCs w:val="1"/>
          <w:color w:val="auto"/>
        </w:rPr>
      </w:pPr>
    </w:p>
    <w:p>
      <w:pPr>
        <w:ind w:left="420" w:right="120"/>
        <w:spacing w:after="0" w:line="288" w:lineRule="auto"/>
        <w:rPr>
          <w:rFonts w:ascii="Arial" w:cs="Arial" w:eastAsia="Arial" w:hAnsi="Arial"/>
          <w:sz w:val="18"/>
          <w:szCs w:val="18"/>
          <w:b w:val="1"/>
          <w:bCs w:val="1"/>
          <w:i w:val="1"/>
          <w:iCs w:val="1"/>
          <w:color w:val="auto"/>
        </w:rPr>
      </w:pPr>
      <w:r>
        <w:rPr>
          <w:rFonts w:ascii="Arial" w:cs="Arial" w:eastAsia="Arial" w:hAnsi="Arial"/>
          <w:sz w:val="16"/>
          <w:szCs w:val="16"/>
          <w:color w:val="auto"/>
        </w:rPr>
        <w:t xml:space="preserve">The Group’s policy is to ensure that its cash is secure and held in short term fixed deposit accounts or current accounts with financial institutions. During 2017, 2016 and 2015, the Group held cash on short term deposit with financial institutions, earning interest at various variable and fixed interest rates. In 2017, the average interest earned on cash and cash equivalents held on deposit was at a rate of approximately 0.25% </w:t>
      </w:r>
      <w:r>
        <w:rPr>
          <w:rFonts w:ascii="Arial" w:cs="Arial" w:eastAsia="Arial" w:hAnsi="Arial"/>
          <w:sz w:val="16"/>
          <w:szCs w:val="16"/>
          <w:i w:val="1"/>
          <w:iCs w:val="1"/>
          <w:color w:val="auto"/>
        </w:rPr>
        <w:t>(2016: 0.25%, 2015:</w:t>
      </w:r>
    </w:p>
    <w:p>
      <w:pPr>
        <w:ind w:left="42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0.25%)</w:t>
      </w:r>
      <w:r>
        <w:rPr>
          <w:rFonts w:ascii="Arial" w:cs="Arial" w:eastAsia="Arial" w:hAnsi="Arial"/>
          <w:sz w:val="18"/>
          <w:szCs w:val="18"/>
          <w:color w:val="auto"/>
        </w:rPr>
        <w:t>. A significant change in the interest rate would not have a material impact on the operations of the Group.</w:t>
      </w:r>
    </w:p>
    <w:p>
      <w:pPr>
        <w:spacing w:after="0" w:line="210" w:lineRule="exact"/>
        <w:rPr>
          <w:rFonts w:ascii="Arial" w:cs="Arial" w:eastAsia="Arial" w:hAnsi="Arial"/>
          <w:sz w:val="18"/>
          <w:szCs w:val="18"/>
          <w:b w:val="1"/>
          <w:bCs w:val="1"/>
          <w:i w:val="1"/>
          <w:iCs w:val="1"/>
          <w:color w:val="auto"/>
        </w:rPr>
      </w:pPr>
    </w:p>
    <w:p>
      <w:pPr>
        <w:ind w:left="4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exchange risk</w:t>
      </w:r>
    </w:p>
    <w:p>
      <w:pPr>
        <w:spacing w:after="0" w:line="225" w:lineRule="exact"/>
        <w:rPr>
          <w:rFonts w:ascii="Arial" w:cs="Arial" w:eastAsia="Arial" w:hAnsi="Arial"/>
          <w:sz w:val="18"/>
          <w:szCs w:val="18"/>
          <w:b w:val="1"/>
          <w:bCs w:val="1"/>
          <w:i w:val="1"/>
          <w:iCs w:val="1"/>
          <w:color w:val="auto"/>
        </w:rPr>
      </w:pPr>
    </w:p>
    <w:p>
      <w:pPr>
        <w:ind w:left="420" w:right="8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At 31 December 2017 and 2016, the majority of the Group’s assets and liabilities are denominated in U.S. dollar. The Group has some exposure to transactions in foreign currencies.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currency gain/(loss) in the consolidated income statement. At 31 December 2017 and 2016, our primary exposure to foreign exchange transaction risk related to euro net monetary assets held by subsidiaries with a U.S. dollar functional currency. At 31 December 2017, a 10% weakening in the Euro against the U.S. dollar would have reduced net profit by approximately $0.7 million (</w:t>
      </w:r>
      <w:r>
        <w:rPr>
          <w:rFonts w:ascii="Arial" w:cs="Arial" w:eastAsia="Arial" w:hAnsi="Arial"/>
          <w:sz w:val="18"/>
          <w:szCs w:val="18"/>
          <w:i w:val="1"/>
          <w:iCs w:val="1"/>
          <w:color w:val="auto"/>
        </w:rPr>
        <w:t>2016:</w:t>
      </w:r>
      <w:r>
        <w:rPr>
          <w:rFonts w:ascii="Arial" w:cs="Arial" w:eastAsia="Arial" w:hAnsi="Arial"/>
          <w:sz w:val="18"/>
          <w:szCs w:val="18"/>
          <w:color w:val="auto"/>
        </w:rPr>
        <w:t xml:space="preserve"> increased net loss by US$0.1 million).</w:t>
      </w:r>
    </w:p>
    <w:p>
      <w:pPr>
        <w:spacing w:after="0" w:line="189" w:lineRule="exact"/>
        <w:rPr>
          <w:rFonts w:ascii="Arial" w:cs="Arial" w:eastAsia="Arial" w:hAnsi="Arial"/>
          <w:sz w:val="18"/>
          <w:szCs w:val="18"/>
          <w:b w:val="1"/>
          <w:bCs w:val="1"/>
          <w:i w:val="1"/>
          <w:iCs w:val="1"/>
          <w:color w:val="auto"/>
        </w:rPr>
      </w:pPr>
    </w:p>
    <w:p>
      <w:pPr>
        <w:ind w:left="420" w:right="2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The functional currency of the Group’s Canadian subsidiary is the Canadian dollar and the functional currency of Avectas is the euro. Revenue and expense accounts of an entity, with a non-U.S. dollar functional currency are translated at the average exchange rate for the year. A 10% strengthening of foreign currencies to the U.S. dollar would have reduced net profit for the year ended 31 December 2017 by approximately US$0.3 million </w:t>
      </w:r>
      <w:r>
        <w:rPr>
          <w:rFonts w:ascii="Arial" w:cs="Arial" w:eastAsia="Arial" w:hAnsi="Arial"/>
          <w:sz w:val="18"/>
          <w:szCs w:val="18"/>
          <w:i w:val="1"/>
          <w:iCs w:val="1"/>
          <w:color w:val="auto"/>
        </w:rPr>
        <w:t>(2016:</w:t>
      </w:r>
      <w:r>
        <w:rPr>
          <w:rFonts w:ascii="Arial" w:cs="Arial" w:eastAsia="Arial" w:hAnsi="Arial"/>
          <w:sz w:val="18"/>
          <w:szCs w:val="18"/>
          <w:color w:val="auto"/>
        </w:rPr>
        <w:t xml:space="preserve"> </w:t>
      </w:r>
      <w:r>
        <w:rPr>
          <w:rFonts w:ascii="Arial" w:cs="Arial" w:eastAsia="Arial" w:hAnsi="Arial"/>
          <w:sz w:val="18"/>
          <w:szCs w:val="18"/>
          <w:i w:val="1"/>
          <w:iCs w:val="1"/>
          <w:color w:val="auto"/>
        </w:rPr>
        <w:t>increased net loss by US$0.2 million)</w:t>
      </w:r>
      <w:r>
        <w:rPr>
          <w:rFonts w:ascii="Arial" w:cs="Arial" w:eastAsia="Arial" w:hAnsi="Arial"/>
          <w:sz w:val="18"/>
          <w:szCs w:val="18"/>
          <w:color w:val="auto"/>
        </w:rPr>
        <w:t>.</w:t>
      </w:r>
    </w:p>
    <w:p>
      <w:pPr>
        <w:spacing w:after="0" w:line="186" w:lineRule="exact"/>
        <w:rPr>
          <w:rFonts w:ascii="Arial" w:cs="Arial" w:eastAsia="Arial" w:hAnsi="Arial"/>
          <w:sz w:val="18"/>
          <w:szCs w:val="18"/>
          <w:b w:val="1"/>
          <w:bCs w:val="1"/>
          <w:i w:val="1"/>
          <w:iCs w:val="1"/>
          <w:color w:val="auto"/>
        </w:rPr>
      </w:pPr>
    </w:p>
    <w:p>
      <w:pPr>
        <w:ind w:left="4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w:t>
      </w:r>
    </w:p>
    <w:p>
      <w:pPr>
        <w:spacing w:after="0" w:line="225" w:lineRule="exact"/>
        <w:rPr>
          <w:rFonts w:ascii="Arial" w:cs="Arial" w:eastAsia="Arial" w:hAnsi="Arial"/>
          <w:sz w:val="18"/>
          <w:szCs w:val="18"/>
          <w:b w:val="1"/>
          <w:bCs w:val="1"/>
          <w:i w:val="1"/>
          <w:iCs w:val="1"/>
          <w:color w:val="auto"/>
        </w:rPr>
      </w:pPr>
    </w:p>
    <w:p>
      <w:pPr>
        <w:ind w:left="420" w:right="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are subject to credit risk from our accounts receivable related to our product sales. We monitor our exposure within accounts receivable and record a reserve against uncollectible accounts receivable as necessary. We extend credit to customers in the United States and in Canada. Customer creditworthiness is monitored. As at 31 December 2017 and 2016, four customers accounted for 46% and 88% of gross accounts receivable, respectively. As at 31 December 2017 and 2016, no trade receivable balances were impaired</w:t>
      </w:r>
      <w:r>
        <w:rPr>
          <w:rFonts w:ascii="Arial" w:cs="Arial" w:eastAsia="Arial" w:hAnsi="Arial"/>
          <w:sz w:val="18"/>
          <w:szCs w:val="18"/>
          <w:i w:val="1"/>
          <w:iCs w:val="1"/>
          <w:color w:val="auto"/>
        </w:rPr>
        <w:t>.</w:t>
      </w:r>
    </w:p>
    <w:p>
      <w:pPr>
        <w:spacing w:after="0" w:line="186" w:lineRule="exact"/>
        <w:rPr>
          <w:rFonts w:ascii="Arial" w:cs="Arial" w:eastAsia="Arial" w:hAnsi="Arial"/>
          <w:sz w:val="18"/>
          <w:szCs w:val="18"/>
          <w:b w:val="1"/>
          <w:bCs w:val="1"/>
          <w:i w:val="1"/>
          <w:iCs w:val="1"/>
          <w:color w:val="auto"/>
        </w:rPr>
      </w:pPr>
    </w:p>
    <w:p>
      <w:pPr>
        <w:ind w:left="42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rFonts w:ascii="Arial" w:cs="Arial" w:eastAsia="Arial" w:hAnsi="Arial"/>
          <w:sz w:val="18"/>
          <w:szCs w:val="18"/>
          <w:b w:val="1"/>
          <w:bCs w:val="1"/>
          <w:i w:val="1"/>
          <w:iCs w:val="1"/>
          <w:color w:val="auto"/>
        </w:rPr>
      </w:pPr>
    </w:p>
    <w:p>
      <w:pPr>
        <w:ind w:left="420" w:right="70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At 31 December 2017, the Group has cash balances of US$92.0 million </w:t>
      </w:r>
      <w:r>
        <w:rPr>
          <w:rFonts w:ascii="Arial" w:cs="Arial" w:eastAsia="Arial" w:hAnsi="Arial"/>
          <w:sz w:val="18"/>
          <w:szCs w:val="18"/>
          <w:i w:val="1"/>
          <w:iCs w:val="1"/>
          <w:color w:val="auto"/>
        </w:rPr>
        <w:t>(2016: US$83.8 million)</w:t>
      </w:r>
      <w:r>
        <w:rPr>
          <w:rFonts w:ascii="Arial" w:cs="Arial" w:eastAsia="Arial" w:hAnsi="Arial"/>
          <w:sz w:val="18"/>
          <w:szCs w:val="18"/>
          <w:color w:val="auto"/>
        </w:rPr>
        <w:t>. The directors are satisfied that the Group has sufficient cash funds to meet its liabilities as they fall due.</w:t>
      </w:r>
    </w:p>
    <w:p>
      <w:pPr>
        <w:spacing w:after="0" w:line="166" w:lineRule="exact"/>
        <w:rPr>
          <w:rFonts w:ascii="Arial" w:cs="Arial" w:eastAsia="Arial" w:hAnsi="Arial"/>
          <w:sz w:val="18"/>
          <w:szCs w:val="18"/>
          <w:b w:val="1"/>
          <w:bCs w:val="1"/>
          <w:i w:val="1"/>
          <w:iCs w:val="1"/>
          <w:color w:val="auto"/>
        </w:rPr>
      </w:pPr>
    </w:p>
    <w:p>
      <w:pPr>
        <w:ind w:left="400" w:right="8400" w:hanging="392"/>
        <w:spacing w:after="0" w:line="566" w:lineRule="auto"/>
        <w:tabs>
          <w:tab w:leader="none" w:pos="395"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Remuneration of key management</w:t>
      </w:r>
    </w:p>
    <w:p>
      <w:pPr>
        <w:ind w:left="420"/>
        <w:spacing w:after="0"/>
        <w:rPr>
          <w:rFonts w:ascii="Arial" w:cs="Arial" w:eastAsia="Arial" w:hAnsi="Arial"/>
          <w:sz w:val="16"/>
          <w:szCs w:val="16"/>
          <w:b w:val="1"/>
          <w:bCs w:val="1"/>
          <w:color w:val="auto"/>
        </w:rPr>
      </w:pPr>
      <w:r>
        <w:rPr>
          <w:rFonts w:ascii="Arial" w:cs="Arial" w:eastAsia="Arial" w:hAnsi="Arial"/>
          <w:sz w:val="17"/>
          <w:szCs w:val="17"/>
          <w:color w:val="auto"/>
        </w:rPr>
        <w:t xml:space="preserve">The compensation of key management personnel in 2017, comprising of 5 individuals </w:t>
      </w:r>
      <w:r>
        <w:rPr>
          <w:rFonts w:ascii="Arial" w:cs="Arial" w:eastAsia="Arial" w:hAnsi="Arial"/>
          <w:sz w:val="17"/>
          <w:szCs w:val="17"/>
          <w:i w:val="1"/>
          <w:iCs w:val="1"/>
          <w:color w:val="auto"/>
        </w:rPr>
        <w:t>(2016: 5 individuals, 2015: 4 individuals)</w:t>
      </w:r>
      <w:r>
        <w:rPr>
          <w:rFonts w:ascii="Arial" w:cs="Arial" w:eastAsia="Arial" w:hAnsi="Arial"/>
          <w:sz w:val="17"/>
          <w:szCs w:val="17"/>
          <w:color w:val="auto"/>
        </w:rPr>
        <w:t>), is set out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ind w:right="476"/>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940" w:type="dxa"/>
            <w:vAlign w:val="bottom"/>
            <w:tcBorders>
              <w:top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5"/>
              </w:rPr>
              <w:t>US$’000</w:t>
            </w:r>
          </w:p>
        </w:tc>
        <w:tc>
          <w:tcPr>
            <w:tcW w:w="4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5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Wages, salaries and other benefits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1,981</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Pension costs</w:t>
            </w:r>
          </w:p>
        </w:tc>
        <w:tc>
          <w:tcPr>
            <w:tcW w:w="420" w:type="dxa"/>
            <w:vAlign w:val="bottom"/>
          </w:tcPr>
          <w:p>
            <w:pPr>
              <w:jc w:val="right"/>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based compensation expense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key management renumeration</w:t>
            </w:r>
          </w:p>
        </w:tc>
        <w:tc>
          <w:tcPr>
            <w:tcW w:w="9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2,930</w:t>
            </w:r>
          </w:p>
        </w:tc>
        <w:tc>
          <w:tcPr>
            <w:tcW w:w="2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2,116</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1,240</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jc w:val="right"/>
              <w:ind w:right="270"/>
              <w:spacing w:after="0"/>
              <w:rPr>
                <w:sz w:val="20"/>
                <w:szCs w:val="20"/>
                <w:color w:val="auto"/>
              </w:rPr>
            </w:pPr>
            <w:r>
              <w:rPr>
                <w:rFonts w:ascii="Arial" w:cs="Arial" w:eastAsia="Arial" w:hAnsi="Arial"/>
                <w:sz w:val="18"/>
                <w:szCs w:val="18"/>
                <w:color w:val="auto"/>
              </w:rPr>
              <w:t>31</w:t>
            </w: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57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i w:val="1"/>
          <w:iCs w:val="1"/>
          <w:color w:val="auto"/>
        </w:rPr>
        <w:t>(continued)</w:t>
      </w:r>
    </w:p>
    <w:p>
      <w:pPr>
        <w:spacing w:after="0" w:line="22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Shareholder loans</w:t>
      </w:r>
    </w:p>
    <w:p>
      <w:pPr>
        <w:spacing w:after="0" w:line="229" w:lineRule="exact"/>
        <w:rPr>
          <w:rFonts w:ascii="Arial" w:cs="Arial" w:eastAsia="Arial" w:hAnsi="Arial"/>
          <w:sz w:val="18"/>
          <w:szCs w:val="18"/>
          <w:b w:val="1"/>
          <w:bCs w:val="1"/>
          <w:color w:val="auto"/>
        </w:rPr>
      </w:pPr>
    </w:p>
    <w:p>
      <w:pPr>
        <w:ind w:left="42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Each of the shareholders as listed below, who are also directors of the Company, had previously advanced interest free loans to the Company. At 31 December 2017, the aggregate outstanding balance of all shareholder loans represented 0.1% </w:t>
      </w:r>
      <w:r>
        <w:rPr>
          <w:rFonts w:ascii="Arial" w:cs="Arial" w:eastAsia="Arial" w:hAnsi="Arial"/>
          <w:sz w:val="18"/>
          <w:szCs w:val="18"/>
          <w:i w:val="1"/>
          <w:iCs w:val="1"/>
          <w:color w:val="auto"/>
        </w:rPr>
        <w:t>(2016: 0.6%)</w:t>
      </w:r>
      <w:r>
        <w:rPr>
          <w:rFonts w:ascii="Arial" w:cs="Arial" w:eastAsia="Arial" w:hAnsi="Arial"/>
          <w:sz w:val="18"/>
          <w:szCs w:val="18"/>
          <w:color w:val="auto"/>
        </w:rPr>
        <w:t xml:space="preserve"> of the net assets as at the balance sheet date. The outstanding balances on each of these loans at 31 December 2017 and 2016 were as follows:</w:t>
      </w:r>
    </w:p>
    <w:p>
      <w:pPr>
        <w:spacing w:after="0" w:line="173"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360" w:type="dxa"/>
            <w:vAlign w:val="bottom"/>
          </w:tcPr>
          <w:p>
            <w:pPr>
              <w:jc w:val="right"/>
              <w:ind w:right="336"/>
              <w:spacing w:after="0"/>
              <w:rPr>
                <w:sz w:val="20"/>
                <w:szCs w:val="20"/>
                <w:color w:val="auto"/>
              </w:rPr>
            </w:pPr>
            <w:r>
              <w:rPr>
                <w:rFonts w:ascii="Arial" w:cs="Arial" w:eastAsia="Arial" w:hAnsi="Arial"/>
                <w:sz w:val="14"/>
                <w:szCs w:val="14"/>
                <w:b w:val="1"/>
                <w:bCs w:val="1"/>
                <w:color w:val="auto"/>
              </w:rPr>
              <w:t>US$’000</w:t>
            </w:r>
          </w:p>
        </w:tc>
        <w:tc>
          <w:tcPr>
            <w:tcW w:w="260" w:type="dxa"/>
            <w:vAlign w:val="bottom"/>
          </w:tcPr>
          <w:p>
            <w:pPr>
              <w:spacing w:after="0"/>
              <w:rPr>
                <w:sz w:val="15"/>
                <w:szCs w:val="15"/>
                <w:color w:val="auto"/>
              </w:rPr>
            </w:pPr>
          </w:p>
        </w:tc>
        <w:tc>
          <w:tcPr>
            <w:tcW w:w="1360" w:type="dxa"/>
            <w:vAlign w:val="bottom"/>
          </w:tcPr>
          <w:p>
            <w:pPr>
              <w:jc w:val="right"/>
              <w:ind w:right="336"/>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7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Shareholder loan - Seamus Mulligan(1)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Shareholder loan - David Brabazon(2)</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Shareholder loan - Eunan Maguire(2)</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2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(1)Monthly repayments are US$26,250 per month associated with this loan.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(2)Monthly repayment are US$5,625 per month associated with each of these loans.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Transactions with shareholders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Rental payments</w:t>
      </w:r>
    </w:p>
    <w:p>
      <w:pPr>
        <w:spacing w:after="0" w:line="225" w:lineRule="exact"/>
        <w:rPr>
          <w:sz w:val="20"/>
          <w:szCs w:val="20"/>
          <w:color w:val="auto"/>
        </w:rPr>
      </w:pPr>
    </w:p>
    <w:p>
      <w:pPr>
        <w:ind w:left="420" w:right="100"/>
        <w:spacing w:after="0" w:line="264" w:lineRule="auto"/>
        <w:rPr>
          <w:sz w:val="20"/>
          <w:szCs w:val="20"/>
          <w:color w:val="auto"/>
        </w:rPr>
      </w:pPr>
      <w:r>
        <w:rPr>
          <w:rFonts w:ascii="Arial" w:cs="Arial" w:eastAsia="Arial" w:hAnsi="Arial"/>
          <w:sz w:val="18"/>
          <w:szCs w:val="18"/>
          <w:color w:val="auto"/>
        </w:rPr>
        <w:t xml:space="preserve">In 2014, the Group entered into a lease agreement (“2014 lease agreement”) with Seamus Mulligan, a director and shareholder of the Company, to lease an office at a then current market rate for a term of 21 years. Rentals paid on this lease amounted to US$NIL in 2017 </w:t>
      </w:r>
      <w:r>
        <w:rPr>
          <w:rFonts w:ascii="Arial" w:cs="Arial" w:eastAsia="Arial" w:hAnsi="Arial"/>
          <w:sz w:val="18"/>
          <w:szCs w:val="18"/>
          <w:i w:val="1"/>
          <w:iCs w:val="1"/>
          <w:color w:val="auto"/>
        </w:rPr>
        <w:t>(2016: US$72,000, 2015:</w:t>
      </w:r>
      <w:r>
        <w:rPr>
          <w:rFonts w:ascii="Arial" w:cs="Arial" w:eastAsia="Arial" w:hAnsi="Arial"/>
          <w:sz w:val="18"/>
          <w:szCs w:val="18"/>
          <w:color w:val="auto"/>
        </w:rPr>
        <w:t xml:space="preserve"> </w:t>
      </w:r>
      <w:r>
        <w:rPr>
          <w:rFonts w:ascii="Arial" w:cs="Arial" w:eastAsia="Arial" w:hAnsi="Arial"/>
          <w:sz w:val="18"/>
          <w:szCs w:val="18"/>
          <w:i w:val="1"/>
          <w:iCs w:val="1"/>
          <w:color w:val="auto"/>
        </w:rPr>
        <w:t>US$98,000)</w:t>
      </w:r>
      <w:r>
        <w:rPr>
          <w:rFonts w:ascii="Arial" w:cs="Arial" w:eastAsia="Arial" w:hAnsi="Arial"/>
          <w:sz w:val="18"/>
          <w:szCs w:val="18"/>
          <w:color w:val="auto"/>
        </w:rPr>
        <w:t>.</w:t>
      </w:r>
    </w:p>
    <w:p>
      <w:pPr>
        <w:spacing w:after="0" w:line="181" w:lineRule="exact"/>
        <w:rPr>
          <w:sz w:val="20"/>
          <w:szCs w:val="20"/>
          <w:color w:val="auto"/>
        </w:rPr>
      </w:pPr>
    </w:p>
    <w:p>
      <w:pPr>
        <w:ind w:left="420" w:right="80"/>
        <w:spacing w:after="0" w:line="312" w:lineRule="auto"/>
        <w:rPr>
          <w:sz w:val="20"/>
          <w:szCs w:val="20"/>
          <w:color w:val="auto"/>
        </w:rPr>
      </w:pPr>
      <w:r>
        <w:rPr>
          <w:rFonts w:ascii="Arial" w:cs="Arial" w:eastAsia="Arial" w:hAnsi="Arial"/>
          <w:sz w:val="16"/>
          <w:szCs w:val="16"/>
          <w:color w:val="auto"/>
        </w:rPr>
        <w:t xml:space="preserve">In September 2016, the Group terminated the 2014 lease agreement and entered into a new lease agreement (“2016 lease agreement”) with Seamus Mulligan to lease the same office at a then current market rate for a term of 10 years. In 2017, rentals paid on this lease amounted to US$192,094 </w:t>
      </w:r>
      <w:r>
        <w:rPr>
          <w:rFonts w:ascii="Arial" w:cs="Arial" w:eastAsia="Arial" w:hAnsi="Arial"/>
          <w:sz w:val="16"/>
          <w:szCs w:val="16"/>
          <w:i w:val="1"/>
          <w:iCs w:val="1"/>
          <w:color w:val="auto"/>
        </w:rPr>
        <w:t>(2016:</w:t>
      </w:r>
      <w:r>
        <w:rPr>
          <w:rFonts w:ascii="Arial" w:cs="Arial" w:eastAsia="Arial" w:hAnsi="Arial"/>
          <w:sz w:val="16"/>
          <w:szCs w:val="16"/>
          <w:color w:val="auto"/>
        </w:rPr>
        <w:t xml:space="preserve"> </w:t>
      </w:r>
      <w:r>
        <w:rPr>
          <w:rFonts w:ascii="Arial" w:cs="Arial" w:eastAsia="Arial" w:hAnsi="Arial"/>
          <w:sz w:val="16"/>
          <w:szCs w:val="16"/>
          <w:i w:val="1"/>
          <w:iCs w:val="1"/>
          <w:color w:val="auto"/>
        </w:rPr>
        <w:t>US$55,000)</w:t>
      </w:r>
      <w:r>
        <w:rPr>
          <w:rFonts w:ascii="Arial" w:cs="Arial" w:eastAsia="Arial" w:hAnsi="Arial"/>
          <w:sz w:val="16"/>
          <w:szCs w:val="16"/>
          <w:color w:val="auto"/>
        </w:rPr>
        <w:t>. In 2017, other costs paid in respect of the premises to Seamus Mulligan amounted to US$14,566</w:t>
      </w:r>
      <w:r>
        <w:rPr>
          <w:rFonts w:ascii="Arial" w:cs="Arial" w:eastAsia="Arial" w:hAnsi="Arial"/>
          <w:sz w:val="16"/>
          <w:szCs w:val="16"/>
          <w:i w:val="1"/>
          <w:iCs w:val="1"/>
          <w:color w:val="auto"/>
        </w:rPr>
        <w:t xml:space="preserve"> (2016: US$45,000)</w:t>
      </w:r>
      <w:r>
        <w:rPr>
          <w:rFonts w:ascii="Arial" w:cs="Arial" w:eastAsia="Arial" w:hAnsi="Arial"/>
          <w:sz w:val="16"/>
          <w:szCs w:val="16"/>
          <w:color w:val="auto"/>
        </w:rPr>
        <w:t>.</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Transactions with Avectas Limited</w:t>
      </w:r>
    </w:p>
    <w:p>
      <w:pPr>
        <w:spacing w:after="0" w:line="225" w:lineRule="exact"/>
        <w:rPr>
          <w:sz w:val="20"/>
          <w:szCs w:val="20"/>
          <w:color w:val="auto"/>
        </w:rPr>
      </w:pPr>
    </w:p>
    <w:p>
      <w:pPr>
        <w:jc w:val="both"/>
        <w:ind w:left="420" w:right="240"/>
        <w:spacing w:after="0" w:line="264" w:lineRule="auto"/>
        <w:rPr>
          <w:sz w:val="20"/>
          <w:szCs w:val="20"/>
          <w:color w:val="auto"/>
        </w:rPr>
      </w:pPr>
      <w:r>
        <w:rPr>
          <w:rFonts w:ascii="Arial" w:cs="Arial" w:eastAsia="Arial" w:hAnsi="Arial"/>
          <w:sz w:val="18"/>
          <w:szCs w:val="18"/>
          <w:color w:val="auto"/>
        </w:rPr>
        <w:t xml:space="preserve">As at 31 December 2017 and 2016, Seamus Mulligan, Eunan Maguire and David Brabazon, all shareholders and directors of the Company, separately owned 6.4%, 5.4% and 1.6%, respectively (2016: </w:t>
      </w:r>
      <w:r>
        <w:rPr>
          <w:rFonts w:ascii="Arial" w:cs="Arial" w:eastAsia="Arial" w:hAnsi="Arial"/>
          <w:sz w:val="18"/>
          <w:szCs w:val="18"/>
          <w:i w:val="1"/>
          <w:iCs w:val="1"/>
          <w:color w:val="auto"/>
        </w:rPr>
        <w:t>9.2%, 7.8% and 2.3%, respectively)</w:t>
      </w:r>
      <w:r>
        <w:rPr>
          <w:rFonts w:ascii="Arial" w:cs="Arial" w:eastAsia="Arial" w:hAnsi="Arial"/>
          <w:sz w:val="18"/>
          <w:szCs w:val="18"/>
          <w:color w:val="auto"/>
        </w:rPr>
        <w:t>, of the ordinary shares of Avectas Limited. Eunan Maguire also sits on the board of directors of Avectas Limited.</w:t>
      </w:r>
    </w:p>
    <w:p>
      <w:pPr>
        <w:spacing w:after="0" w:line="177" w:lineRule="exact"/>
        <w:rPr>
          <w:sz w:val="20"/>
          <w:szCs w:val="20"/>
          <w:color w:val="auto"/>
        </w:rPr>
      </w:pPr>
    </w:p>
    <w:p>
      <w:pPr>
        <w:ind w:left="420" w:right="9820" w:hanging="412"/>
        <w:spacing w:after="0" w:line="566" w:lineRule="auto"/>
        <w:tabs>
          <w:tab w:leader="none" w:pos="413"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i w:val="1"/>
          <w:iCs w:val="1"/>
          <w:color w:val="auto"/>
        </w:rPr>
        <w:t>Operating leases</w:t>
      </w:r>
    </w:p>
    <w:p>
      <w:pPr>
        <w:ind w:left="420"/>
        <w:spacing w:after="0"/>
        <w:rPr>
          <w:rFonts w:ascii="Arial" w:cs="Arial" w:eastAsia="Arial" w:hAnsi="Arial"/>
          <w:sz w:val="16"/>
          <w:szCs w:val="16"/>
          <w:b w:val="1"/>
          <w:bCs w:val="1"/>
          <w:color w:val="auto"/>
        </w:rPr>
      </w:pPr>
      <w:r>
        <w:rPr>
          <w:rFonts w:ascii="Arial" w:cs="Arial" w:eastAsia="Arial" w:hAnsi="Arial"/>
          <w:sz w:val="18"/>
          <w:szCs w:val="18"/>
          <w:color w:val="auto"/>
        </w:rPr>
        <w:t>Future minimum rentals payable under non-cancellable operating leases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8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360" w:type="dxa"/>
            <w:vAlign w:val="bottom"/>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6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US$’000</w:t>
            </w:r>
          </w:p>
        </w:tc>
        <w:tc>
          <w:tcPr>
            <w:tcW w:w="260" w:type="dxa"/>
            <w:vAlign w:val="bottom"/>
          </w:tcPr>
          <w:p>
            <w:pPr>
              <w:spacing w:after="0"/>
              <w:rPr>
                <w:sz w:val="15"/>
                <w:szCs w:val="15"/>
                <w:color w:val="auto"/>
              </w:rPr>
            </w:pPr>
          </w:p>
        </w:tc>
        <w:tc>
          <w:tcPr>
            <w:tcW w:w="136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US$’000</w:t>
            </w:r>
          </w:p>
        </w:tc>
        <w:tc>
          <w:tcPr>
            <w:tcW w:w="280" w:type="dxa"/>
            <w:vAlign w:val="bottom"/>
          </w:tcPr>
          <w:p>
            <w:pPr>
              <w:spacing w:after="0"/>
              <w:rPr>
                <w:sz w:val="15"/>
                <w:szCs w:val="15"/>
                <w:color w:val="auto"/>
              </w:rPr>
            </w:pPr>
          </w:p>
        </w:tc>
        <w:tc>
          <w:tcPr>
            <w:tcW w:w="136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US$’000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1,983</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2,346</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613"/>
              <w:spacing w:after="0"/>
              <w:rPr>
                <w:sz w:val="20"/>
                <w:szCs w:val="20"/>
                <w:color w:val="auto"/>
              </w:rPr>
            </w:pPr>
            <w:r>
              <w:rPr>
                <w:rFonts w:ascii="Arial" w:cs="Arial" w:eastAsia="Arial" w:hAnsi="Arial"/>
                <w:sz w:val="18"/>
                <w:szCs w:val="18"/>
                <w:color w:val="auto"/>
              </w:rPr>
              <w:t>32</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20" w:right="8600" w:hanging="412"/>
        <w:spacing w:after="0" w:line="566" w:lineRule="auto"/>
        <w:tabs>
          <w:tab w:leader="none" w:pos="413"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w:t>
      </w:r>
      <w:r>
        <w:rPr>
          <w:rFonts w:ascii="Arial" w:cs="Arial" w:eastAsia="Arial" w:hAnsi="Arial"/>
          <w:sz w:val="16"/>
          <w:szCs w:val="16"/>
          <w:i w:val="1"/>
          <w:iCs w:val="1"/>
          <w:color w:val="auto"/>
        </w:rPr>
        <w:t>(continued)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Other expenditure commitments</w:t>
      </w:r>
    </w:p>
    <w:p>
      <w:pPr>
        <w:ind w:left="42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The Group is committed to making a number of milestone payments in connection with certain licence agreements entered into with third parties. Total maximum sales based milestone payments amount to US$48 million. In 2017, sales based milestones totalling $33.0 million became payable by the Group to our licensor. Of this $33.0 million of milestones, $8.0 million were paid in 2017 and $25.0 million was paid and extinguished in early 2018. Certain amounts paid under the 2018 License Agreement were offset against these milestones. At 31 December 2017, there are potential sales based milestone totalling $15.0 million which could become payable in future periods. However, these payments are conditional on events, and the achievement of these milestones is uncertain. In addition, certain amounts may be payable under the 2018 License Agreement.</w:t>
      </w:r>
    </w:p>
    <w:p>
      <w:pPr>
        <w:spacing w:after="0" w:line="164" w:lineRule="exact"/>
        <w:rPr>
          <w:rFonts w:ascii="Arial" w:cs="Arial" w:eastAsia="Arial" w:hAnsi="Arial"/>
          <w:sz w:val="16"/>
          <w:szCs w:val="16"/>
          <w:b w:val="1"/>
          <w:bCs w:val="1"/>
          <w:color w:val="auto"/>
        </w:rPr>
      </w:pPr>
    </w:p>
    <w:p>
      <w:pPr>
        <w:ind w:left="420" w:right="4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At 31 December 2017, the Group had $18.4 million of non-cancellable purchase commitments under agreements with contract manufacturers due within one year.</w:t>
      </w:r>
    </w:p>
    <w:p>
      <w:pPr>
        <w:spacing w:after="0" w:line="166" w:lineRule="exact"/>
        <w:rPr>
          <w:rFonts w:ascii="Arial" w:cs="Arial" w:eastAsia="Arial" w:hAnsi="Arial"/>
          <w:sz w:val="16"/>
          <w:szCs w:val="16"/>
          <w:b w:val="1"/>
          <w:bCs w:val="1"/>
          <w:color w:val="auto"/>
        </w:rPr>
      </w:pPr>
    </w:p>
    <w:p>
      <w:pPr>
        <w:ind w:left="380" w:hanging="372"/>
        <w:spacing w:after="0"/>
        <w:tabs>
          <w:tab w:leader="none" w:pos="3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group entities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list of all subsidiary undertakings are set out below</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Country of</w:t>
            </w: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Ownership direct</w:t>
            </w:r>
          </w:p>
        </w:tc>
        <w:tc>
          <w:tcPr>
            <w:tcW w:w="100" w:type="dxa"/>
            <w:vAlign w:val="bottom"/>
          </w:tcPr>
          <w:p>
            <w:pPr>
              <w:spacing w:after="0"/>
              <w:rPr>
                <w:sz w:val="14"/>
                <w:szCs w:val="1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142"/>
        </w:trPr>
        <w:tc>
          <w:tcPr>
            <w:tcW w:w="1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Entity name</w:t>
            </w:r>
          </w:p>
        </w:tc>
        <w:tc>
          <w:tcPr>
            <w:tcW w:w="2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incorporation</w:t>
            </w:r>
          </w:p>
        </w:tc>
        <w:tc>
          <w:tcPr>
            <w:tcW w:w="260" w:type="dxa"/>
            <w:vAlign w:val="bottom"/>
          </w:tcPr>
          <w:p>
            <w:pPr>
              <w:spacing w:after="0"/>
              <w:rPr>
                <w:sz w:val="12"/>
                <w:szCs w:val="12"/>
                <w:color w:val="auto"/>
              </w:rPr>
            </w:pPr>
          </w:p>
        </w:tc>
        <w:tc>
          <w:tcPr>
            <w:tcW w:w="1620" w:type="dxa"/>
            <w:vAlign w:val="bottom"/>
            <w:gridSpan w:val="2"/>
          </w:tcPr>
          <w:p>
            <w:pPr>
              <w:ind w:left="440"/>
              <w:spacing w:after="0" w:line="142" w:lineRule="exact"/>
              <w:rPr>
                <w:sz w:val="20"/>
                <w:szCs w:val="20"/>
                <w:color w:val="auto"/>
              </w:rPr>
            </w:pPr>
            <w:r>
              <w:rPr>
                <w:rFonts w:ascii="Arial" w:cs="Arial" w:eastAsia="Arial" w:hAnsi="Arial"/>
                <w:sz w:val="14"/>
                <w:szCs w:val="14"/>
                <w:b w:val="1"/>
                <w:bCs w:val="1"/>
                <w:color w:val="auto"/>
              </w:rPr>
              <w:t>Activity</w:t>
            </w:r>
          </w:p>
        </w:tc>
        <w:tc>
          <w:tcPr>
            <w:tcW w:w="16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At 31 Dec 2017</w:t>
            </w:r>
          </w:p>
        </w:tc>
        <w:tc>
          <w:tcPr>
            <w:tcW w:w="13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At 31 Dec 2016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85"/>
              </w:rPr>
              <w:t>address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Adapt Pharma Operations</w:t>
            </w:r>
          </w:p>
        </w:tc>
        <w:tc>
          <w:tcPr>
            <w:tcW w:w="15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Ireland</w:t>
            </w:r>
          </w:p>
        </w:tc>
        <w:tc>
          <w:tcPr>
            <w:tcW w:w="188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Trading Entity</w:t>
            </w:r>
          </w:p>
        </w:tc>
        <w:tc>
          <w:tcPr>
            <w:tcW w:w="16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100%</w:t>
            </w:r>
          </w:p>
        </w:tc>
        <w:tc>
          <w:tcPr>
            <w:tcW w:w="16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100%</w:t>
            </w:r>
          </w:p>
        </w:tc>
        <w:tc>
          <w:tcPr>
            <w:tcW w:w="226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45 Fitzwilliam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Square, Dublin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Adapt Pharma Inc.</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1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Trading Entity</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100 Matsonford 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Radnor, PA 19087,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U.S.A.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Adapt Pharma Canada</w:t>
            </w:r>
          </w:p>
        </w:tc>
        <w:tc>
          <w:tcPr>
            <w:tcW w:w="152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Canada</w:t>
            </w:r>
          </w:p>
        </w:tc>
        <w:tc>
          <w:tcPr>
            <w:tcW w:w="1880" w:type="dxa"/>
            <w:vAlign w:val="bottom"/>
            <w:gridSpan w:val="3"/>
            <w:shd w:val="clear" w:color="auto" w:fill="CCEEFF"/>
          </w:tcPr>
          <w:p>
            <w:pPr>
              <w:ind w:left="260"/>
              <w:spacing w:after="0" w:line="201" w:lineRule="exact"/>
              <w:rPr>
                <w:sz w:val="20"/>
                <w:szCs w:val="20"/>
                <w:color w:val="auto"/>
              </w:rPr>
            </w:pPr>
            <w:r>
              <w:rPr>
                <w:rFonts w:ascii="Arial" w:cs="Arial" w:eastAsia="Arial" w:hAnsi="Arial"/>
                <w:sz w:val="18"/>
                <w:szCs w:val="18"/>
                <w:color w:val="auto"/>
              </w:rPr>
              <w:t>Trading Entity</w:t>
            </w:r>
          </w:p>
        </w:tc>
        <w:tc>
          <w:tcPr>
            <w:tcW w:w="16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100%</w:t>
            </w:r>
          </w:p>
        </w:tc>
        <w:tc>
          <w:tcPr>
            <w:tcW w:w="160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100%</w:t>
            </w:r>
          </w:p>
        </w:tc>
        <w:tc>
          <w:tcPr>
            <w:tcW w:w="226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Suite 2400, 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Limited</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Thurlow 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Vancouver,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BC V6E0C5, Canada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Avectas Limited</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1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Trading Entity</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45.24%</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29.33%</w:t>
            </w: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45 Fitzwilliam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Square, Dublin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Avectas Inc.</w:t>
            </w:r>
          </w:p>
        </w:tc>
        <w:tc>
          <w:tcPr>
            <w:tcW w:w="1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w:t>
            </w:r>
          </w:p>
        </w:tc>
        <w:tc>
          <w:tcPr>
            <w:tcW w:w="18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Trading Entity</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45.24%</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29.33%</w:t>
            </w: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245 First Street,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Suite 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Cambridge,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MA 02142, USA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right="640"/>
        <w:spacing w:after="0" w:line="277" w:lineRule="auto"/>
        <w:rPr>
          <w:sz w:val="20"/>
          <w:szCs w:val="20"/>
          <w:color w:val="auto"/>
        </w:rPr>
      </w:pPr>
      <w:r>
        <w:rPr>
          <w:rFonts w:ascii="Arial" w:cs="Arial" w:eastAsia="Arial" w:hAnsi="Arial"/>
          <w:sz w:val="18"/>
          <w:szCs w:val="18"/>
          <w:color w:val="auto"/>
        </w:rPr>
        <w:t>The ultimate parent undertaking of Adapt Pharma Limited is Nerano Pharma Limited, an entity incorporated in Ireland. Consolidated financial statements for Nerano Pharma Limited are available from the Companies Registration Office.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Legal matters</w:t>
      </w:r>
    </w:p>
    <w:p>
      <w:pPr>
        <w:spacing w:after="0" w:line="229" w:lineRule="exact"/>
        <w:rPr>
          <w:sz w:val="20"/>
          <w:szCs w:val="20"/>
          <w:color w:val="auto"/>
        </w:rPr>
      </w:pPr>
    </w:p>
    <w:p>
      <w:pPr>
        <w:ind w:left="400"/>
        <w:spacing w:after="0" w:line="273" w:lineRule="auto"/>
        <w:rPr>
          <w:sz w:val="20"/>
          <w:szCs w:val="20"/>
          <w:color w:val="auto"/>
        </w:rPr>
      </w:pPr>
      <w:r>
        <w:rPr>
          <w:rFonts w:ascii="Arial" w:cs="Arial" w:eastAsia="Arial" w:hAnsi="Arial"/>
          <w:sz w:val="17"/>
          <w:szCs w:val="17"/>
          <w:color w:val="auto"/>
        </w:rPr>
        <w:t>At various dates between September 2016 and February 2018, the Adapt Pharma Limited, Adapt Pharma Operations Limited, Adapt Pharma Inc and Opiant Pharmaceuticals Inc. received notices from Teva Pharmaceuticals USA, Inc. (Teva USA), that Teva USA had filed an Abbreviated New Drug Application (ANDA) with the FDA seeking regulatory approval to market a generic version of a 4mg naloxone hydrochloride nasal sprays before the expiration of the applicable patents. Each of the applicable patents are owned by Opiant Pharmaceuticals Inc. or jointly owned by the Group and Opiant Pharmaceuticals Inc and are listed in the FDA’s Approved Drug Products with Therapeutic Equivalents Evaluations publication commonly referred to as the “Orange Book”. Each of the applicable patents expire in March 2035.</w:t>
      </w:r>
    </w:p>
    <w:p>
      <w:pPr>
        <w:spacing w:after="0" w:line="178" w:lineRule="exact"/>
        <w:rPr>
          <w:sz w:val="20"/>
          <w:szCs w:val="20"/>
          <w:color w:val="auto"/>
        </w:rPr>
      </w:pPr>
    </w:p>
    <w:p>
      <w:pPr>
        <w:ind w:left="400"/>
        <w:spacing w:after="0" w:line="255" w:lineRule="auto"/>
        <w:rPr>
          <w:sz w:val="20"/>
          <w:szCs w:val="20"/>
          <w:color w:val="auto"/>
        </w:rPr>
      </w:pPr>
      <w:r>
        <w:rPr>
          <w:rFonts w:ascii="Arial" w:cs="Arial" w:eastAsia="Arial" w:hAnsi="Arial"/>
          <w:sz w:val="18"/>
          <w:szCs w:val="18"/>
          <w:color w:val="auto"/>
        </w:rPr>
        <w:t>Subsequent to receipt of each of the notices, Adapt Pharma Limited, Adapt Pharma Operations Limited, Adapt Pharma Inc and Opiant Pharmaceuticals Inc filed complaints for patent infringement against Teva and certain of its affiliates in the United States District Court for the District of New Jersey arising from the filing of the ANDA with the FDA. In each of the complaints, Adapt Pharma Limited, Adapt Pharma Operations Limited, Adapt Pharma Inc and Opiant Pharmaceuticals Inc seek, among other reliefs, an order that the effective date of FDA approval of the ANDA be a date not earlier than the expiration of the applicable patents, as well as equitable relief enjoining Teva and certain of its affiliates from making, using, offering to sell, selling, or importing the product that is the subject of the ANDA until after the expiration of the applicable patent, and monetary relief as a result of any such infringement.</w:t>
      </w:r>
    </w:p>
    <w:p>
      <w:pPr>
        <w:spacing w:after="0" w:line="185"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40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28 February 2018, the Group through its wholly owned subsidiary, Adapt Pharma Operations Limited, entered into the 2018 License Agreement with a third party in connection with nasal naloxone patents. Total consideration in connection with the licensing agreement includes US$12.5 million, which was paid upon signing, additional future fixed payments, as well as contingent payments which could become payable in future periods.</w:t>
      </w:r>
    </w:p>
    <w:p>
      <w:pPr>
        <w:spacing w:after="0" w:line="146" w:lineRule="exact"/>
        <w:rPr>
          <w:rFonts w:ascii="Arial" w:cs="Arial" w:eastAsia="Arial" w:hAnsi="Arial"/>
          <w:sz w:val="18"/>
          <w:szCs w:val="18"/>
          <w:b w:val="1"/>
          <w:bCs w:val="1"/>
          <w:color w:val="auto"/>
        </w:rPr>
      </w:pPr>
    </w:p>
    <w:p>
      <w:pPr>
        <w:ind w:left="400" w:right="1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27 March 2018, Avectas Limited issued €1.6 million (US$1.9 million) of 2018 Convertible Loan Notes. Adapt Pharma Limited subscribed for €1.5 million (US$1.8 million) of the 2018 Convertible Loan Notes. Adapt Pharma Limited had the right to convert the 2018 Convertible Loan Notes into Ordinary Shares of Avectas Limited at a fixed conversion price in the period from the issuance date to 31 December 2018. On 31 December 2018, all outstanding notes would have automatically converted into Ordinary Shares at the fixed conversion price.</w:t>
      </w:r>
    </w:p>
    <w:p>
      <w:pPr>
        <w:spacing w:after="0" w:line="171" w:lineRule="exact"/>
        <w:rPr>
          <w:rFonts w:ascii="Arial" w:cs="Arial" w:eastAsia="Arial" w:hAnsi="Arial"/>
          <w:sz w:val="18"/>
          <w:szCs w:val="18"/>
          <w:b w:val="1"/>
          <w:bCs w:val="1"/>
          <w:color w:val="auto"/>
        </w:rPr>
      </w:pPr>
    </w:p>
    <w:p>
      <w:pPr>
        <w:ind w:left="40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May 2018, following Adapt Pharma Limited serving notice on Avectas Limited, €3.5 million of the 2017 Convertible Loan Notes and €1.5 million of the 2018 Convertible Loan Notes were converted into 277,777 ordinary shares of Avectas Limited. Adapt Pharma Limited disposed of its entire investment in Avectas Limited by transferring its investment in Avectas to ALSHC Limited, by way of a distribution. ALSHC Limited is owned by the shareholders of the Company.</w:t>
      </w:r>
    </w:p>
    <w:p>
      <w:pPr>
        <w:spacing w:after="0" w:line="186" w:lineRule="exact"/>
        <w:rPr>
          <w:rFonts w:ascii="Arial" w:cs="Arial" w:eastAsia="Arial" w:hAnsi="Arial"/>
          <w:sz w:val="18"/>
          <w:szCs w:val="18"/>
          <w:b w:val="1"/>
          <w:bCs w:val="1"/>
          <w:color w:val="auto"/>
        </w:rPr>
      </w:pPr>
    </w:p>
    <w:p>
      <w:pPr>
        <w:ind w:left="40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August 2018, the Group entered into a definitive agreement for the Group to be acquired by Emergent BioSolutions Inc. The acquisition of the Group by Emergent BioSolutions Inc., is subject to customary closing conditions, including antitrust regulatory approval and is expected to close in the fourth quarter of 2018. Total consideration payable by Emergent BioSolutions Inc for the acquisition is up to $735 million consisting of an upfront payment of $635 million and up to $100 million in cash based on achievement of certain sales milestones through 2022. The upfront payment of $635 million consists of $575 million in cash and $60 million in Emergent BioSolutions Inc’s common stock, all of which are subject to adjustments.</w:t>
      </w:r>
    </w:p>
    <w:p>
      <w:pPr>
        <w:spacing w:after="0" w:line="158" w:lineRule="exact"/>
        <w:rPr>
          <w:rFonts w:ascii="Arial" w:cs="Arial" w:eastAsia="Arial" w:hAnsi="Arial"/>
          <w:sz w:val="18"/>
          <w:szCs w:val="18"/>
          <w:b w:val="1"/>
          <w:bCs w:val="1"/>
          <w:color w:val="auto"/>
        </w:rPr>
      </w:pPr>
    </w:p>
    <w:p>
      <w:pPr>
        <w:ind w:left="40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September 2018, Adapt Pharma Limited, Adapt Pharma Operations Limited, Adapt Pharma Inc and Opiant Pharmaceuticals Inc received notice from Perrigo UK FINCO Limited Partnership (“Perrigo”), that Perrigo had filed an ANDA with the FDA seeking regulatory approval to market a generic version of 4mg naloxone hydrochloride nasal spray before the expiration of certain patents, which patents are owned by Opiant Pharmaceuticals Inc. or jointly owned by the Group and Opiant Pharmaceuticals Inc and are listed in the FDA’s Orange Book. Each of the applicable patents expire in March 2035. The Group and Opiant Pharmaceuticals Inc are currently evaluating Perrigo’s notice letter.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Adapt Pharma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w:t>
      </w:r>
      <w:r>
        <w:rPr>
          <w:rFonts w:ascii="Arial" w:cs="Arial" w:eastAsia="Arial" w:hAnsi="Arial"/>
          <w:sz w:val="18"/>
          <w:szCs w:val="18"/>
          <w:i w:val="1"/>
          <w:iCs w:val="1"/>
          <w:color w:val="auto"/>
        </w:rPr>
        <w:t>(continued)</w:t>
      </w:r>
    </w:p>
    <w:p>
      <w:pPr>
        <w:spacing w:after="0" w:line="207"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29" w:lineRule="exact"/>
        <w:rPr>
          <w:rFonts w:ascii="Arial" w:cs="Arial" w:eastAsia="Arial" w:hAnsi="Arial"/>
          <w:sz w:val="18"/>
          <w:szCs w:val="18"/>
          <w:b w:val="1"/>
          <w:bCs w:val="1"/>
          <w:color w:val="auto"/>
        </w:rPr>
      </w:pPr>
    </w:p>
    <w:p>
      <w:pPr>
        <w:ind w:lef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September 2018, the shareholders of Adapt Pharma Limited approved a reduction of US$97.0 million in the Company’s share premium account with the resulting reserve to be treated as profits available for distribution. The resolution was registered with the Companies Registration Office in September 2018.</w:t>
      </w:r>
    </w:p>
    <w:p>
      <w:pPr>
        <w:spacing w:after="0" w:line="181" w:lineRule="exact"/>
        <w:rPr>
          <w:rFonts w:ascii="Arial" w:cs="Arial" w:eastAsia="Arial" w:hAnsi="Arial"/>
          <w:sz w:val="18"/>
          <w:szCs w:val="18"/>
          <w:b w:val="1"/>
          <w:bCs w:val="1"/>
          <w:color w:val="auto"/>
        </w:rPr>
      </w:pPr>
    </w:p>
    <w:p>
      <w:pPr>
        <w:ind w:left="4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October 2018, a dividend totalling US$43.5 million was approved. The dividend was paid on 10 October 2018 to those ordinary shareholders who appeared on the Company’s register on that date.</w:t>
      </w:r>
    </w:p>
    <w:p>
      <w:pPr>
        <w:spacing w:after="0" w:line="166" w:lineRule="exact"/>
        <w:rPr>
          <w:rFonts w:ascii="Arial" w:cs="Arial" w:eastAsia="Arial" w:hAnsi="Arial"/>
          <w:sz w:val="18"/>
          <w:szCs w:val="18"/>
          <w:b w:val="1"/>
          <w:bCs w:val="1"/>
          <w:color w:val="auto"/>
        </w:rPr>
      </w:pPr>
    </w:p>
    <w:p>
      <w:pPr>
        <w:ind w:left="400" w:hanging="392"/>
        <w:spacing w:after="0"/>
        <w:tabs>
          <w:tab w:leader="none" w:pos="4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board of directors approved these financial statements on 11 October 2018.</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unaudited pro forma condensed combined financial statements of:</w:t>
      </w:r>
    </w:p>
    <w:p>
      <w:pPr>
        <w:spacing w:after="0" w:line="225" w:lineRule="exact"/>
        <w:rPr>
          <w:sz w:val="20"/>
          <w:szCs w:val="20"/>
          <w:color w:val="auto"/>
        </w:rPr>
      </w:pPr>
    </w:p>
    <w:p>
      <w:pPr>
        <w:ind w:left="1320" w:hanging="295"/>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Emergent BioSolutions Inc. (“Emergent”);</w:t>
      </w:r>
    </w:p>
    <w:p>
      <w:pPr>
        <w:spacing w:after="0" w:line="23" w:lineRule="exact"/>
        <w:rPr>
          <w:rFonts w:ascii="Arial" w:cs="Arial" w:eastAsia="Arial" w:hAnsi="Arial"/>
          <w:sz w:val="18"/>
          <w:szCs w:val="18"/>
          <w:color w:val="auto"/>
        </w:rPr>
      </w:pPr>
    </w:p>
    <w:p>
      <w:pPr>
        <w:jc w:val="both"/>
        <w:ind w:left="1340" w:right="40" w:hanging="315"/>
        <w:spacing w:after="0" w:line="265" w:lineRule="auto"/>
        <w:tabs>
          <w:tab w:leader="none" w:pos="1304" w:val="left"/>
        </w:tabs>
        <w:numPr>
          <w:ilvl w:val="0"/>
          <w:numId w:val="60"/>
        </w:numPr>
        <w:rPr>
          <w:rFonts w:ascii="Arial" w:cs="Arial" w:eastAsia="Arial" w:hAnsi="Arial"/>
          <w:sz w:val="17"/>
          <w:szCs w:val="17"/>
          <w:color w:val="auto"/>
        </w:rPr>
      </w:pPr>
      <w:r>
        <w:rPr>
          <w:rFonts w:ascii="Arial" w:cs="Arial" w:eastAsia="Arial" w:hAnsi="Arial"/>
          <w:sz w:val="17"/>
          <w:szCs w:val="17"/>
          <w:color w:val="auto"/>
        </w:rPr>
        <w:t>PaxVax Holding Company Ltd. (prior to the completion of the acquisition but after June 30, 2018, PaxVax Global, L.P. contributed all of its subsidiaries, operations, assets and liabilities to a newly-formed entity, PaxVax Holding Company Ltd., therefore, PaxVax Global, L.P. and PaxVax Holding Company Ltd will be collectively referred to as “PaxVax”) and the historical financial information of PaxVax Global, L.P. has been used to prepare these unaudited pro forma condensed combined financial statements; and</w:t>
      </w:r>
    </w:p>
    <w:p>
      <w:pPr>
        <w:ind w:left="1320" w:hanging="295"/>
        <w:spacing w:after="0"/>
        <w:tabs>
          <w:tab w:leader="none" w:pos="1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Adapt Pharma Limited (“Adapt”)</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have been prepared to give effect to the acquisitions of PaxVax and Adapt by Emergent.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October 4, 2018, Emergent completed the acquisition of PaxVax pursuant to a Plan of Merger agreement dated August 8, 2018. At the closing of the transaction, Emergent paid a cash purchase price of $270.4 million (inclusive of closing adjustments).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On October 15, 2018, Emergent completed the acquisition of Adapt, pursuant to a Share Purchase Agreement dated August 28, 2018. Emergent paid approximately $581.5 million in cash at the closing (inclusive of closing adjustments) and issued 733,309 shares of Common Stock at $60.44 per share for a total of $44.3 million (inclusive of adjustments). The $44.3 million value of the shares issued has been adjusted to a fair value of $37.7 million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 forma adjustments </w:t>
      </w:r>
      <w:r>
        <w:rPr>
          <w:rFonts w:ascii="Arial" w:cs="Arial" w:eastAsia="Arial" w:hAnsi="Arial"/>
          <w:sz w:val="18"/>
          <w:szCs w:val="18"/>
          <w:color w:val="auto"/>
        </w:rPr>
        <w:t>below). The remaining consideration payable for the acquisition consists of up to $100 million in cash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sales milestones through 2022.</w:t>
      </w:r>
    </w:p>
    <w:p>
      <w:pPr>
        <w:spacing w:after="0" w:line="188"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The unaudited pro forma condensed combined balance sheet as of June 30, 2018 gives effect to the proposed acquisitions as if they had occurred on June 30, 2018 and combines the June 30, 2018 historical balance sheet of Emergent with the June 30, 2018 historical balance sheets of PaxVax and Adapt. The unaudited pro forma condensed combined statements of operations are presented as if the proposed acquisitions had occurred on January 1, 2017, and combines the historical results of operations of Emergent for the year ended December 31, 2017 with the historical results of operations of PaxVax and Adapt for the year ended December 31, 2017, and combines the historical results of operations for the six month period ended June 30, 2018 of Emergent with the historical results of operations of PaxVax and Adapt for the six month period ended June 30, 2018. The historical financial information is adjusted to give effect to pro forma events that are (1) directly attributable to the acquisitions, (2) factually supportable and (3) with respect to the statement of operations, expected to have a continuing impact on the combined results of Emergent, PaxVax and Adapt. The unaudited pro forma condensed combined financial statements presented below are based on, and should be read together with, the historical financial statements and accompanying notes of Emergent in its Annual Report on Form 10-K for the year ended December 31, 2017 and its Quarterly Report for the six months ended June 30, 2018 and the historical financial statements and accompanying notes of PaxVax, which is incorporated by reference in this amended Form 8-K, along with the historical financial statements and accompanying notes of Adapt, which are included in this amended Form 8-K.</w:t>
      </w:r>
    </w:p>
    <w:p>
      <w:pPr>
        <w:spacing w:after="0" w:line="169"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The unaudited pro forma adjustments related to the acquisitions have been prepared using the acquisition method of accounting and are based on a preliminary purchase price allocation whereby the consideration exchanged to acquire PaxVax and Adapt was allocated to the assets acquired and the liabilities assumed, based upon their estimated fair values. Actual adjustments will be based on analyses of fair values of identifiable tangible and intangible assets, in-process research and development, deferred tax assets and liabilities and estimates of the useful lives of tangible and amortizable intangible assets, which will be completed after Emergent obtains the final third-party valuation, performs its own assessments and reviews all available data. Differences between the preliminary and final purchase price allocations could have a material impact on the unaudited pro forma condensed combined financial statements and Emergent’s future results of operations and financial position.</w:t>
      </w:r>
    </w:p>
    <w:p>
      <w:pPr>
        <w:spacing w:after="0" w:line="178"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The unaudited pro forma condensed combined financial statements do not reflect the realization of potential cost savings, or any related restructuring or integration costs that may result from the integration of PaxVax and Adapt. Although Emergent believes that certain cost savings may result from the acquisitions, there can be no assurance that these cost savings will be achieved.</w:t>
      </w:r>
    </w:p>
    <w:p>
      <w:pPr>
        <w:spacing w:after="0" w:line="18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 xml:space="preserve">The historical financial statements of Adapt have been prepared in accordance with International Financial Reporting Standards as issued by the International Accounting Standards Board (“IFRS”). Emergent has analyzed the financial statements of Adapt and determined the only IFRS to U.S. Generally Accepted Accounting Principles (“U.S. GAAP”) difference is associated with stock-based compensation, which Emergent has removed via a pro forma adjustment (see </w:t>
      </w:r>
      <w:r>
        <w:rPr>
          <w:rFonts w:ascii="Arial" w:cs="Arial" w:eastAsia="Arial" w:hAnsi="Arial"/>
          <w:sz w:val="18"/>
          <w:szCs w:val="18"/>
          <w:i w:val="1"/>
          <w:iCs w:val="1"/>
          <w:color w:val="auto"/>
        </w:rPr>
        <w:t>Note 6. Pro forma adjustments</w:t>
      </w:r>
      <w:r>
        <w:rPr>
          <w:rFonts w:ascii="Arial" w:cs="Arial" w:eastAsia="Arial" w:hAnsi="Arial"/>
          <w:sz w:val="18"/>
          <w:szCs w:val="18"/>
          <w:color w:val="auto"/>
        </w:rPr>
        <w:t xml:space="preserve"> below).</w:t>
      </w:r>
    </w:p>
    <w:p>
      <w:pPr>
        <w:spacing w:after="0" w:line="18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unaudited pro forma condensed combined financial statements are based on estimates and assumptions, are presented for illustrative purposes only and are not necessarily indicative of the condensed combined financial position or results of operations in future periods or the results that actually would have been realized if the proposed acquisitions had been completed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6"/>
              </w:rPr>
              <w:t>PaxVax</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Adapt</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Emergent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Emergent</w:t>
            </w: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PaxVax</w:t>
            </w:r>
          </w:p>
        </w:tc>
        <w:tc>
          <w:tcPr>
            <w:tcW w:w="100" w:type="dxa"/>
            <w:vAlign w:val="bottom"/>
          </w:tcPr>
          <w:p>
            <w:pPr>
              <w:spacing w:after="0"/>
              <w:rPr>
                <w:sz w:val="12"/>
                <w:szCs w:val="12"/>
                <w:color w:val="auto"/>
              </w:rPr>
            </w:pPr>
          </w:p>
        </w:tc>
        <w:tc>
          <w:tcPr>
            <w:tcW w:w="72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5"/>
              </w:rPr>
              <w:t>Adapt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BioSolutions as of</w:t>
            </w: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2"/>
                <w:szCs w:val="12"/>
                <w:color w:val="auto"/>
              </w:rPr>
            </w:pPr>
          </w:p>
        </w:tc>
        <w:tc>
          <w:tcPr>
            <w:tcW w:w="8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Pro Forma</w:t>
            </w:r>
          </w:p>
        </w:tc>
        <w:tc>
          <w:tcPr>
            <w:tcW w:w="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2018</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June 30, 2018</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5"/>
              </w:rPr>
              <w:t>June 30, 2018</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 6</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Adjustments</w:t>
            </w:r>
          </w:p>
        </w:tc>
        <w:tc>
          <w:tcPr>
            <w:tcW w:w="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Note 6</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Note 7</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ind w:left="128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4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(279.0) 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(664.3) 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60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uu</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(1.0) u</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v</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Prepaid expenses and other current assets</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u</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541.3</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(273.9)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(644.1)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(72.1) d</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e</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w</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490.1</w:t>
            </w: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x</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76.6</w:t>
            </w: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g</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113.3</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y</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z</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2,095.1</w:t>
            </w:r>
          </w:p>
        </w:tc>
        <w:tc>
          <w:tcPr>
            <w:tcW w:w="1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LIABILITIES AND STOCKHOLDERS’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shd w:val="clear" w:color="auto" w:fill="CCEEFF"/>
          </w:tcPr>
          <w:p>
            <w:pPr>
              <w:ind w:left="1360"/>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Borders>
              <w:left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(24.2) aa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ind w:left="160"/>
              <w:spacing w:after="0" w:line="201" w:lineRule="exact"/>
              <w:rPr>
                <w:sz w:val="20"/>
                <w:szCs w:val="20"/>
                <w:color w:val="auto"/>
              </w:rPr>
            </w:pPr>
            <w:r>
              <w:rPr>
                <w:rFonts w:ascii="Arial" w:cs="Arial" w:eastAsia="Arial" w:hAnsi="Arial"/>
                <w:sz w:val="18"/>
                <w:szCs w:val="18"/>
                <w:color w:val="auto"/>
              </w:rPr>
              <w:t>Accrued expenses and other current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aa,</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5"/>
          </w:tcPr>
          <w:p>
            <w:pPr>
              <w:jc w:val="right"/>
              <w:ind w:right="400"/>
              <w:spacing w:after="0"/>
              <w:rPr>
                <w:sz w:val="20"/>
                <w:szCs w:val="20"/>
                <w:color w:val="auto"/>
              </w:rPr>
            </w:pPr>
            <w:r>
              <w:rPr>
                <w:rFonts w:ascii="Arial" w:cs="Arial" w:eastAsia="Arial" w:hAnsi="Arial"/>
                <w:sz w:val="18"/>
                <w:szCs w:val="18"/>
                <w:color w:val="auto"/>
              </w:rPr>
              <w:t>(6.4) h</w:t>
            </w: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48.4</w:t>
            </w:r>
          </w:p>
        </w:tc>
        <w:tc>
          <w:tcPr>
            <w:tcW w:w="540" w:type="dxa"/>
            <w:vAlign w:val="bottom"/>
            <w:gridSpan w:val="3"/>
          </w:tcPr>
          <w:p>
            <w:pPr>
              <w:ind w:left="40"/>
              <w:spacing w:after="0"/>
              <w:rPr>
                <w:sz w:val="20"/>
                <w:szCs w:val="20"/>
                <w:color w:val="auto"/>
              </w:rPr>
            </w:pPr>
            <w:r>
              <w:rPr>
                <w:rFonts w:ascii="Arial" w:cs="Arial" w:eastAsia="Arial" w:hAnsi="Arial"/>
                <w:sz w:val="18"/>
                <w:szCs w:val="18"/>
                <w:color w:val="auto"/>
              </w:rPr>
              <w:t>bb</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tcPr>
          <w:p>
            <w:pPr>
              <w:ind w:left="160"/>
              <w:spacing w:after="0" w:line="201" w:lineRule="exact"/>
              <w:rPr>
                <w:sz w:val="20"/>
                <w:szCs w:val="20"/>
                <w:color w:val="auto"/>
              </w:rPr>
            </w:pPr>
            <w:r>
              <w:rPr>
                <w:rFonts w:ascii="Arial" w:cs="Arial" w:eastAsia="Arial" w:hAnsi="Arial"/>
                <w:sz w:val="18"/>
                <w:szCs w:val="18"/>
                <w:color w:val="auto"/>
              </w:rPr>
              <w:t>Contingent purchase consideration,</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current portion</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Long-term indebtedness, current portion</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0" w:type="dxa"/>
            <w:vAlign w:val="bottom"/>
            <w:tcBorders>
              <w:left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vv</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Income tax payable, net</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Convertible unsecured loans</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jc w:val="right"/>
              <w:ind w:right="440"/>
              <w:spacing w:after="0"/>
              <w:rPr>
                <w:sz w:val="20"/>
                <w:szCs w:val="20"/>
                <w:color w:val="auto"/>
              </w:rPr>
            </w:pPr>
            <w:r>
              <w:rPr>
                <w:rFonts w:ascii="Arial" w:cs="Arial" w:eastAsia="Arial" w:hAnsi="Arial"/>
                <w:sz w:val="18"/>
                <w:szCs w:val="18"/>
                <w:color w:val="auto"/>
              </w:rPr>
              <w:t>(16.4) i</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Related party convertible notes payable</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(7.1) i</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Long-term indebtedness</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743.7</w:t>
            </w:r>
          </w:p>
        </w:tc>
        <w:tc>
          <w:tcPr>
            <w:tcW w:w="600" w:type="dxa"/>
            <w:vAlign w:val="bottom"/>
            <w:gridSpan w:val="3"/>
          </w:tcPr>
          <w:p>
            <w:pPr>
              <w:ind w:left="100"/>
              <w:spacing w:after="0"/>
              <w:rPr>
                <w:sz w:val="20"/>
                <w:szCs w:val="20"/>
                <w:color w:val="auto"/>
              </w:rPr>
            </w:pPr>
            <w:r>
              <w:rPr>
                <w:rFonts w:ascii="Arial" w:cs="Arial" w:eastAsia="Arial" w:hAnsi="Arial"/>
                <w:sz w:val="18"/>
                <w:szCs w:val="18"/>
                <w:color w:val="auto"/>
              </w:rPr>
              <w:t>vv</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Contingent purchase consideration, net of</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w:t>
            </w: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cc</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Pension plan obligation</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w w:val="99"/>
              </w:rPr>
              <w:t>Deferred revenue, net of current portion</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5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dd</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200.5</w:t>
            </w:r>
          </w:p>
        </w:tc>
        <w:tc>
          <w:tcPr>
            <w:tcW w:w="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w:t>
            </w:r>
          </w:p>
        </w:tc>
        <w:tc>
          <w:tcPr>
            <w:tcW w:w="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5"/>
          </w:tcPr>
          <w:p>
            <w:pPr>
              <w:ind w:left="360"/>
              <w:spacing w:after="0"/>
              <w:rPr>
                <w:sz w:val="20"/>
                <w:szCs w:val="20"/>
                <w:color w:val="auto"/>
              </w:rPr>
            </w:pPr>
            <w:r>
              <w:rPr>
                <w:rFonts w:ascii="Arial" w:cs="Arial" w:eastAsia="Arial" w:hAnsi="Arial"/>
                <w:sz w:val="18"/>
                <w:szCs w:val="18"/>
                <w:color w:val="auto"/>
              </w:rPr>
              <w:t>(1.2) ee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5"/>
          </w:tcPr>
          <w:p>
            <w:pPr>
              <w:jc w:val="right"/>
              <w:ind w:right="440"/>
              <w:spacing w:after="0"/>
              <w:rPr>
                <w:sz w:val="20"/>
                <w:szCs w:val="20"/>
                <w:color w:val="auto"/>
              </w:rPr>
            </w:pPr>
            <w:r>
              <w:rPr>
                <w:rFonts w:ascii="Arial" w:cs="Arial" w:eastAsia="Arial" w:hAnsi="Arial"/>
                <w:sz w:val="18"/>
                <w:szCs w:val="18"/>
                <w:color w:val="auto"/>
              </w:rPr>
              <w:t>(102.3) j</w:t>
            </w:r>
          </w:p>
        </w:tc>
        <w:tc>
          <w:tcPr>
            <w:tcW w:w="160" w:type="dxa"/>
            <w:vAlign w:val="bottom"/>
          </w:tcPr>
          <w:p>
            <w:pPr>
              <w:spacing w:after="0"/>
              <w:rPr>
                <w:sz w:val="18"/>
                <w:szCs w:val="18"/>
                <w:color w:val="auto"/>
              </w:rPr>
            </w:pPr>
          </w:p>
        </w:tc>
        <w:tc>
          <w:tcPr>
            <w:tcW w:w="1260" w:type="dxa"/>
            <w:vAlign w:val="bottom"/>
            <w:gridSpan w:val="5"/>
          </w:tcPr>
          <w:p>
            <w:pPr>
              <w:ind w:left="260"/>
              <w:spacing w:after="0"/>
              <w:rPr>
                <w:sz w:val="20"/>
                <w:szCs w:val="20"/>
                <w:color w:val="auto"/>
              </w:rPr>
            </w:pPr>
            <w:r>
              <w:rPr>
                <w:rFonts w:ascii="Arial" w:cs="Arial" w:eastAsia="Arial" w:hAnsi="Arial"/>
                <w:sz w:val="18"/>
                <w:szCs w:val="18"/>
                <w:color w:val="auto"/>
              </w:rPr>
              <w:t>(60.5) ee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Accumulated other comprehensive gain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w:t>
            </w:r>
          </w:p>
        </w:tc>
        <w:tc>
          <w:tcPr>
            <w:tcW w:w="12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5"/>
          </w:tcPr>
          <w:p>
            <w:pPr>
              <w:ind w:left="260"/>
              <w:spacing w:after="0"/>
              <w:rPr>
                <w:sz w:val="20"/>
                <w:szCs w:val="20"/>
                <w:color w:val="auto"/>
              </w:rPr>
            </w:pPr>
            <w:r>
              <w:rPr>
                <w:rFonts w:ascii="Arial" w:cs="Arial" w:eastAsia="Arial" w:hAnsi="Arial"/>
                <w:sz w:val="18"/>
                <w:szCs w:val="18"/>
                <w:color w:val="auto"/>
              </w:rPr>
              <w:t>(27.1) ff</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40"/>
              <w:spacing w:after="0" w:line="201" w:lineRule="exact"/>
              <w:rPr>
                <w:sz w:val="20"/>
                <w:szCs w:val="20"/>
                <w:color w:val="auto"/>
              </w:rPr>
            </w:pPr>
            <w:r>
              <w:rPr>
                <w:rFonts w:ascii="Arial" w:cs="Arial" w:eastAsia="Arial" w:hAnsi="Arial"/>
                <w:sz w:val="18"/>
                <w:szCs w:val="18"/>
                <w:color w:val="auto"/>
              </w:rPr>
              <w:t>Total liabilities and stockholders’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vMerge w:val="continue"/>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1,138.9</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164.4</w:t>
            </w: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3"/>
              </w:rPr>
              <w:t>2,095.1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tcPr>
          <w:p>
            <w:pPr>
              <w:ind w:left="520"/>
              <w:spacing w:after="0"/>
              <w:rPr>
                <w:sz w:val="20"/>
                <w:szCs w:val="20"/>
                <w:color w:val="auto"/>
              </w:rPr>
            </w:pPr>
            <w:r>
              <w:rPr>
                <w:rFonts w:ascii="Arial" w:cs="Arial" w:eastAsia="Arial" w:hAnsi="Arial"/>
                <w:sz w:val="18"/>
                <w:szCs w:val="18"/>
                <w:color w:val="auto"/>
              </w:rPr>
              <w:t>equity</w:t>
            </w:r>
          </w:p>
        </w:tc>
        <w:tc>
          <w:tcPr>
            <w:tcW w:w="12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Emergent</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PaxVax</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Adapt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Emergent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BioSolutions for the</w:t>
            </w: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PaxVax for the</w:t>
            </w:r>
          </w:p>
        </w:tc>
        <w:tc>
          <w:tcPr>
            <w:tcW w:w="10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Adapt for the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0"/>
              </w:rPr>
              <w:t>See</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six months ended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six months ended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six months ended</w:t>
            </w: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Pro Forma</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9"/>
              </w:rPr>
              <w:t>Pro Forma</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Pro Forma</w:t>
            </w:r>
          </w:p>
        </w:tc>
        <w:tc>
          <w:tcPr>
            <w:tcW w:w="50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 2018</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June 30, 2018</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Note 6</w:t>
            </w:r>
          </w:p>
        </w:tc>
        <w:tc>
          <w:tcPr>
            <w:tcW w:w="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Adjustments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Note 6</w:t>
            </w: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7</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manufacturing</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Contracts and grants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Cost of product sales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rPr>
                <w:sz w:val="20"/>
                <w:szCs w:val="20"/>
                <w:color w:val="auto"/>
              </w:rPr>
            </w:pPr>
            <w:r>
              <w:rPr>
                <w:rFonts w:ascii="Arial" w:cs="Arial" w:eastAsia="Arial" w:hAnsi="Arial"/>
                <w:sz w:val="18"/>
                <w:szCs w:val="18"/>
                <w:color w:val="auto"/>
              </w:rPr>
              <w:t>contract manufacturing</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400" w:type="dxa"/>
            <w:vAlign w:val="bottom"/>
          </w:tcPr>
          <w:p>
            <w:pPr>
              <w:spacing w:after="0"/>
              <w:rPr>
                <w:sz w:val="20"/>
                <w:szCs w:val="20"/>
                <w:color w:val="auto"/>
              </w:rPr>
            </w:pPr>
            <w:r>
              <w:rPr>
                <w:rFonts w:ascii="Arial" w:cs="Arial" w:eastAsia="Arial" w:hAnsi="Arial"/>
                <w:sz w:val="18"/>
                <w:szCs w:val="18"/>
                <w:color w:val="auto"/>
              </w:rPr>
              <w:t>gg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Selling, general and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(0.8) hh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ind w:left="420"/>
              <w:spacing w:after="0"/>
              <w:rPr>
                <w:sz w:val="20"/>
                <w:szCs w:val="20"/>
                <w:color w:val="auto"/>
              </w:rPr>
            </w:pPr>
            <w:r>
              <w:rPr>
                <w:rFonts w:ascii="Arial" w:cs="Arial" w:eastAsia="Arial" w:hAnsi="Arial"/>
                <w:sz w:val="18"/>
                <w:szCs w:val="18"/>
                <w:color w:val="auto"/>
              </w:rPr>
              <w:t>(1.3) ww</w:t>
            </w: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Income (loss) from operations</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180"/>
              <w:spacing w:after="0" w:line="201" w:lineRule="exact"/>
              <w:rPr>
                <w:sz w:val="20"/>
                <w:szCs w:val="20"/>
                <w:color w:val="auto"/>
              </w:rPr>
            </w:pPr>
            <w:r>
              <w:rPr>
                <w:rFonts w:ascii="Arial" w:cs="Arial" w:eastAsia="Arial" w:hAnsi="Arial"/>
                <w:sz w:val="18"/>
                <w:szCs w:val="18"/>
                <w:color w:val="auto"/>
              </w:rPr>
              <w:t>Change in fair value of</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360"/>
              <w:spacing w:after="0"/>
              <w:rPr>
                <w:sz w:val="20"/>
                <w:szCs w:val="20"/>
                <w:color w:val="auto"/>
              </w:rPr>
            </w:pPr>
            <w:r>
              <w:rPr>
                <w:rFonts w:ascii="Arial" w:cs="Arial" w:eastAsia="Arial" w:hAnsi="Arial"/>
                <w:sz w:val="18"/>
                <w:szCs w:val="18"/>
                <w:color w:val="auto"/>
              </w:rPr>
              <w:t>convertible unsecured loans</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320"/>
              <w:spacing w:after="0"/>
              <w:rPr>
                <w:sz w:val="20"/>
                <w:szCs w:val="20"/>
                <w:color w:val="auto"/>
              </w:rPr>
            </w:pPr>
            <w:r>
              <w:rPr>
                <w:rFonts w:ascii="Arial" w:cs="Arial" w:eastAsia="Arial" w:hAnsi="Arial"/>
                <w:sz w:val="18"/>
                <w:szCs w:val="18"/>
                <w:color w:val="auto"/>
              </w:rPr>
              <w:t>(17.0) xx</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Total other income (expense)</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Income (loss) before provision for</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(benefit from) income taxes</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Provision for (benefit from) income</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n</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(3.6) ii</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(3.3) yy</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80" w:type="dxa"/>
            <w:vAlign w:val="bottom"/>
          </w:tcPr>
          <w:p>
            <w:pPr>
              <w:spacing w:after="0" w:line="182" w:lineRule="exact"/>
              <w:rPr>
                <w:sz w:val="20"/>
                <w:szCs w:val="20"/>
                <w:color w:val="auto"/>
              </w:rPr>
            </w:pPr>
            <w:r>
              <w:rPr>
                <w:rFonts w:ascii="Arial" w:cs="Arial" w:eastAsia="Arial" w:hAnsi="Arial"/>
                <w:sz w:val="18"/>
                <w:szCs w:val="18"/>
                <w:color w:val="auto"/>
                <w:w w:val="98"/>
              </w:rPr>
              <w:t>Net income (loss) from continuing</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(0.8) jj</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spacing w:after="0" w:line="178" w:lineRule="exact"/>
              <w:rPr>
                <w:sz w:val="20"/>
                <w:szCs w:val="20"/>
                <w:color w:val="auto"/>
              </w:rPr>
            </w:pPr>
            <w:r>
              <w:rPr>
                <w:rFonts w:ascii="Arial" w:cs="Arial" w:eastAsia="Arial" w:hAnsi="Arial"/>
                <w:sz w:val="18"/>
                <w:szCs w:val="18"/>
                <w:b w:val="1"/>
                <w:bCs w:val="1"/>
                <w:color w:val="auto"/>
              </w:rPr>
              <w:t>Net income attributable to</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w w:val="99"/>
              </w:rPr>
              <w:t>Emergent, PaxVax and Adapt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400" w:type="dxa"/>
            <w:vAlign w:val="bottom"/>
          </w:tcPr>
          <w:p>
            <w:pPr>
              <w:spacing w:after="0"/>
              <w:rPr>
                <w:sz w:val="20"/>
                <w:szCs w:val="20"/>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Net income (loss) from</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kk</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80" w:type="dxa"/>
            <w:vAlign w:val="bottom"/>
            <w:vMerge w:val="continue"/>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vMerge w:val="continue"/>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vMerge w:val="continue"/>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40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Earnings per share - basic</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 - diluted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68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Weighted-average number of</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shares - basic</w:t>
            </w: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49,738,980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733,309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ll</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50,472,289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tcPr>
          <w:p>
            <w:pPr>
              <w:spacing w:after="0" w:line="198" w:lineRule="exact"/>
              <w:rPr>
                <w:sz w:val="20"/>
                <w:szCs w:val="20"/>
                <w:color w:val="auto"/>
              </w:rPr>
            </w:pPr>
            <w:r>
              <w:rPr>
                <w:rFonts w:ascii="Arial" w:cs="Arial" w:eastAsia="Arial" w:hAnsi="Arial"/>
                <w:sz w:val="18"/>
                <w:szCs w:val="18"/>
                <w:b w:val="1"/>
                <w:bCs w:val="1"/>
                <w:color w:val="auto"/>
              </w:rPr>
              <w:t>Weighted-average number of</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ind w:left="160"/>
              <w:spacing w:after="0"/>
              <w:rPr>
                <w:sz w:val="20"/>
                <w:szCs w:val="20"/>
                <w:color w:val="auto"/>
              </w:rPr>
            </w:pPr>
            <w:r>
              <w:rPr>
                <w:rFonts w:ascii="Arial" w:cs="Arial" w:eastAsia="Arial" w:hAnsi="Arial"/>
                <w:sz w:val="18"/>
                <w:szCs w:val="18"/>
                <w:b w:val="1"/>
                <w:bCs w:val="1"/>
                <w:color w:val="auto"/>
              </w:rPr>
              <w:t>shares - diluted</w:t>
            </w:r>
          </w:p>
        </w:tc>
        <w:tc>
          <w:tcPr>
            <w:tcW w:w="1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51,039,195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733,309</w:t>
            </w:r>
          </w:p>
        </w:tc>
        <w:tc>
          <w:tcPr>
            <w:tcW w:w="400" w:type="dxa"/>
            <w:vAlign w:val="bottom"/>
          </w:tcPr>
          <w:p>
            <w:pPr>
              <w:spacing w:after="0"/>
              <w:rPr>
                <w:sz w:val="20"/>
                <w:szCs w:val="20"/>
                <w:color w:val="auto"/>
              </w:rPr>
            </w:pPr>
            <w:r>
              <w:rPr>
                <w:rFonts w:ascii="Arial" w:cs="Arial" w:eastAsia="Arial" w:hAnsi="Arial"/>
                <w:sz w:val="18"/>
                <w:szCs w:val="18"/>
                <w:color w:val="auto"/>
              </w:rPr>
              <w:t>ll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51,772,504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Emergent</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PaxVax</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Adapt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Emergent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5"/>
              </w:rPr>
              <w:t>BioSolutions for the</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PaxVax for the</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Adapt for the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See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0"/>
              </w:rPr>
              <w:t>See</w:t>
            </w: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year ended</w:t>
            </w: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year ended</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year ended</w:t>
            </w: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Pro Forma</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Pro Forma</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Pro Forma</w:t>
            </w:r>
          </w:p>
        </w:tc>
        <w:tc>
          <w:tcPr>
            <w:tcW w:w="500" w:type="dxa"/>
            <w:vAlign w:val="bottom"/>
            <w:gridSpan w:val="2"/>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Note 6</w:t>
            </w:r>
          </w:p>
        </w:tc>
        <w:tc>
          <w:tcPr>
            <w:tcW w:w="10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20"/>
                <w:szCs w:val="20"/>
                <w:color w:val="auto"/>
              </w:rPr>
            </w:pPr>
            <w:r>
              <w:rPr>
                <w:rFonts w:ascii="Arial" w:cs="Arial" w:eastAsia="Arial" w:hAnsi="Arial"/>
                <w:sz w:val="14"/>
                <w:szCs w:val="14"/>
                <w:b w:val="1"/>
                <w:bCs w:val="1"/>
                <w:color w:val="auto"/>
                <w:w w:val="88"/>
              </w:rPr>
              <w:t>Note 6</w:t>
            </w: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7</w:t>
            </w: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(0.9) mm</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manufacturing</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Contracts and grants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80"/>
              <w:spacing w:after="0" w:line="201" w:lineRule="exact"/>
              <w:rPr>
                <w:sz w:val="20"/>
                <w:szCs w:val="20"/>
                <w:color w:val="auto"/>
              </w:rPr>
            </w:pPr>
            <w:r>
              <w:rPr>
                <w:rFonts w:ascii="Arial" w:cs="Arial" w:eastAsia="Arial" w:hAnsi="Arial"/>
                <w:sz w:val="18"/>
                <w:szCs w:val="18"/>
                <w:color w:val="auto"/>
              </w:rPr>
              <w:t>Cost of product sales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360"/>
              <w:spacing w:after="0"/>
              <w:rPr>
                <w:sz w:val="20"/>
                <w:szCs w:val="20"/>
                <w:color w:val="auto"/>
              </w:rPr>
            </w:pPr>
            <w:r>
              <w:rPr>
                <w:rFonts w:ascii="Arial" w:cs="Arial" w:eastAsia="Arial" w:hAnsi="Arial"/>
                <w:sz w:val="18"/>
                <w:szCs w:val="18"/>
                <w:color w:val="auto"/>
              </w:rPr>
              <w:t>contract manufacturing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o</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400" w:type="dxa"/>
            <w:vAlign w:val="bottom"/>
          </w:tcPr>
          <w:p>
            <w:pPr>
              <w:spacing w:after="0"/>
              <w:rPr>
                <w:sz w:val="20"/>
                <w:szCs w:val="20"/>
                <w:color w:val="auto"/>
              </w:rPr>
            </w:pPr>
            <w:r>
              <w:rPr>
                <w:rFonts w:ascii="Arial" w:cs="Arial" w:eastAsia="Arial" w:hAnsi="Arial"/>
                <w:sz w:val="18"/>
                <w:szCs w:val="18"/>
                <w:color w:val="auto"/>
              </w:rPr>
              <w:t>nn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(2.9) oo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80"/>
              <w:spacing w:after="0" w:line="201" w:lineRule="exact"/>
              <w:rPr>
                <w:sz w:val="20"/>
                <w:szCs w:val="20"/>
                <w:color w:val="auto"/>
              </w:rPr>
            </w:pPr>
            <w:r>
              <w:rPr>
                <w:rFonts w:ascii="Arial" w:cs="Arial" w:eastAsia="Arial" w:hAnsi="Arial"/>
                <w:sz w:val="18"/>
                <w:szCs w:val="18"/>
                <w:color w:val="auto"/>
              </w:rPr>
              <w:t>Selling, general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360"/>
              <w:spacing w:after="0"/>
              <w:rPr>
                <w:sz w:val="20"/>
                <w:szCs w:val="20"/>
                <w:color w:val="auto"/>
              </w:rPr>
            </w:pPr>
            <w:r>
              <w:rPr>
                <w:rFonts w:ascii="Arial" w:cs="Arial" w:eastAsia="Arial" w:hAnsi="Arial"/>
                <w:sz w:val="18"/>
                <w:szCs w:val="18"/>
                <w:color w:val="auto"/>
              </w:rPr>
              <w:t>administrative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p</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(0.3) pp</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3"/>
              </w:rPr>
              <w:t>Income (loss) from operations</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ind w:left="180"/>
              <w:spacing w:after="0" w:line="201" w:lineRule="exact"/>
              <w:rPr>
                <w:sz w:val="20"/>
                <w:szCs w:val="20"/>
                <w:color w:val="auto"/>
              </w:rPr>
            </w:pPr>
            <w:r>
              <w:rPr>
                <w:rFonts w:ascii="Arial" w:cs="Arial" w:eastAsia="Arial" w:hAnsi="Arial"/>
                <w:sz w:val="18"/>
                <w:szCs w:val="18"/>
                <w:color w:val="auto"/>
              </w:rPr>
              <w:t>Change in fair value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360"/>
              <w:spacing w:after="0"/>
              <w:rPr>
                <w:sz w:val="20"/>
                <w:szCs w:val="20"/>
                <w:color w:val="auto"/>
              </w:rPr>
            </w:pPr>
            <w:r>
              <w:rPr>
                <w:rFonts w:ascii="Arial" w:cs="Arial" w:eastAsia="Arial" w:hAnsi="Arial"/>
                <w:sz w:val="18"/>
                <w:szCs w:val="18"/>
                <w:color w:val="auto"/>
                <w:w w:val="91"/>
              </w:rPr>
              <w:t>convertible unsecured loans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(0.6) q</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Gain on extinguishment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obligation</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(0.6) q</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(34.1) zz</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w w:val="98"/>
              </w:rPr>
              <w:t>Other income (expense),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(0.7) 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(0.6) qq</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6"/>
              </w:rPr>
              <w:t>Total other income (expense)</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Income (loss) before provision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for (benefit from) income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taxes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Provision for (benefit from)</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(3.2) 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color w:val="auto"/>
              </w:rPr>
              <w:t>(13.1) rr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ind w:left="340"/>
              <w:spacing w:after="0"/>
              <w:rPr>
                <w:sz w:val="20"/>
                <w:szCs w:val="20"/>
                <w:color w:val="auto"/>
              </w:rPr>
            </w:pPr>
            <w:r>
              <w:rPr>
                <w:rFonts w:ascii="Arial" w:cs="Arial" w:eastAsia="Arial" w:hAnsi="Arial"/>
                <w:sz w:val="18"/>
                <w:szCs w:val="18"/>
                <w:color w:val="auto"/>
              </w:rPr>
              <w:t>(11.9) aaa</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attributable to</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Emergent, PaxVax and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Adapt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Net income attributable to</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3"/>
          </w:tcPr>
          <w:p>
            <w:pPr>
              <w:ind w:left="360"/>
              <w:spacing w:after="0"/>
              <w:rPr>
                <w:sz w:val="20"/>
                <w:szCs w:val="20"/>
                <w:color w:val="auto"/>
              </w:rPr>
            </w:pPr>
            <w:r>
              <w:rPr>
                <w:rFonts w:ascii="Arial" w:cs="Arial" w:eastAsia="Arial" w:hAnsi="Arial"/>
                <w:sz w:val="18"/>
                <w:szCs w:val="18"/>
                <w:color w:val="auto"/>
              </w:rPr>
              <w:t>(1.8) 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4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4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 basic</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Earnings per share - diluted</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4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Weighted-average number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tcPr>
          <w:p>
            <w:pPr>
              <w:ind w:left="160"/>
              <w:spacing w:after="0"/>
              <w:rPr>
                <w:sz w:val="20"/>
                <w:szCs w:val="20"/>
                <w:color w:val="auto"/>
              </w:rPr>
            </w:pPr>
            <w:r>
              <w:rPr>
                <w:rFonts w:ascii="Arial" w:cs="Arial" w:eastAsia="Arial" w:hAnsi="Arial"/>
                <w:sz w:val="18"/>
                <w:szCs w:val="18"/>
                <w:b w:val="1"/>
                <w:bCs w:val="1"/>
                <w:color w:val="auto"/>
              </w:rPr>
              <w:t>shares - basic</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41,816,431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733,309</w:t>
            </w:r>
          </w:p>
        </w:tc>
        <w:tc>
          <w:tcPr>
            <w:tcW w:w="400" w:type="dxa"/>
            <w:vAlign w:val="bottom"/>
          </w:tcPr>
          <w:p>
            <w:pPr>
              <w:spacing w:after="0"/>
              <w:rPr>
                <w:sz w:val="20"/>
                <w:szCs w:val="20"/>
                <w:color w:val="auto"/>
              </w:rPr>
            </w:pPr>
            <w:r>
              <w:rPr>
                <w:rFonts w:ascii="Arial" w:cs="Arial" w:eastAsia="Arial" w:hAnsi="Arial"/>
                <w:sz w:val="18"/>
                <w:szCs w:val="18"/>
                <w:color w:val="auto"/>
              </w:rPr>
              <w:t>tt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42,549,740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Weighted-average number of</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 - diluted</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50,327,937</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733,309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tt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51,061,246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NOTES TO UNAUDITED PRO FORMA CONDENSED COMBINED FINANCIAL STATEMENTS</w:t>
      </w:r>
    </w:p>
    <w:p>
      <w:pPr>
        <w:spacing w:after="0" w:line="225" w:lineRule="exact"/>
        <w:rPr>
          <w:sz w:val="20"/>
          <w:szCs w:val="20"/>
          <w:color w:val="auto"/>
        </w:rPr>
      </w:pPr>
    </w:p>
    <w:p>
      <w:pPr>
        <w:jc w:val="right"/>
        <w:ind w:left="660" w:right="9140" w:hanging="652"/>
        <w:spacing w:after="0" w:line="566" w:lineRule="auto"/>
        <w:tabs>
          <w:tab w:leader="none" w:pos="237"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Description of transaction </w:t>
      </w:r>
      <w:r>
        <w:rPr>
          <w:rFonts w:ascii="Arial" w:cs="Arial" w:eastAsia="Arial" w:hAnsi="Arial"/>
          <w:sz w:val="16"/>
          <w:szCs w:val="16"/>
          <w:i w:val="1"/>
          <w:iCs w:val="1"/>
          <w:u w:val="single" w:color="auto"/>
          <w:color w:val="auto"/>
        </w:rPr>
        <w:t>Acquisition of PaxVax</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October 4, 2018, Emergent completed the acquisition of PaxVax, a company focused on developing, manufacturing, and commercializing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specialty vaccines that protect against existing and emerging infectious diseases. At the closing of the transaction, Emergent paid a cash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$270.4 million (inclusive of closing adjustments), using a combination of cash-on-hand and borrowings under Emergent’s senior secured credit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described in </w:t>
      </w:r>
      <w:r>
        <w:rPr>
          <w:rFonts w:ascii="Arial" w:cs="Arial" w:eastAsia="Arial" w:hAnsi="Arial"/>
          <w:sz w:val="18"/>
          <w:szCs w:val="18"/>
          <w:i w:val="1"/>
          <w:iCs w:val="1"/>
          <w:color w:val="auto"/>
        </w:rPr>
        <w:t>Note 5. Long-term debt</w:t>
      </w:r>
      <w:r>
        <w:rPr>
          <w:rFonts w:ascii="Arial" w:cs="Arial" w:eastAsia="Arial" w:hAnsi="Arial"/>
          <w:sz w:val="18"/>
          <w:szCs w:val="18"/>
          <w:color w:val="auto"/>
        </w:rPr>
        <w:t xml:space="preserve"> 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 of the acquisition of PaxVax, Emergent acquired the following:</w:t>
      </w:r>
    </w:p>
    <w:p>
      <w:pPr>
        <w:spacing w:after="0" w:line="225" w:lineRule="exact"/>
        <w:rPr>
          <w:sz w:val="20"/>
          <w:szCs w:val="20"/>
          <w:color w:val="auto"/>
        </w:rPr>
      </w:pPr>
    </w:p>
    <w:p>
      <w:pPr>
        <w:ind w:left="980" w:right="60" w:hanging="324"/>
        <w:spacing w:after="0" w:line="264" w:lineRule="auto"/>
        <w:tabs>
          <w:tab w:leader="none" w:pos="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Vivotif® (Typhoid Vaccine Live Oral Ty21a) (“Vivotif”), the only oral vaccine licensed by the U.S. Food and Drug Administration (“FDA”) for the prevention of typhoid fever, a potentially severe and life-threatening infection caused by the bacterium S. Typhi. Vivotif is licensed for sale in 27 countries;</w:t>
      </w:r>
    </w:p>
    <w:p>
      <w:pPr>
        <w:spacing w:after="0" w:line="181"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Vaxchora® (Cholera Vaccine Live Oral) (“Vaxchora”), the only FDA-licensed vaccine for the prevention of cholera caused by Vibrio cholerae serogroup O1, a potentially serious intestinal disease;</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adenovirus 4/7 vaccine candidate being developed for military personnel under contract with the U.S. Department of Defense (“DoD”) and additional clinical-stage vaccine candidates targeting Chikungunya and other emerging infectious diseases;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European-based current good manufacturing practices (“cGMP”) biologics manufacturing facilities; and</w:t>
      </w:r>
    </w:p>
    <w:p>
      <w:pPr>
        <w:spacing w:after="0" w:line="225"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250 employees including those in research and development (“R&amp;D”), manufacturing, and commercial operations with a specialty salesforce in the U.S. and select European countries.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Acquisition of Adapt</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October 15, 2018, Emergent completed the acquisition of Adapt and its NARCAN® (naloxone HCl) Nasal Spray (“NARCAN”) marketed product, the first and only needle-free formulation of naloxone approved by the FDA and Health Canada, for the emergency treatment of known or suspected opioid overdose as manifested by respiratory and/or central nervous system depression.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part of the acquisition of Adapt, Emergent acquired the following:</w:t>
      </w:r>
    </w:p>
    <w:p>
      <w:pPr>
        <w:spacing w:after="0" w:line="225" w:lineRule="exact"/>
        <w:rPr>
          <w:sz w:val="20"/>
          <w:szCs w:val="20"/>
          <w:color w:val="auto"/>
        </w:rPr>
      </w:pPr>
    </w:p>
    <w:p>
      <w:pPr>
        <w:ind w:left="1260" w:hanging="280"/>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NARCAN marketed product;</w:t>
      </w:r>
    </w:p>
    <w:p>
      <w:pPr>
        <w:spacing w:after="0" w:line="23" w:lineRule="exact"/>
        <w:rPr>
          <w:rFonts w:ascii="Arial" w:cs="Arial" w:eastAsia="Arial" w:hAnsi="Arial"/>
          <w:sz w:val="18"/>
          <w:szCs w:val="18"/>
          <w:color w:val="auto"/>
        </w:rPr>
      </w:pPr>
    </w:p>
    <w:p>
      <w:pPr>
        <w:ind w:left="1260" w:hanging="280"/>
        <w:spacing w:after="0"/>
        <w:tabs>
          <w:tab w:leader="none" w:pos="1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development pipeline of new treatment and delivery options to address opioid overdose; and</w:t>
      </w:r>
    </w:p>
    <w:p>
      <w:pPr>
        <w:spacing w:after="0" w:line="9" w:lineRule="exact"/>
        <w:rPr>
          <w:rFonts w:ascii="Arial" w:cs="Arial" w:eastAsia="Arial" w:hAnsi="Arial"/>
          <w:sz w:val="18"/>
          <w:szCs w:val="18"/>
          <w:color w:val="auto"/>
        </w:rPr>
      </w:pPr>
    </w:p>
    <w:p>
      <w:pPr>
        <w:ind w:left="1300" w:right="100" w:hanging="320"/>
        <w:spacing w:after="0" w:line="261" w:lineRule="auto"/>
        <w:tabs>
          <w:tab w:leader="none" w:pos="126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50 employees, located in the U.S., Canada, and Ireland, including those responsible for supply chain management, research and development, government affairs, and commercial operations.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Emergent paid $581.5 million in cash at the closing (inclusive of closing adjustments) and issued 733,309 shares of Common Stock at $60.44 per share (an aggregate total of $44.3 million, inclusive of adjustments). The $44.3 million share value of the shares issued has been adjusted to a fair value of $37.7 million due to a 2-year share lock-up agreement between Emergent and the Adapt shareholders. The remaining consideration payable for the acquisition consists of up to $100 million in cash based on the achievement of certain sales milestones through 2022. Emergent funded the cash portion of the payments made at closing using a combination of cash-on-hand and borrowings under its amended and restated senior secured credit agreement as described in </w:t>
      </w:r>
      <w:r>
        <w:rPr>
          <w:rFonts w:ascii="Arial" w:cs="Arial" w:eastAsia="Arial" w:hAnsi="Arial"/>
          <w:sz w:val="18"/>
          <w:szCs w:val="18"/>
          <w:i w:val="1"/>
          <w:iCs w:val="1"/>
          <w:color w:val="auto"/>
        </w:rPr>
        <w:t>Note 5. Long-term debt</w:t>
      </w:r>
      <w:r>
        <w:rPr>
          <w:rFonts w:ascii="Arial" w:cs="Arial" w:eastAsia="Arial" w:hAnsi="Arial"/>
          <w:sz w:val="18"/>
          <w:szCs w:val="18"/>
          <w:color w:val="auto"/>
        </w:rPr>
        <w:t xml:space="preserve">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unaudited pro forma condensed combined financial statements have been compiled from underlying financial statements of Emergent prepared in accordance with U.S. GAAP and reflects the effects of the acquisitions, prepared using the acquisition method of accounting under existing U.S. GAAP standards.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transactions will be accounted for by Emergent under the acquisition method of accounting, with Emergent as the acquirer. Under the acquisition method of accounting, the assets and liabilities of PaxVax and Adapt will be recorded as of the acquisition date, at their respective fair values, and combined with those of Emergent. The reported combined financial condition and results of operations of Emergent after completion of the acquisition will reflect these fair values.</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process for estimating the fair values of identifiable intangible assets requires the use of significant estimates and assumptions, including estimating future cash flows and developing appropriate discount rates. The excess of the purchase price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2" w:name="page63"/>
    <w:bookmarkEnd w:id="62"/>
    <w:p>
      <w:pPr>
        <w:spacing w:after="0" w:line="257" w:lineRule="auto"/>
        <w:rPr>
          <w:sz w:val="20"/>
          <w:szCs w:val="20"/>
          <w:color w:val="auto"/>
        </w:rPr>
      </w:pPr>
      <w:r>
        <w:rPr>
          <w:rFonts w:ascii="Arial" w:cs="Arial" w:eastAsia="Arial" w:hAnsi="Arial"/>
          <w:sz w:val="18"/>
          <w:szCs w:val="18"/>
          <w:color w:val="auto"/>
        </w:rPr>
        <w:t>the estimated fair value of identifiable assets and liabilities of PaxVax and Adapt as of the effective date of the acquisitions will be allocated to goodwill. Fair value is defined, in accordance with U.S. GAAP, as the price that would be received to sell an asset or paid to transfer a liability in an orderly transaction between market participants at the measurement date. The preliminary purchase price allocations are subject to finalizing Emergent’s analysis of the fair value of PaxVax’s and Adapt’s assets and liabilities as of the effective dates of the acquisitions and will be adjusted upon completion of the valuations. The use of different estimates could yield materially different results.</w:t>
      </w:r>
    </w:p>
    <w:p>
      <w:pPr>
        <w:spacing w:after="0" w:line="188"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These preliminary amounts were determined based upon certain valuations and studies that have yet to be finalized, and accordingly, the assets acquired and liabilities assumed are subject to adjustment once the detailed analyses are completed. These adjustments may be material.</w:t>
      </w:r>
    </w:p>
    <w:p>
      <w:pPr>
        <w:spacing w:after="0" w:line="12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unaudited pro forma condensed combined balance sheet excludes the tax impacts associated with the assets acquired and liabilities assumed from the acquisitions of PaxVax and Adapt as Emergent has not completed a preliminary assessment of the tax attributes and as such does not have sufficient data to support adjustments as of the date of this filing. Once the tax impacts for the acquisitions have been completed, there could be a material change to the tax asset and liability balances which would cause a corresponding adjustment to goodwill.</w:t>
      </w:r>
    </w:p>
    <w:p>
      <w:pPr>
        <w:spacing w:after="0" w:line="171"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unaudited pro forma condensed combined financial statements are not intended to reflect the financial position or results of operations which would have actually resulted had the acquisition been effected on the dates indicated. Further, the results of operations are not necessarily indicative of the results of operations that may be obtained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unaudited pro forma condensed combined financial statements have been compiled consistent with Emergent’s accounting policies. These accounting policies differ from Adapt’s accounting policies, which were prepared in accordance with IFRS.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On January 1, 2018, Emergent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utilizing the modified-retrospective method. Emergent has performed a preliminary analysis of the revenue generating contracts from both PaxVax and Adapt and have determined there are no material differences in revenue recognition for the six months ended June 30, 2018.</w:t>
      </w:r>
    </w:p>
    <w:p>
      <w:pPr>
        <w:spacing w:after="0" w:line="177" w:lineRule="exact"/>
        <w:rPr>
          <w:sz w:val="20"/>
          <w:szCs w:val="20"/>
          <w:color w:val="auto"/>
        </w:rPr>
      </w:pPr>
    </w:p>
    <w:p>
      <w:pPr>
        <w:jc w:val="right"/>
        <w:ind w:left="660" w:right="9180" w:hanging="652"/>
        <w:spacing w:after="0" w:line="566" w:lineRule="auto"/>
        <w:tabs>
          <w:tab w:leader="none" w:pos="237"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Estimated purchase price </w:t>
      </w:r>
      <w:r>
        <w:rPr>
          <w:rFonts w:ascii="Arial" w:cs="Arial" w:eastAsia="Arial" w:hAnsi="Arial"/>
          <w:sz w:val="16"/>
          <w:szCs w:val="16"/>
          <w:i w:val="1"/>
          <w:iCs w:val="1"/>
          <w:u w:val="single" w:color="auto"/>
          <w:color w:val="auto"/>
        </w:rPr>
        <w:t>Acquisition of PaxVax</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unaudited pro forma condensed combined financial statements for PaxVax reflect an estimated purchase price of $270.4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cash.</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purposes of this pro forma analysis, the estimated purchase price for PaxVax has been allocated based on a preliminary estimate of the fair value of assets acquired and liabilities assumed.</w:t>
      </w:r>
    </w:p>
    <w:p>
      <w:pPr>
        <w:spacing w:after="0" w:line="162" w:lineRule="exact"/>
        <w:rPr>
          <w:sz w:val="20"/>
          <w:szCs w:val="20"/>
          <w:color w:val="auto"/>
        </w:rPr>
      </w:pPr>
    </w:p>
    <w:tbl>
      <w:tblPr>
        <w:tblLayout w:type="fixed"/>
        <w:tblInd w:w="1560" w:type="dxa"/>
        <w:tblCellMar>
          <w:top w:w="0" w:type="dxa"/>
          <w:left w:w="0" w:type="dxa"/>
          <w:bottom w:w="0" w:type="dxa"/>
          <w:right w:w="0" w:type="dxa"/>
        </w:tblCellMar>
      </w:tblPr>
      <w:tr>
        <w:trPr>
          <w:trHeight w:val="171"/>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June 30, 2018</w:t>
            </w:r>
          </w:p>
        </w:tc>
      </w:tr>
      <w:tr>
        <w:trPr>
          <w:trHeight w:val="210"/>
        </w:trPr>
        <w:tc>
          <w:tcPr>
            <w:tcW w:w="6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Acquired 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Assumed tangible liabilities</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Total estimated fair value of tangible assets acquired and liabilities assumed</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Identified intangible assets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8"/>
                <w:szCs w:val="18"/>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Total preliminary estimated purchase price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Acquisition of Adapt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accompanying unaudited pro forma condensed combined financial statements for Adapt reflect an estimated purchase price as follows:</w:t>
      </w:r>
    </w:p>
    <w:p>
      <w:pPr>
        <w:sectPr>
          <w:pgSz w:w="11900" w:h="16838" w:orient="portrait"/>
          <w:cols w:equalWidth="0" w:num="1">
            <w:col w:w="11420"/>
          </w:cols>
          <w:pgMar w:left="240" w:top="341" w:right="239" w:bottom="1440" w:gutter="0" w:footer="0" w:header="0"/>
        </w:sectPr>
      </w:pPr>
    </w:p>
    <w:p>
      <w:pPr>
        <w:spacing w:after="0" w:line="217"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6350</wp:posOffset>
            </wp:positionV>
            <wp:extent cx="441642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441642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Amount of cash paid to Adapt shareholders</w:t>
      </w:r>
    </w:p>
    <w:p>
      <w:pPr>
        <w:spacing w:after="0" w:line="1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Value of Emergent common stock shares issued</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Fair value of contingent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-116205</wp:posOffset>
            </wp:positionV>
            <wp:extent cx="441642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4416425" cy="13716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estimated purchase price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56"/>
        <w:spacing w:after="0"/>
        <w:rPr>
          <w:sz w:val="20"/>
          <w:szCs w:val="20"/>
          <w:color w:val="auto"/>
        </w:rPr>
      </w:pPr>
      <w:r>
        <w:rPr>
          <w:rFonts w:ascii="Arial" w:cs="Arial" w:eastAsia="Arial" w:hAnsi="Arial"/>
          <w:sz w:val="14"/>
          <w:szCs w:val="14"/>
          <w:b w:val="1"/>
          <w:bCs w:val="1"/>
          <w:color w:val="auto"/>
        </w:rPr>
        <w:t>June 30, 2018</w:t>
      </w:r>
    </w:p>
    <w:p>
      <w:pPr>
        <w:spacing w:after="0" w:line="25" w:lineRule="exact"/>
        <w:rPr>
          <w:sz w:val="20"/>
          <w:szCs w:val="20"/>
          <w:color w:val="auto"/>
        </w:rPr>
      </w:pPr>
    </w:p>
    <w:p>
      <w:pPr>
        <w:ind w:left="956" w:hanging="956"/>
        <w:spacing w:after="0"/>
        <w:tabs>
          <w:tab w:leader="none" w:pos="956" w:val="left"/>
        </w:tabs>
        <w:numPr>
          <w:ilvl w:val="0"/>
          <w:numId w:val="65"/>
        </w:numPr>
        <w:rPr>
          <w:rFonts w:ascii="Arial" w:cs="Arial" w:eastAsia="Arial" w:hAnsi="Arial"/>
          <w:sz w:val="15"/>
          <w:szCs w:val="15"/>
          <w:color w:val="auto"/>
        </w:rPr>
      </w:pPr>
      <w:r>
        <w:rPr>
          <w:rFonts w:ascii="Arial" w:cs="Arial" w:eastAsia="Arial" w:hAnsi="Arial"/>
          <w:sz w:val="15"/>
          <w:szCs w:val="15"/>
          <w:color w:val="auto"/>
        </w:rPr>
        <w:t>581.5</w:t>
      </w:r>
    </w:p>
    <w:p>
      <w:pPr>
        <w:spacing w:after="0" w:line="42" w:lineRule="exact"/>
        <w:rPr>
          <w:rFonts w:ascii="Arial" w:cs="Arial" w:eastAsia="Arial" w:hAnsi="Arial"/>
          <w:sz w:val="15"/>
          <w:szCs w:val="15"/>
          <w:color w:val="auto"/>
        </w:rPr>
      </w:pPr>
    </w:p>
    <w:p>
      <w:pPr>
        <w:ind w:left="1036"/>
        <w:spacing w:after="0"/>
        <w:rPr>
          <w:rFonts w:ascii="Arial" w:cs="Arial" w:eastAsia="Arial" w:hAnsi="Arial"/>
          <w:sz w:val="15"/>
          <w:szCs w:val="15"/>
          <w:color w:val="auto"/>
        </w:rPr>
      </w:pPr>
      <w:r>
        <w:rPr>
          <w:rFonts w:ascii="Arial" w:cs="Arial" w:eastAsia="Arial" w:hAnsi="Arial"/>
          <w:sz w:val="16"/>
          <w:szCs w:val="16"/>
          <w:color w:val="auto"/>
        </w:rPr>
        <w:t>37.7</w:t>
      </w:r>
    </w:p>
    <w:p>
      <w:pPr>
        <w:spacing w:after="0" w:line="32" w:lineRule="exact"/>
        <w:rPr>
          <w:rFonts w:ascii="Arial" w:cs="Arial" w:eastAsia="Arial" w:hAnsi="Arial"/>
          <w:sz w:val="15"/>
          <w:szCs w:val="15"/>
          <w:color w:val="auto"/>
        </w:rPr>
      </w:pPr>
    </w:p>
    <w:p>
      <w:pPr>
        <w:ind w:left="1036"/>
        <w:spacing w:after="0"/>
        <w:rPr>
          <w:rFonts w:ascii="Arial" w:cs="Arial" w:eastAsia="Arial" w:hAnsi="Arial"/>
          <w:sz w:val="15"/>
          <w:szCs w:val="15"/>
          <w:color w:val="auto"/>
        </w:rPr>
      </w:pPr>
      <w:r>
        <w:rPr>
          <w:rFonts w:ascii="Arial" w:cs="Arial" w:eastAsia="Arial" w:hAnsi="Arial"/>
          <w:sz w:val="16"/>
          <w:szCs w:val="16"/>
          <w:color w:val="auto"/>
        </w:rPr>
        <w:t>48.0</w:t>
      </w:r>
    </w:p>
    <w:p>
      <w:pPr>
        <w:spacing w:after="0" w:line="32" w:lineRule="exact"/>
        <w:rPr>
          <w:sz w:val="20"/>
          <w:szCs w:val="20"/>
          <w:color w:val="auto"/>
        </w:rPr>
      </w:pPr>
    </w:p>
    <w:p>
      <w:pPr>
        <w:ind w:left="956" w:hanging="956"/>
        <w:spacing w:after="0"/>
        <w:tabs>
          <w:tab w:leader="none" w:pos="956" w:val="left"/>
        </w:tabs>
        <w:numPr>
          <w:ilvl w:val="0"/>
          <w:numId w:val="66"/>
        </w:numPr>
        <w:rPr>
          <w:rFonts w:ascii="Arial" w:cs="Arial" w:eastAsia="Arial" w:hAnsi="Arial"/>
          <w:sz w:val="15"/>
          <w:szCs w:val="15"/>
          <w:color w:val="auto"/>
        </w:rPr>
      </w:pPr>
      <w:r>
        <w:rPr>
          <w:rFonts w:ascii="Arial" w:cs="Arial" w:eastAsia="Arial" w:hAnsi="Arial"/>
          <w:sz w:val="15"/>
          <w:szCs w:val="15"/>
          <w:color w:val="auto"/>
        </w:rPr>
        <w:t>667.2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36195</wp:posOffset>
            </wp:positionV>
            <wp:extent cx="8578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53340</wp:posOffset>
            </wp:positionV>
            <wp:extent cx="8578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-108585</wp:posOffset>
            </wp:positionV>
            <wp:extent cx="8578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6664" w:space="720"/>
            <w:col w:w="4036"/>
          </w:cols>
          <w:pgMar w:left="240" w:top="341" w:right="239" w:bottom="1440" w:gutter="0" w:footer="0" w:header="0"/>
          <w:type w:val="continuous"/>
        </w:sectPr>
      </w:pPr>
    </w:p>
    <w:p>
      <w:pPr>
        <w:spacing w:after="0" w:line="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purposes of this pro forma analysis, the estimated purchase price for Adapt has been allocated based on a preliminary estimate of the fair value of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3" w:name="page64"/>
    <w:bookmarkEnd w:id="63"/>
    <w:tbl>
      <w:tblPr>
        <w:tblLayout w:type="fixed"/>
        <w:tblInd w:w="1560" w:type="dxa"/>
        <w:tblCellMar>
          <w:top w:w="0" w:type="dxa"/>
          <w:left w:w="0" w:type="dxa"/>
          <w:bottom w:w="0" w:type="dxa"/>
          <w:right w:w="0" w:type="dxa"/>
        </w:tblCellMar>
      </w:tblPr>
      <w:tr>
        <w:trPr>
          <w:trHeight w:val="171"/>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8"/>
              </w:rPr>
              <w:t>June 30, 2018</w:t>
            </w:r>
          </w:p>
        </w:tc>
        <w:tc>
          <w:tcPr>
            <w:tcW w:w="0" w:type="dxa"/>
            <w:vAlign w:val="bottom"/>
          </w:tcPr>
          <w:p>
            <w:pPr>
              <w:spacing w:after="0"/>
              <w:rPr>
                <w:sz w:val="1"/>
                <w:szCs w:val="1"/>
                <w:color w:val="auto"/>
              </w:rPr>
            </w:pPr>
          </w:p>
        </w:tc>
      </w:tr>
      <w:tr>
        <w:trPr>
          <w:trHeight w:val="210"/>
        </w:trPr>
        <w:tc>
          <w:tcPr>
            <w:tcW w:w="6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Acquired 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Assumed tangible liabilities</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Total estimated fair value of tangible assets acquired and liabilities assumed</w:t>
            </w: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Identified intangible assets</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Arial" w:cs="Arial" w:eastAsia="Arial" w:hAnsi="Arial"/>
                <w:sz w:val="18"/>
                <w:szCs w:val="18"/>
                <w:color w:val="auto"/>
              </w:rPr>
              <w:t>Total preliminary estimated purchase price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September 29, 2017, Emergent entered into a senior secured credit agreement (the “2017 Credit Agreement”) with four lending financial institutions. The 2017 Credit Agreement provided for a senior secured credit facility of up to $200 million through September 29, 2022. On October 4, 2018, Emergent drew down $100 million under the 2017 Credit Agreement to pay for a portion of the purchase of PaxVax.</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October 15, 2018, Emergent entered into an Amended and Restated Credit Agreement, dated as of October 15, 2018 (the “Amended Credit Agreement”), which amended and restated Emergent’s 2017 Credit Agreement, dated as of September 29,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Amended Credit Agreement (i) increased the revolving credit facility (the “Revolving Credit Facility”) from $200 million to $600 million,</w:t>
      </w:r>
    </w:p>
    <w:p>
      <w:pPr>
        <w:spacing w:after="0" w:line="35" w:lineRule="exact"/>
        <w:rPr>
          <w:sz w:val="20"/>
          <w:szCs w:val="20"/>
          <w:color w:val="auto"/>
        </w:rPr>
      </w:pPr>
    </w:p>
    <w:p>
      <w:pPr>
        <w:ind w:firstLine="8"/>
        <w:spacing w:after="0" w:line="281" w:lineRule="auto"/>
        <w:tabs>
          <w:tab w:leader="none" w:pos="265"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extended the maturity of the Revolving Credit Facility from September 29, 2022 to October 13, 2023, (iii) provided for a term loan in the original principal amount of $450 million (the “Term Loan Facility”, and together with the Revolving Credit Facility, the “Senior Secured Credit Facility”), (iv) added several additional lenders, (v) amended the applicable margin such that borrowings with respect to the Revolving Credit Facility will bear interest,</w:t>
      </w:r>
    </w:p>
    <w:p>
      <w:pPr>
        <w:spacing w:after="0" w:line="2" w:lineRule="exact"/>
        <w:rPr>
          <w:rFonts w:ascii="Arial" w:cs="Arial" w:eastAsia="Arial" w:hAnsi="Arial"/>
          <w:sz w:val="16"/>
          <w:szCs w:val="16"/>
          <w:color w:val="auto"/>
        </w:rPr>
      </w:pPr>
    </w:p>
    <w:p>
      <w:pPr>
        <w:jc w:val="both"/>
        <w:ind w:right="220" w:firstLine="8"/>
        <w:spacing w:after="0" w:line="253" w:lineRule="auto"/>
        <w:tabs>
          <w:tab w:leader="none" w:pos="3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amended the provision relating to incremental credit facilities such that Emergent may request one or more incremental term loan facilities, or one or more increases in the commitments under the Revolving Credit Facility (each an “Incremental Loan”), in any amount if, on a pro forma basis, Emergent’s consolidated secured net leverage ratio does not exceed 2.50 to 1.00 after such incurrence, plus $200 million and (vii) amended the maximum consolidated net leverage ratio financial covenant from 3.50 to 1.0 (subject to 0.50% step up in connection with material acquisitions) to the maximum consolidated net leverage ratio.</w:t>
      </w:r>
    </w:p>
    <w:p>
      <w:pPr>
        <w:spacing w:after="0" w:line="19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Prior to entering into the Amended Credit Agreement, the outstanding principal balance under the 2017 Credit Facility was $100 million. On October 15, 2018, Emergent borrowed an additional $218 million, bringing the total borrowings under the Revolving Credit Facility to $318 million and the full $450 million under the Term Loan Facility. Such borrowings were used to finance a portion of the consideration for the Adapt acquisition and related fees, costs and expenses and the remainder will be used for general corporate purposes.</w:t>
      </w:r>
    </w:p>
    <w:p>
      <w:pPr>
        <w:spacing w:after="0" w:line="183" w:lineRule="exact"/>
        <w:rPr>
          <w:sz w:val="20"/>
          <w:szCs w:val="20"/>
          <w:color w:val="auto"/>
        </w:rPr>
      </w:pPr>
    </w:p>
    <w:p>
      <w:pPr>
        <w:ind w:left="660" w:right="9260" w:hanging="652"/>
        <w:spacing w:after="0" w:line="604" w:lineRule="auto"/>
        <w:tabs>
          <w:tab w:leader="none" w:pos="237"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Pro forma adjustments </w:t>
      </w:r>
      <w:r>
        <w:rPr>
          <w:rFonts w:ascii="Arial" w:cs="Arial" w:eastAsia="Arial" w:hAnsi="Arial"/>
          <w:sz w:val="15"/>
          <w:szCs w:val="15"/>
          <w:i w:val="1"/>
          <w:iCs w:val="1"/>
          <w:u w:val="single" w:color="auto"/>
          <w:color w:val="auto"/>
        </w:rPr>
        <w:t>PaxVax Adjustments</w:t>
      </w:r>
    </w:p>
    <w:p>
      <w:pPr>
        <w:ind w:right="40" w:firstLine="648"/>
        <w:spacing w:after="0" w:line="257" w:lineRule="auto"/>
        <w:rPr>
          <w:sz w:val="20"/>
          <w:szCs w:val="20"/>
          <w:color w:val="auto"/>
        </w:rPr>
      </w:pPr>
      <w:r>
        <w:rPr>
          <w:rFonts w:ascii="Arial" w:cs="Arial" w:eastAsia="Arial" w:hAnsi="Arial"/>
          <w:sz w:val="18"/>
          <w:szCs w:val="18"/>
          <w:color w:val="auto"/>
        </w:rPr>
        <w:t>Adjustments included in the column under the heading “PaxVax Pro Forma Adjustments” are primarily based on the preliminary estimated purchase price valuation and certain adjustments to conform PaxVax’s historical amounts to Emergent’s financial statements presentation. For purposes of these unaudited pro forma condensed combined financial statements, unless as described below the book value of a majority of the tangible assets and liabilities acquired approximates fair value. Further analysis will be performed to confirm these estimates or make adjustments in the final purchase price allocation, as necessary.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unaudited pro forma condensed combined balance sheet as of June 30, 2018 include adjustments and reclassifications summarized below:</w:t>
      </w:r>
    </w:p>
    <w:p>
      <w:pPr>
        <w:spacing w:after="0" w:line="248" w:lineRule="exact"/>
        <w:rPr>
          <w:sz w:val="20"/>
          <w:szCs w:val="20"/>
          <w:color w:val="auto"/>
        </w:rPr>
      </w:pPr>
    </w:p>
    <w:p>
      <w:pPr>
        <w:ind w:left="660" w:right="160" w:hanging="328"/>
        <w:spacing w:after="0" w:line="258" w:lineRule="auto"/>
        <w:tabs>
          <w:tab w:leader="none" w:pos="6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the removal of PaxVax’s cash balance of $8.6 million as this asset was not included in the acquisition and payment of $270.4 million to acquire PaxVax.</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fair value adjustment to step-up inventory to estimated selling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fair value adjustment to increase the basis in the acquired property, plant and equipment to its fair value.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Elimination of PaxVax’s restricted cash as this asset was not included in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Reflects the fair value of the indefinite-lived intangible assets acquired to be used in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Adjustments to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64" w:name="page65"/>
    <w:bookmarkEnd w:id="64"/>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Reversal of $2.9 million of intangible assets recorded on PaxVax’s historical balance sheet; and</w:t>
      </w:r>
    </w:p>
    <w:p>
      <w:pPr>
        <w:spacing w:after="0" w:line="23" w:lineRule="exact"/>
        <w:rPr>
          <w:rFonts w:ascii="Arial" w:cs="Arial" w:eastAsia="Arial" w:hAnsi="Arial"/>
          <w:sz w:val="18"/>
          <w:szCs w:val="18"/>
          <w:color w:val="auto"/>
        </w:rPr>
      </w:pPr>
    </w:p>
    <w:p>
      <w:pPr>
        <w:ind w:left="980" w:hanging="324"/>
        <w:spacing w:after="0" w:line="261" w:lineRule="auto"/>
        <w:tabs>
          <w:tab w:leader="none" w:pos="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Fair value adjustment of the intangible assets recorded in purchase accounting. The preliminary identified intangible assets, amortization periods and amortization expense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Amortization Expense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Amortization Expense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for the Year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Ended December 31,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Ended June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Vivotif</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Vaxchora</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relationship</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Total identified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amortization period for the finite lived identified intangible assets is approximately 19 years.</w:t>
      </w:r>
    </w:p>
    <w:p>
      <w:pPr>
        <w:spacing w:after="0" w:line="225" w:lineRule="exact"/>
        <w:rPr>
          <w:sz w:val="20"/>
          <w:szCs w:val="20"/>
          <w:color w:val="auto"/>
        </w:rPr>
      </w:pPr>
    </w:p>
    <w:p>
      <w:pPr>
        <w:ind w:left="660" w:right="280" w:hanging="328"/>
        <w:spacing w:after="0" w:line="258" w:lineRule="auto"/>
        <w:tabs>
          <w:tab w:leader="none" w:pos="6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Adjustment to goodwill representing the estimated purchase price paid in the acquisition in excess of the fair value of the tangible and intangible assets acquired and liabilities assumed.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Reclassify accrued compensation related liabilities to conform with Emergent’s balance sheet presentation.</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Elimination of PaxVax’s convertible unsecured loans and related party convertible notes payable not included in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Elimination of PaxVax’s contributed capital and other comprehensive loss.</w:t>
      </w:r>
    </w:p>
    <w:p>
      <w:pPr>
        <w:spacing w:after="0" w:line="21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six months ended June 30, 2018 includes adjustments and reclassifications summarized below:</w:t>
      </w:r>
    </w:p>
    <w:p>
      <w:pPr>
        <w:spacing w:after="0" w:line="170"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record the inclusion of $3.5 million of amortization expense during the period for intangible assets recorded in purchase accounting.</w:t>
      </w:r>
    </w:p>
    <w:p>
      <w:pPr>
        <w:spacing w:after="0" w:line="34" w:lineRule="exact"/>
        <w:rPr>
          <w:rFonts w:ascii="Arial" w:cs="Arial" w:eastAsia="Arial" w:hAnsi="Arial"/>
          <w:sz w:val="17"/>
          <w:szCs w:val="17"/>
          <w:color w:val="auto"/>
        </w:rPr>
      </w:pPr>
    </w:p>
    <w:p>
      <w:pPr>
        <w:jc w:val="both"/>
        <w:ind w:left="660" w:right="180" w:hanging="328"/>
        <w:spacing w:after="0" w:line="250" w:lineRule="auto"/>
        <w:tabs>
          <w:tab w:leader="none" w:pos="674"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Reversal of amortization expense of $0.1 million recorded by PaxVax during the period for intangible assets; reversal of PaxVax’s historical stock compensation expense of $0.2 million and inclusion of $0.5 million adjustment for expected stock-based compensation expense under Emergent’s 2006 Stock Incentive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Elimination of fair value adjustments associated with PaxVax’s convertible unsecured debt which was not included in the acquisition.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 effect of the above six month ended June 30, 2018 PaxVax pro forma adjustments at the U.S. federal statutory rate of 21%.</w:t>
      </w:r>
    </w:p>
    <w:p>
      <w:pPr>
        <w:spacing w:after="0" w:line="211"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includes adjustments and reclassifications summarized below:</w:t>
      </w:r>
    </w:p>
    <w:p>
      <w:pPr>
        <w:spacing w:after="0" w:line="170"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record the inclusion of $6.9 million of amortization expense during the period for intangible assets recorded in purchase accounting.</w:t>
      </w:r>
    </w:p>
    <w:p>
      <w:pPr>
        <w:spacing w:after="0" w:line="34" w:lineRule="exact"/>
        <w:rPr>
          <w:rFonts w:ascii="Arial" w:cs="Arial" w:eastAsia="Arial" w:hAnsi="Arial"/>
          <w:sz w:val="17"/>
          <w:szCs w:val="17"/>
          <w:color w:val="auto"/>
        </w:rPr>
      </w:pPr>
    </w:p>
    <w:p>
      <w:pPr>
        <w:jc w:val="both"/>
        <w:ind w:left="660" w:right="180" w:hanging="328"/>
        <w:spacing w:after="0" w:line="250"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Reversal of amortization expense of $0.2 million recorded by PaxVax during the period for intangible assets; reversal of PaxVax’s historical stock compensation expense of $0.4 million and inclusion of $1.1 million adjustment for expected stock-based compensation expense under Emergent’s 2006 Stock Incentive Plan.</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Elimination of fair value adjustments associated with PaxVax’s convertible unsecured debt and the gain on the extinguishment of royalty obligation; which were not included in the acquisition.</w:t>
      </w: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Elimination of PaxVax’s amortization expense of $0.7 million related to premiums on investment securities.</w:t>
      </w:r>
    </w:p>
    <w:p>
      <w:pPr>
        <w:spacing w:after="0" w:line="9" w:lineRule="exact"/>
        <w:rPr>
          <w:rFonts w:ascii="Arial" w:cs="Arial" w:eastAsia="Arial" w:hAnsi="Arial"/>
          <w:sz w:val="18"/>
          <w:szCs w:val="18"/>
          <w:color w:val="auto"/>
        </w:rPr>
      </w:pPr>
    </w:p>
    <w:p>
      <w:pPr>
        <w:ind w:left="660" w:right="1540" w:hanging="328"/>
        <w:spacing w:after="0" w:line="492" w:lineRule="auto"/>
        <w:tabs>
          <w:tab w:leader="none" w:pos="66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Tax effect of the above year ended December 31, 2017 PaxVax pro forma adjustments at the U.S. federal statutory rate of 35%. </w:t>
      </w:r>
      <w:r>
        <w:rPr>
          <w:rFonts w:ascii="Arial" w:cs="Arial" w:eastAsia="Arial" w:hAnsi="Arial"/>
          <w:sz w:val="18"/>
          <w:szCs w:val="18"/>
          <w:i w:val="1"/>
          <w:iCs w:val="1"/>
          <w:u w:val="single" w:color="auto"/>
          <w:color w:val="auto"/>
        </w:rPr>
        <w:t>Adapt Adjustments</w:t>
      </w:r>
    </w:p>
    <w:p>
      <w:pPr>
        <w:spacing w:after="0" w:line="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Adjustments included in the column under the heading “Adapt Pro Forma Adjustments” are primarily based on the preliminary estimated purchase price valuation and certain adjustments to conform Adapt’s historical amounts to Emergent’s financial statements presentation. For purposes of these unaudited pro forma condensed combined financial statements, unless as described below the book value of a majority of the tangible assets and liabilities acquired approximates fair value. Further analysis will be performed to confirm these estimates or make adjustments in the final purchase price allocation, as necessary.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unaudited pro forma condensed combined balance sheet as of June 30, 2018 include adjustments and reclassifications summarized below:</w:t>
      </w:r>
    </w:p>
    <w:p>
      <w:pPr>
        <w:spacing w:after="0" w:line="248" w:lineRule="exact"/>
        <w:rPr>
          <w:sz w:val="20"/>
          <w:szCs w:val="20"/>
          <w:color w:val="auto"/>
        </w:rPr>
      </w:pPr>
    </w:p>
    <w:p>
      <w:pPr>
        <w:ind w:left="660" w:right="140" w:hanging="328"/>
        <w:spacing w:after="0" w:line="277" w:lineRule="auto"/>
        <w:tabs>
          <w:tab w:leader="none" w:pos="661"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Represents the removal of Adapt’s cash balance of $82.8 million as this asset was not included in the acquisition and payment of $581.5 million to acquire Adapt.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5" w:name="page66"/>
    <w:bookmarkEnd w:id="65"/>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Reclassify prepayments and VAT receivables to conform with Emergent’s balance sheet presentation.</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fair value adjustment to step-up inventory to estimated selling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fair value of the indefinite-lived intangible asset acquired to be used in research and development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Adjustments to finite lived intangible assets, net:</w:t>
      </w:r>
    </w:p>
    <w:p>
      <w:pPr>
        <w:spacing w:after="0" w:line="210" w:lineRule="exact"/>
        <w:rPr>
          <w:rFonts w:ascii="Arial" w:cs="Arial" w:eastAsia="Arial" w:hAnsi="Arial"/>
          <w:sz w:val="18"/>
          <w:szCs w:val="18"/>
          <w:color w:val="auto"/>
        </w:rPr>
      </w:pPr>
    </w:p>
    <w:p>
      <w:pPr>
        <w:ind w:left="1260" w:hanging="280"/>
        <w:spacing w:after="0"/>
        <w:tabs>
          <w:tab w:leader="none" w:pos="12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Reversal of $42.9 million of intangible assets recorded on Adapt’s historical balance sheet; and</w:t>
      </w:r>
    </w:p>
    <w:p>
      <w:pPr>
        <w:spacing w:after="0" w:line="23" w:lineRule="exact"/>
        <w:rPr>
          <w:rFonts w:ascii="Arial" w:cs="Arial" w:eastAsia="Arial" w:hAnsi="Arial"/>
          <w:sz w:val="18"/>
          <w:szCs w:val="18"/>
          <w:color w:val="auto"/>
        </w:rPr>
      </w:pPr>
    </w:p>
    <w:p>
      <w:pPr>
        <w:ind w:left="1300" w:right="380" w:hanging="320"/>
        <w:spacing w:after="0" w:line="261" w:lineRule="auto"/>
        <w:tabs>
          <w:tab w:leader="none" w:pos="12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Fair value adjustment of the intangible asset recorded in purchase accounting. The preliminary identified intangible assets, amortization periods and amortization expense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Amortization Expense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Amortization Expense</w:t>
            </w:r>
          </w:p>
        </w:tc>
        <w:tc>
          <w:tcPr>
            <w:tcW w:w="0" w:type="dxa"/>
            <w:vAlign w:val="bottom"/>
          </w:tcPr>
          <w:p>
            <w:pPr>
              <w:spacing w:after="0"/>
              <w:rPr>
                <w:sz w:val="1"/>
                <w:szCs w:val="1"/>
                <w:color w:val="auto"/>
              </w:rPr>
            </w:pPr>
          </w:p>
        </w:tc>
      </w:tr>
      <w:tr>
        <w:trPr>
          <w:trHeight w:val="149"/>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for the Year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1"/>
        </w:trPr>
        <w:tc>
          <w:tcPr>
            <w:tcW w:w="3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Ended December 31, 2017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Ended June 30,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NARCAN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60" w:hanging="328"/>
        <w:spacing w:after="0" w:line="258" w:lineRule="auto"/>
        <w:tabs>
          <w:tab w:leader="none" w:pos="6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Adjustment to goodwill representing the estimated purchase price paid in the acquisition in excess of the fair value of the tangible and intangible assets acquired and liabilities assumed.</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6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Adjustment to reflect an estimated $6.0 million long-term contract receivable. In addition, the adjustment reflects the removal of $3.9 million in capacity expansion payments to a third-party as they were subsumed by the NARCAN intangible asset.</w:t>
      </w:r>
    </w:p>
    <w:p>
      <w:pPr>
        <w:spacing w:after="0" w:line="1" w:lineRule="exact"/>
        <w:rPr>
          <w:sz w:val="20"/>
          <w:szCs w:val="20"/>
          <w:color w:val="auto"/>
        </w:rPr>
      </w:pPr>
    </w:p>
    <w:p>
      <w:pPr>
        <w:ind w:left="660" w:right="140" w:hanging="328"/>
        <w:spacing w:after="0" w:line="250"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Reclassify accrued sales rebates and returns, milestone payments, royalties and other current accrued liabilities to conform with Emergent’s balance sheet presentation.</w:t>
      </w: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$24.2 liability to Indivior associated with the sale of Adapt to Emergent pursuant to a license agreement.</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Reflects the preliminary fair value of consideration payable to Adapt shareholders of up to $100 million in cash based on the achievement of certain sales milestones through 2022 and the fair value of a contingent liability to Adapt shareholders.</w:t>
      </w:r>
    </w:p>
    <w:p>
      <w:pPr>
        <w:ind w:left="660" w:right="80" w:hanging="328"/>
        <w:spacing w:after="0" w:line="250"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the preliminary fair value of sales-based milestones of $15.0 million and a $7.0 million liability associated with increased manufacturing capacity.</w:t>
      </w:r>
    </w:p>
    <w:p>
      <w:pPr>
        <w:ind w:left="660" w:right="440" w:hanging="328"/>
        <w:spacing w:after="0" w:line="250" w:lineRule="auto"/>
        <w:tabs>
          <w:tab w:leader="none" w:pos="6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Elimination of Adapt’s share capital, share premium and share based payment reserve along with the inclusion of $37.7 million for the 733,309 shares issued to Adapt shareholders as part of the acquisition.</w:t>
      </w:r>
    </w:p>
    <w:p>
      <w:pPr>
        <w:ind w:left="640" w:hanging="308"/>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Elimination of Adapt’s retained earnings.</w:t>
      </w:r>
    </w:p>
    <w:p>
      <w:pPr>
        <w:spacing w:after="0" w:line="21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six months ended June 30, 2018 includes adjustments and reclassifications summarized below:</w:t>
      </w:r>
    </w:p>
    <w:p>
      <w:pPr>
        <w:spacing w:after="0" w:line="170" w:lineRule="exact"/>
        <w:rPr>
          <w:sz w:val="20"/>
          <w:szCs w:val="20"/>
          <w:color w:val="auto"/>
        </w:rPr>
      </w:pPr>
    </w:p>
    <w:p>
      <w:pPr>
        <w:ind w:left="660" w:right="40" w:hanging="328"/>
        <w:spacing w:after="0" w:line="258" w:lineRule="auto"/>
        <w:tabs>
          <w:tab w:leader="none" w:pos="682"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Reversal of amortization expense of $2.8 million recorded by Adapt and the inclusion of $20.5 million of amortization expense during the period for an intangible asset recorded in purchase accounting.</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Reversal of Adapt’s historical stock compensation expense, under IFRS, of $0.3 million and $0.9 million in transaction cost partially offset by the inclusion of $0.4 million adjustment for expected stock-based compensation expense under Emergent’s 2006 Stock Incentive Plan.</w:t>
      </w: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 effect of the above six month ended June 30, 2018 Adapt pro forma adjustments at the U.S federal statutory rate of 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Reversal of net income attributable to an entity not acquired with the acquisition of Adapt.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Reversal of discontinued operations from an entity not acquired with the acquisition of Adapt.</w:t>
      </w:r>
    </w:p>
    <w:p>
      <w:pPr>
        <w:spacing w:after="0" w:line="9" w:lineRule="exact"/>
        <w:rPr>
          <w:rFonts w:ascii="Arial" w:cs="Arial" w:eastAsia="Arial" w:hAnsi="Arial"/>
          <w:sz w:val="18"/>
          <w:szCs w:val="18"/>
          <w:color w:val="auto"/>
        </w:rPr>
      </w:pPr>
    </w:p>
    <w:p>
      <w:pPr>
        <w:ind w:left="680" w:hanging="348"/>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Inclusion of the issuance of 733,309 shares of common stock in conjunction with the acquisition of Adapt.</w:t>
      </w:r>
    </w:p>
    <w:p>
      <w:pPr>
        <w:spacing w:after="0" w:line="211"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includes adjustments and reclassifications summarized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mm.Reversal of $0.9 million in revenue from an entity not acquired in the acquisition of Adapt.</w:t>
      </w:r>
    </w:p>
    <w:p>
      <w:pPr>
        <w:spacing w:after="0" w:line="23" w:lineRule="exact"/>
        <w:rPr>
          <w:sz w:val="20"/>
          <w:szCs w:val="20"/>
          <w:color w:val="auto"/>
        </w:rPr>
      </w:pPr>
    </w:p>
    <w:p>
      <w:pPr>
        <w:ind w:left="660" w:hanging="328"/>
        <w:spacing w:after="0" w:line="281" w:lineRule="auto"/>
        <w:tabs>
          <w:tab w:leader="none" w:pos="655" w:val="left"/>
        </w:tabs>
        <w:numPr>
          <w:ilvl w:val="1"/>
          <w:numId w:val="80"/>
        </w:numPr>
        <w:rPr>
          <w:rFonts w:ascii="Arial" w:cs="Arial" w:eastAsia="Arial" w:hAnsi="Arial"/>
          <w:sz w:val="16"/>
          <w:szCs w:val="16"/>
          <w:color w:val="auto"/>
        </w:rPr>
      </w:pPr>
      <w:r>
        <w:rPr>
          <w:rFonts w:ascii="Arial" w:cs="Arial" w:eastAsia="Arial" w:hAnsi="Arial"/>
          <w:sz w:val="16"/>
          <w:szCs w:val="16"/>
          <w:color w:val="auto"/>
        </w:rPr>
        <w:t>Reversal of $0.3 million in expense from an entity not acquired in the acquisition of Adapt; reversal of amortization expense of $1.7 million recorded by Adapt and the inclusion of $41.0 million of amortization expense during the period for an intangible asset recorded in purchase accounting.</w:t>
      </w:r>
    </w:p>
    <w:p>
      <w:pPr>
        <w:spacing w:after="0" w:line="1"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oo. Reversal of $2.9 million in expense from an entity not acquired in the acquisition of Adapt.</w:t>
      </w:r>
    </w:p>
    <w:p>
      <w:pPr>
        <w:spacing w:after="0" w:line="9" w:lineRule="exact"/>
        <w:rPr>
          <w:rFonts w:ascii="Arial" w:cs="Arial" w:eastAsia="Arial" w:hAnsi="Arial"/>
          <w:sz w:val="16"/>
          <w:szCs w:val="16"/>
          <w:color w:val="auto"/>
        </w:rPr>
      </w:pPr>
    </w:p>
    <w:p>
      <w:pPr>
        <w:ind w:left="660" w:right="380" w:hanging="328"/>
        <w:spacing w:after="0" w:line="250" w:lineRule="auto"/>
        <w:tabs>
          <w:tab w:leader="none" w:pos="655"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Reversal of $0.7 million in expense from an entity not acquired in the acquisition of Adapt; reversal of Adapt’s historical stock compensation expense, under IFRS, of $0.4 million and inclusion of $0.8 million adjustment for expected stock compensation expense under Emergent’s 2006 Stock Incentive Plan.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Reversal of $0.6 million in other income from an entity not acquired in the acquisition of Adapt.</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Tax effect of the above year ended December 31, 2017 Adapt pro forma adjustments at the U.S federal statutory rate of 35%.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Reversal of net income attributable to an entity not acquired in the acquisition of Adapt.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Inclusion of the issuance of 733,309 shares of common stock in conjunction with the acquisition of Adapt.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u w:val="single" w:color="auto"/>
          <w:color w:val="auto"/>
        </w:rPr>
        <w:t>Emergent Adjustments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pro forma condensed combined balance sheet as of June 30, 2018 include adjustments summarized below:</w:t>
      </w:r>
    </w:p>
    <w:p>
      <w:pPr>
        <w:spacing w:after="0" w:line="225"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cash received under the Amended and Restated Credit agreement, net of $13.0 million debt issuance costs.</w:t>
      </w:r>
    </w:p>
    <w:p>
      <w:pPr>
        <w:spacing w:after="0" w:line="23" w:lineRule="exact"/>
        <w:rPr>
          <w:rFonts w:ascii="Arial" w:cs="Arial" w:eastAsia="Arial" w:hAnsi="Arial"/>
          <w:sz w:val="18"/>
          <w:szCs w:val="18"/>
          <w:color w:val="auto"/>
        </w:rPr>
      </w:pPr>
    </w:p>
    <w:p>
      <w:pPr>
        <w:ind w:left="660" w:right="60" w:hanging="328"/>
        <w:spacing w:after="0" w:line="261" w:lineRule="auto"/>
        <w:tabs>
          <w:tab w:leader="none" w:pos="644"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Reflects the current portion of the Term Loan Facility along with the long-term portions of the Term Loan Facility and the Revolving Credit Facility, net of debt issuance costs of $13.0 million.</w:t>
      </w:r>
    </w:p>
    <w:p>
      <w:pPr>
        <w:spacing w:after="0" w:line="184"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six months ended June 30, 2018 includes adjustments and reclassifications summarized below:</w:t>
      </w:r>
    </w:p>
    <w:p>
      <w:pPr>
        <w:spacing w:after="0" w:line="170"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Reversal of Emergent’s transaction costs associated with both PaxVax and Adapt of $1.3 million.</w:t>
      </w:r>
    </w:p>
    <w:p>
      <w:pPr>
        <w:spacing w:after="0" w:line="2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record interest expense of $15.7 million associated with Emergent’s debt at an assumed interest rate of 4.097% (based on the 1-month LIBOR rate at November 30, 2018 plus 1.75%) and amortization of deferred financing costs of $1.3 million for the six months ended June 30, 2018.</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 effect of the above six month ended June 30, 2018 Emergent pro forma adjustments at the U.S federal statutory rate of 21%.</w:t>
      </w:r>
    </w:p>
    <w:p>
      <w:pPr>
        <w:spacing w:after="0" w:line="211"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includes adjustments and reclassifications summarized below:</w:t>
      </w:r>
    </w:p>
    <w:p>
      <w:pPr>
        <w:spacing w:after="0" w:line="170" w:lineRule="exact"/>
        <w:rPr>
          <w:sz w:val="20"/>
          <w:szCs w:val="20"/>
          <w:color w:val="auto"/>
        </w:rPr>
      </w:pPr>
    </w:p>
    <w:p>
      <w:pPr>
        <w:ind w:left="660" w:right="40" w:hanging="328"/>
        <w:spacing w:after="0" w:line="291" w:lineRule="auto"/>
        <w:tabs>
          <w:tab w:leader="none" w:pos="662"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record interest expense of $31.5 million associated with the Emergent’s debt at an assumed interest rate of 4.097% (based on the 1-month LIBOR rate at November 30, 2018 plus 1.75%) and amortization of deferred financing costs of $2.6 million for the year ended December 31, 2017.</w:t>
      </w:r>
    </w:p>
    <w:p>
      <w:pPr>
        <w:ind w:left="340"/>
        <w:spacing w:after="0"/>
        <w:rPr>
          <w:sz w:val="20"/>
          <w:szCs w:val="20"/>
          <w:color w:val="auto"/>
        </w:rPr>
      </w:pPr>
      <w:r>
        <w:rPr>
          <w:rFonts w:ascii="Arial" w:cs="Arial" w:eastAsia="Arial" w:hAnsi="Arial"/>
          <w:sz w:val="18"/>
          <w:szCs w:val="18"/>
          <w:color w:val="auto"/>
        </w:rPr>
        <w:t>aaa. Tax effect of the above year ended December 31, 2017 Emergent pro forma adjustments at the U.S federal statutory rate of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2"/>
      <w:numFmt w:val="bullet"/>
      <w:start w:val="1"/>
    </w:lvl>
  </w:abstractNum>
  <w:abstractNum w:abstractNumId="1">
    <w:nsid w:val="2A487CB0"/>
    <w:multiLevelType w:val="hybridMultilevel"/>
    <w:lvl w:ilvl="0">
      <w:lvlJc w:val="left"/>
      <w:lvlText w:val="%1"/>
      <w:numFmt w:val="decimal"/>
      <w:start w:val="10"/>
    </w:lvl>
  </w:abstractNum>
  <w:abstractNum w:abstractNumId="2">
    <w:nsid w:val="1D4ED43B"/>
    <w:multiLevelType w:val="hybridMultilevel"/>
    <w:lvl w:ilvl="0">
      <w:lvlJc w:val="left"/>
      <w:lvlText w:val="%1"/>
      <w:numFmt w:val="decimal"/>
      <w:start w:val="23"/>
    </w:lvl>
  </w:abstractNum>
  <w:abstractNum w:abstractNumId="3">
    <w:nsid w:val="725A06FB"/>
    <w:multiLevelType w:val="hybridMultilevel"/>
    <w:lvl w:ilvl="0">
      <w:lvlJc w:val="left"/>
      <w:lvlText w:val="(%1)"/>
      <w:numFmt w:val="decimal"/>
      <w:start w:val="1"/>
    </w:lvl>
  </w:abstractNum>
  <w:abstractNum w:abstractNumId="4">
    <w:nsid w:val="2CD89A32"/>
    <w:multiLevelType w:val="hybridMultilevel"/>
    <w:lvl w:ilvl="0">
      <w:lvlJc w:val="left"/>
      <w:lvlText w:val="1"/>
      <w:numFmt w:val="bullet"/>
      <w:start w:val="1"/>
    </w:lvl>
  </w:abstractNum>
  <w:abstractNum w:abstractNumId="5">
    <w:nsid w:val="57E4CCAF"/>
    <w:multiLevelType w:val="hybridMultilevel"/>
    <w:lvl w:ilvl="0">
      <w:lvlJc w:val="left"/>
      <w:lvlText w:val="2"/>
      <w:numFmt w:val="bullet"/>
      <w:start w:val="1"/>
    </w:lvl>
  </w:abstractNum>
  <w:abstractNum w:abstractNumId="6">
    <w:nsid w:val="7A6D8D3C"/>
    <w:multiLevelType w:val="hybridMultilevel"/>
    <w:lvl w:ilvl="0">
      <w:lvlJc w:val="left"/>
      <w:lvlText w:val="3"/>
      <w:numFmt w:val="bullet"/>
      <w:start w:val="1"/>
    </w:lvl>
  </w:abstractNum>
  <w:abstractNum w:abstractNumId="7">
    <w:nsid w:val="4B588F54"/>
    <w:multiLevelType w:val="hybridMultilevel"/>
    <w:lvl w:ilvl="0">
      <w:lvlJc w:val="left"/>
      <w:lvlText w:val="4"/>
      <w:numFmt w:val="bullet"/>
      <w:start w:val="1"/>
    </w:lvl>
  </w:abstractNum>
  <w:abstractNum w:abstractNumId="8">
    <w:nsid w:val="542289EC"/>
    <w:multiLevelType w:val="hybridMultilevel"/>
    <w:lvl w:ilvl="0">
      <w:lvlJc w:val="left"/>
      <w:lvlText w:val="5"/>
      <w:numFmt w:val="bullet"/>
      <w:start w:val="1"/>
    </w:lvl>
  </w:abstractNum>
  <w:abstractNum w:abstractNumId="9">
    <w:nsid w:val="6DE91B18"/>
    <w:multiLevelType w:val="hybridMultilevel"/>
    <w:lvl w:ilvl="0">
      <w:lvlJc w:val="left"/>
      <w:lvlText w:val="6"/>
      <w:numFmt w:val="bullet"/>
      <w:start w:val="1"/>
    </w:lvl>
  </w:abstractNum>
  <w:abstractNum w:abstractNumId="10">
    <w:nsid w:val="38437FDB"/>
    <w:multiLevelType w:val="hybridMultilevel"/>
    <w:lvl w:ilvl="0">
      <w:lvlJc w:val="left"/>
      <w:lvlText w:val="7"/>
      <w:numFmt w:val="bullet"/>
      <w:start w:val="1"/>
    </w:lvl>
  </w:abstractNum>
  <w:abstractNum w:abstractNumId="11">
    <w:nsid w:val="7644A45C"/>
    <w:multiLevelType w:val="hybridMultilevel"/>
    <w:lvl w:ilvl="0">
      <w:lvlJc w:val="left"/>
      <w:lvlText w:val="8"/>
      <w:numFmt w:val="bullet"/>
      <w:start w:val="1"/>
    </w:lvl>
  </w:abstractNum>
  <w:abstractNum w:abstractNumId="12">
    <w:nsid w:val="32FFF902"/>
    <w:multiLevelType w:val="hybridMultilevel"/>
    <w:lvl w:ilvl="0">
      <w:lvlJc w:val="left"/>
      <w:lvlText w:val="9"/>
      <w:numFmt w:val="bullet"/>
      <w:start w:val="1"/>
    </w:lvl>
  </w:abstractNum>
  <w:abstractNum w:abstractNumId="13">
    <w:nsid w:val="684A481A"/>
    <w:multiLevelType w:val="hybridMultilevel"/>
    <w:lvl w:ilvl="0">
      <w:lvlJc w:val="left"/>
      <w:lvlText w:val="1"/>
      <w:numFmt w:val="bullet"/>
      <w:start w:val="1"/>
    </w:lvl>
  </w:abstractNum>
  <w:abstractNum w:abstractNumId="14">
    <w:nsid w:val="579478FE"/>
    <w:multiLevelType w:val="hybridMultilevel"/>
    <w:lvl w:ilvl="0">
      <w:lvlJc w:val="left"/>
      <w:lvlText w:val="1"/>
      <w:numFmt w:val="bullet"/>
      <w:start w:val="1"/>
    </w:lvl>
  </w:abstractNum>
  <w:abstractNum w:abstractNumId="15">
    <w:nsid w:val="749ABB43"/>
    <w:multiLevelType w:val="hybridMultilevel"/>
    <w:lvl w:ilvl="0">
      <w:lvlJc w:val="left"/>
      <w:lvlText w:val="1"/>
      <w:numFmt w:val="bullet"/>
      <w:start w:val="1"/>
    </w:lvl>
    <w:lvl w:ilvl="1">
      <w:lvlJc w:val="left"/>
      <w:lvlText w:val="%2."/>
      <w:numFmt w:val="lowerRoman"/>
      <w:start w:val="1"/>
    </w:lvl>
  </w:abstractNum>
  <w:abstractNum w:abstractNumId="16">
    <w:nsid w:val="3DC240FB"/>
    <w:multiLevelType w:val="hybridMultilevel"/>
    <w:lvl w:ilvl="0">
      <w:lvlJc w:val="left"/>
      <w:lvlText w:val="2"/>
      <w:numFmt w:val="bullet"/>
      <w:start w:val="1"/>
    </w:lvl>
  </w:abstractNum>
  <w:abstractNum w:abstractNumId="17">
    <w:nsid w:val="1BA026FA"/>
    <w:multiLevelType w:val="hybridMultilevel"/>
    <w:lvl w:ilvl="0">
      <w:lvlJc w:val="left"/>
      <w:lvlText w:val="2"/>
      <w:numFmt w:val="bullet"/>
      <w:start w:val="1"/>
    </w:lvl>
  </w:abstractNum>
  <w:abstractNum w:abstractNumId="18">
    <w:nsid w:val="79A1DEAA"/>
    <w:multiLevelType w:val="hybridMultilevel"/>
    <w:lvl w:ilvl="0">
      <w:lvlJc w:val="left"/>
      <w:lvlText w:val="3"/>
      <w:numFmt w:val="bullet"/>
      <w:start w:val="1"/>
    </w:lvl>
  </w:abstractNum>
  <w:abstractNum w:abstractNumId="19">
    <w:nsid w:val="75C6C33A"/>
    <w:multiLevelType w:val="hybridMultilevel"/>
    <w:lvl w:ilvl="0">
      <w:lvlJc w:val="left"/>
      <w:lvlText w:val="4"/>
      <w:numFmt w:val="bullet"/>
      <w:start w:val="1"/>
    </w:lvl>
  </w:abstractNum>
  <w:abstractNum w:abstractNumId="20">
    <w:nsid w:val="12E685FB"/>
    <w:multiLevelType w:val="hybridMultilevel"/>
    <w:lvl w:ilvl="0">
      <w:lvlJc w:val="left"/>
      <w:lvlText w:val="4"/>
      <w:numFmt w:val="bullet"/>
      <w:start w:val="1"/>
    </w:lvl>
  </w:abstractNum>
  <w:abstractNum w:abstractNumId="21">
    <w:nsid w:val="70C6A529"/>
    <w:multiLevelType w:val="hybridMultilevel"/>
    <w:lvl w:ilvl="0">
      <w:lvlJc w:val="left"/>
      <w:lvlText w:val="6"/>
      <w:numFmt w:val="bullet"/>
      <w:start w:val="1"/>
    </w:lvl>
  </w:abstractNum>
  <w:abstractNum w:abstractNumId="22">
    <w:nsid w:val="520EEDD1"/>
    <w:multiLevelType w:val="hybridMultilevel"/>
    <w:lvl w:ilvl="0">
      <w:lvlJc w:val="left"/>
      <w:lvlText w:val="7"/>
      <w:numFmt w:val="bullet"/>
      <w:start w:val="1"/>
    </w:lvl>
  </w:abstractNum>
  <w:abstractNum w:abstractNumId="23">
    <w:nsid w:val="374A3FE6"/>
    <w:multiLevelType w:val="hybridMultilevel"/>
    <w:lvl w:ilvl="0">
      <w:lvlJc w:val="left"/>
      <w:lvlText w:val="8"/>
      <w:numFmt w:val="bullet"/>
      <w:start w:val="1"/>
    </w:lvl>
  </w:abstractNum>
  <w:abstractNum w:abstractNumId="24">
    <w:nsid w:val="4F4EF005"/>
    <w:multiLevelType w:val="hybridMultilevel"/>
    <w:lvl w:ilvl="0">
      <w:lvlJc w:val="left"/>
      <w:lvlText w:val="9"/>
      <w:numFmt w:val="bullet"/>
      <w:start w:val="1"/>
    </w:lvl>
  </w:abstractNum>
  <w:abstractNum w:abstractNumId="25">
    <w:nsid w:val="23F9C13C"/>
    <w:multiLevelType w:val="hybridMultilevel"/>
    <w:lvl w:ilvl="0">
      <w:lvlJc w:val="left"/>
      <w:lvlText w:val="%1"/>
      <w:numFmt w:val="decimal"/>
      <w:start w:val="11"/>
    </w:lvl>
  </w:abstractNum>
  <w:abstractNum w:abstractNumId="26">
    <w:nsid w:val="649BB77C"/>
    <w:multiLevelType w:val="hybridMultilevel"/>
    <w:lvl w:ilvl="0">
      <w:lvlJc w:val="left"/>
      <w:lvlText w:val="%1"/>
      <w:numFmt w:val="decimal"/>
      <w:start w:val="12"/>
    </w:lvl>
  </w:abstractNum>
  <w:abstractNum w:abstractNumId="27">
    <w:nsid w:val="275AC794"/>
    <w:multiLevelType w:val="hybridMultilevel"/>
    <w:lvl w:ilvl="0">
      <w:lvlJc w:val="left"/>
      <w:lvlText w:val="1"/>
      <w:numFmt w:val="bullet"/>
      <w:start w:val="1"/>
    </w:lvl>
  </w:abstractNum>
  <w:abstractNum w:abstractNumId="28">
    <w:nsid w:val="39386575"/>
    <w:multiLevelType w:val="hybridMultilevel"/>
    <w:lvl w:ilvl="0">
      <w:lvlJc w:val="left"/>
      <w:lvlText w:val="2"/>
      <w:numFmt w:val="bullet"/>
      <w:start w:val="1"/>
    </w:lvl>
  </w:abstractNum>
  <w:abstractNum w:abstractNumId="29">
    <w:nsid w:val="1CF10FD8"/>
    <w:multiLevelType w:val="hybridMultilevel"/>
    <w:lvl w:ilvl="0">
      <w:lvlJc w:val="left"/>
      <w:lvlText w:val="2"/>
      <w:numFmt w:val="bullet"/>
      <w:start w:val="1"/>
    </w:lvl>
  </w:abstractNum>
  <w:abstractNum w:abstractNumId="30">
    <w:nsid w:val="180115BE"/>
    <w:multiLevelType w:val="hybridMultilevel"/>
    <w:lvl w:ilvl="0">
      <w:lvlJc w:val="left"/>
      <w:lvlText w:val="2"/>
      <w:numFmt w:val="bullet"/>
      <w:start w:val="1"/>
    </w:lvl>
  </w:abstractNum>
  <w:abstractNum w:abstractNumId="31">
    <w:nsid w:val="235BA861"/>
    <w:multiLevelType w:val="hybridMultilevel"/>
    <w:lvl w:ilvl="0">
      <w:lvlJc w:val="left"/>
      <w:lvlText w:val="2"/>
      <w:numFmt w:val="bullet"/>
      <w:start w:val="1"/>
    </w:lvl>
  </w:abstractNum>
  <w:abstractNum w:abstractNumId="32">
    <w:nsid w:val="47398C89"/>
    <w:multiLevelType w:val="hybridMultilevel"/>
    <w:lvl w:ilvl="0">
      <w:lvlJc w:val="left"/>
      <w:lvlText w:val="2"/>
      <w:numFmt w:val="bullet"/>
      <w:start w:val="1"/>
    </w:lvl>
  </w:abstractNum>
  <w:abstractNum w:abstractNumId="33">
    <w:nsid w:val="354FE9F9"/>
    <w:multiLevelType w:val="hybridMultilevel"/>
    <w:lvl w:ilvl="0">
      <w:lvlJc w:val="left"/>
      <w:lvlText w:val="(%1)"/>
      <w:numFmt w:val="lowerRoman"/>
      <w:start w:val="5"/>
    </w:lvl>
  </w:abstractNum>
  <w:abstractNum w:abstractNumId="34">
    <w:nsid w:val="15B5AF5C"/>
    <w:multiLevelType w:val="hybridMultilevel"/>
    <w:lvl w:ilvl="0">
      <w:lvlJc w:val="left"/>
      <w:lvlText w:val="2"/>
      <w:numFmt w:val="bullet"/>
      <w:start w:val="1"/>
    </w:lvl>
  </w:abstractNum>
  <w:abstractNum w:abstractNumId="35">
    <w:nsid w:val="741226BB"/>
    <w:multiLevelType w:val="hybridMultilevel"/>
    <w:lvl w:ilvl="0">
      <w:lvlJc w:val="left"/>
      <w:lvlText w:val="2"/>
      <w:numFmt w:val="bullet"/>
      <w:start w:val="1"/>
    </w:lvl>
  </w:abstractNum>
  <w:abstractNum w:abstractNumId="36">
    <w:nsid w:val="D34B6A8"/>
    <w:multiLevelType w:val="hybridMultilevel"/>
    <w:lvl w:ilvl="0">
      <w:lvlJc w:val="left"/>
      <w:lvlText w:val="2"/>
      <w:numFmt w:val="bullet"/>
      <w:start w:val="1"/>
    </w:lvl>
  </w:abstractNum>
  <w:abstractNum w:abstractNumId="37">
    <w:nsid w:val="10233C99"/>
    <w:multiLevelType w:val="hybridMultilevel"/>
    <w:lvl w:ilvl="0">
      <w:lvlJc w:val="left"/>
      <w:lvlText w:val="2"/>
      <w:numFmt w:val="bullet"/>
      <w:start w:val="1"/>
    </w:lvl>
  </w:abstractNum>
  <w:abstractNum w:abstractNumId="38">
    <w:nsid w:val="3F6AB60F"/>
    <w:multiLevelType w:val="hybridMultilevel"/>
    <w:lvl w:ilvl="0">
      <w:lvlJc w:val="left"/>
      <w:lvlText w:val="3"/>
      <w:numFmt w:val="bullet"/>
      <w:start w:val="1"/>
    </w:lvl>
  </w:abstractNum>
  <w:abstractNum w:abstractNumId="39">
    <w:nsid w:val="61574095"/>
    <w:multiLevelType w:val="hybridMultilevel"/>
    <w:lvl w:ilvl="0">
      <w:lvlJc w:val="left"/>
      <w:lvlText w:val="3"/>
      <w:numFmt w:val="bullet"/>
      <w:start w:val="1"/>
    </w:lvl>
  </w:abstractNum>
  <w:abstractNum w:abstractNumId="40">
    <w:nsid w:val="7E0C57B1"/>
    <w:multiLevelType w:val="hybridMultilevel"/>
    <w:lvl w:ilvl="0">
      <w:lvlJc w:val="left"/>
      <w:lvlText w:val="4"/>
      <w:numFmt w:val="bullet"/>
      <w:start w:val="1"/>
    </w:lvl>
  </w:abstractNum>
  <w:abstractNum w:abstractNumId="41">
    <w:nsid w:val="77AE35EB"/>
    <w:multiLevelType w:val="hybridMultilevel"/>
    <w:lvl w:ilvl="0">
      <w:lvlJc w:val="left"/>
      <w:lvlText w:val="6"/>
      <w:numFmt w:val="bullet"/>
      <w:start w:val="1"/>
    </w:lvl>
  </w:abstractNum>
  <w:abstractNum w:abstractNumId="42">
    <w:nsid w:val="579BE4F1"/>
    <w:multiLevelType w:val="hybridMultilevel"/>
    <w:lvl w:ilvl="0">
      <w:lvlJc w:val="left"/>
      <w:lvlText w:val="7"/>
      <w:numFmt w:val="bullet"/>
      <w:start w:val="1"/>
    </w:lvl>
  </w:abstractNum>
  <w:abstractNum w:abstractNumId="43">
    <w:nsid w:val="310C50B3"/>
    <w:multiLevelType w:val="hybridMultilevel"/>
    <w:lvl w:ilvl="0">
      <w:lvlJc w:val="left"/>
      <w:lvlText w:val="8"/>
      <w:numFmt w:val="bullet"/>
      <w:start w:val="1"/>
    </w:lvl>
  </w:abstractNum>
  <w:abstractNum w:abstractNumId="44">
    <w:nsid w:val="5FF87E05"/>
    <w:multiLevelType w:val="hybridMultilevel"/>
    <w:lvl w:ilvl="0">
      <w:lvlJc w:val="left"/>
      <w:lvlText w:val="8"/>
      <w:numFmt w:val="bullet"/>
      <w:start w:val="1"/>
    </w:lvl>
  </w:abstractNum>
  <w:abstractNum w:abstractNumId="45">
    <w:nsid w:val="2F305DEF"/>
    <w:multiLevelType w:val="hybridMultilevel"/>
    <w:lvl w:ilvl="0">
      <w:lvlJc w:val="left"/>
      <w:lvlText w:val="%1"/>
      <w:numFmt w:val="decimal"/>
      <w:start w:val="11"/>
    </w:lvl>
  </w:abstractNum>
  <w:abstractNum w:abstractNumId="46">
    <w:nsid w:val="25A70BF7"/>
    <w:multiLevelType w:val="hybridMultilevel"/>
    <w:lvl w:ilvl="0">
      <w:lvlJc w:val="left"/>
      <w:lvlText w:val="%1"/>
      <w:numFmt w:val="decimal"/>
      <w:start w:val="14"/>
    </w:lvl>
  </w:abstractNum>
  <w:abstractNum w:abstractNumId="47">
    <w:nsid w:val="1DBABF00"/>
    <w:multiLevelType w:val="hybridMultilevel"/>
    <w:lvl w:ilvl="0">
      <w:lvlJc w:val="left"/>
      <w:lvlText w:val="%1"/>
      <w:numFmt w:val="decimal"/>
      <w:start w:val="16"/>
    </w:lvl>
  </w:abstractNum>
  <w:abstractNum w:abstractNumId="48">
    <w:nsid w:val="4AD084E9"/>
    <w:multiLevelType w:val="hybridMultilevel"/>
    <w:lvl w:ilvl="0">
      <w:lvlJc w:val="left"/>
      <w:lvlText w:val="%1"/>
      <w:numFmt w:val="decimal"/>
      <w:start w:val="16"/>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6"/>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decimal"/>
      <w:start w:val="17"/>
    </w:lvl>
    <w:lvl w:ilvl="1">
      <w:lvlJc w:val="left"/>
      <w:lvlText w:val="·"/>
      <w:numFmt w:val="bullet"/>
      <w:start w:val="1"/>
    </w:lvl>
  </w:abstractNum>
  <w:abstractNum w:abstractNumId="53">
    <w:nsid w:val="6590700B"/>
    <w:multiLevelType w:val="hybridMultilevel"/>
    <w:lvl w:ilvl="0">
      <w:lvlJc w:val="left"/>
      <w:lvlText w:val="%1"/>
      <w:numFmt w:val="decimal"/>
      <w:start w:val="17"/>
    </w:lvl>
  </w:abstractNum>
  <w:abstractNum w:abstractNumId="54">
    <w:nsid w:val="15014ACB"/>
    <w:multiLevelType w:val="hybridMultilevel"/>
    <w:lvl w:ilvl="0">
      <w:lvlJc w:val="left"/>
      <w:lvlText w:val="%1"/>
      <w:numFmt w:val="decimal"/>
      <w:start w:val="18"/>
    </w:lvl>
  </w:abstractNum>
  <w:abstractNum w:abstractNumId="55">
    <w:nsid w:val="5F5E7FD0"/>
    <w:multiLevelType w:val="hybridMultilevel"/>
    <w:lvl w:ilvl="0">
      <w:lvlJc w:val="left"/>
      <w:lvlText w:val="%1"/>
      <w:numFmt w:val="decimal"/>
      <w:start w:val="19"/>
    </w:lvl>
  </w:abstractNum>
  <w:abstractNum w:abstractNumId="56">
    <w:nsid w:val="98A3148"/>
    <w:multiLevelType w:val="hybridMultilevel"/>
    <w:lvl w:ilvl="0">
      <w:lvlJc w:val="left"/>
      <w:lvlText w:val="%1"/>
      <w:numFmt w:val="decimal"/>
      <w:start w:val="19"/>
    </w:lvl>
  </w:abstractNum>
  <w:abstractNum w:abstractNumId="57">
    <w:nsid w:val="799D0247"/>
    <w:multiLevelType w:val="hybridMultilevel"/>
    <w:lvl w:ilvl="0">
      <w:lvlJc w:val="left"/>
      <w:lvlText w:val="%1"/>
      <w:numFmt w:val="decimal"/>
      <w:start w:val="22"/>
    </w:lvl>
  </w:abstractNum>
  <w:abstractNum w:abstractNumId="58">
    <w:nsid w:val="6B94764"/>
    <w:multiLevelType w:val="hybridMultilevel"/>
    <w:lvl w:ilvl="0">
      <w:lvlJc w:val="left"/>
      <w:lvlText w:val="%1"/>
      <w:numFmt w:val="decimal"/>
      <w:start w:val="22"/>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1."/>
      <w:numFmt w:val="decimal"/>
      <w:start w:val="4"/>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lowerRoman"/>
      <w:start w:val="2"/>
    </w:lvl>
  </w:abstractNum>
  <w:abstractNum w:abstractNumId="67">
    <w:nsid w:val="613EFDC5"/>
    <w:multiLevelType w:val="hybridMultilevel"/>
    <w:lvl w:ilvl="0">
      <w:lvlJc w:val="left"/>
      <w:lvlText w:val="(%1)"/>
      <w:numFmt w:val="lowerRoman"/>
      <w:start w:val="6"/>
    </w:lvl>
  </w:abstractNum>
  <w:abstractNum w:abstractNumId="68">
    <w:nsid w:val="BF72B14"/>
    <w:multiLevelType w:val="hybridMultilevel"/>
    <w:lvl w:ilvl="0">
      <w:lvlJc w:val="left"/>
      <w:lvlText w:val="%1."/>
      <w:numFmt w:val="decimal"/>
      <w:start w:val="6"/>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1."/>
      <w:numFmt w:val="lowerLetter"/>
      <w:start w:val="7"/>
    </w:lvl>
  </w:abstractNum>
  <w:abstractNum w:abstractNumId="72">
    <w:nsid w:val="8F2B15E"/>
    <w:multiLevelType w:val="hybridMultilevel"/>
    <w:lvl w:ilvl="0">
      <w:lvlJc w:val="left"/>
      <w:lvlText w:val="%1."/>
      <w:numFmt w:val="lowerLetter"/>
      <w:start w:val="11"/>
    </w:lvl>
  </w:abstractNum>
  <w:abstractNum w:abstractNumId="73">
    <w:nsid w:val="1A32234B"/>
    <w:multiLevelType w:val="hybridMultilevel"/>
    <w:lvl w:ilvl="0">
      <w:lvlJc w:val="left"/>
      <w:lvlText w:val="%1."/>
      <w:numFmt w:val="lowerLetter"/>
      <w:start w:val="15"/>
    </w:lvl>
  </w:abstractNum>
  <w:abstractNum w:abstractNumId="74">
    <w:nsid w:val="3B0FD379"/>
    <w:multiLevelType w:val="hybridMultilevel"/>
    <w:lvl w:ilvl="0">
      <w:lvlJc w:val="left"/>
      <w:lvlText w:val="%1."/>
      <w:numFmt w:val="lowerLetter"/>
      <w:start w:val="20"/>
    </w:lvl>
  </w:abstractNum>
  <w:abstractNum w:abstractNumId="75">
    <w:nsid w:val="68EB2F63"/>
    <w:multiLevelType w:val="hybridMultilevel"/>
    <w:lvl w:ilvl="0">
      <w:lvlJc w:val="left"/>
      <w:lvlText w:val="%1."/>
      <w:numFmt w:val="lowerLetter"/>
      <w:start w:val="21"/>
    </w:lvl>
    <w:lvl w:ilvl="1">
      <w:lvlJc w:val="left"/>
      <w:lvlText w:val="·"/>
      <w:numFmt w:val="bullet"/>
      <w:start w:val="1"/>
    </w:lvl>
  </w:abstractNum>
  <w:abstractNum w:abstractNumId="76">
    <w:nsid w:val="4962813B"/>
    <w:multiLevelType w:val="hybridMultilevel"/>
    <w:lvl w:ilvl="0">
      <w:lvlJc w:val="left"/>
      <w:lvlText w:val="%1."/>
      <w:numFmt w:val="lowerLetter"/>
      <w:start w:val="25"/>
    </w:lvl>
  </w:abstractNum>
  <w:abstractNum w:abstractNumId="77">
    <w:nsid w:val="60B6DF70"/>
    <w:multiLevelType w:val="hybridMultilevel"/>
    <w:lvl w:ilvl="0">
      <w:lvlJc w:val="left"/>
      <w:lvlText w:val="%1."/>
      <w:numFmt w:val="lowerLetter"/>
      <w:start w:val="27"/>
    </w:lvl>
  </w:abstractNum>
  <w:abstractNum w:abstractNumId="78">
    <w:nsid w:val="6A5EE64"/>
    <w:multiLevelType w:val="hybridMultilevel"/>
    <w:lvl w:ilvl="0">
      <w:lvlJc w:val="left"/>
      <w:lvlText w:val="%1."/>
      <w:numFmt w:val="lowerLetter"/>
      <w:start w:val="33"/>
    </w:lvl>
  </w:abstractNum>
  <w:abstractNum w:abstractNumId="79">
    <w:nsid w:val="14330624"/>
    <w:multiLevelType w:val="hybridMultilevel"/>
    <w:lvl w:ilvl="0">
      <w:lvlJc w:val="left"/>
      <w:lvlText w:val="%1"/>
      <w:numFmt w:val="lowerLetter"/>
      <w:start w:val="1"/>
    </w:lvl>
    <w:lvl w:ilvl="1">
      <w:lvlJc w:val="left"/>
      <w:lvlText w:val="%2."/>
      <w:numFmt w:val="lowerLetter"/>
      <w:start w:val="40"/>
    </w:lvl>
  </w:abstractNum>
  <w:abstractNum w:abstractNumId="80">
    <w:nsid w:val="7FFFCA11"/>
    <w:multiLevelType w:val="hybridMultilevel"/>
    <w:lvl w:ilvl="0">
      <w:lvlJc w:val="left"/>
      <w:lvlText w:val="%1"/>
      <w:numFmt w:val="lowerLetter"/>
      <w:start w:val="1"/>
    </w:lvl>
    <w:lvl w:ilvl="1">
      <w:lvlJc w:val="left"/>
      <w:lvlText w:val="%2."/>
      <w:numFmt w:val="lowerLetter"/>
      <w:start w:val="42"/>
    </w:lvl>
  </w:abstractNum>
  <w:abstractNum w:abstractNumId="81">
    <w:nsid w:val="1A27709E"/>
    <w:multiLevelType w:val="hybridMultilevel"/>
    <w:lvl w:ilvl="0">
      <w:lvlJc w:val="left"/>
      <w:lvlText w:val="%1."/>
      <w:numFmt w:val="lowerLetter"/>
      <w:start w:val="47"/>
    </w:lvl>
  </w:abstractNum>
  <w:abstractNum w:abstractNumId="82">
    <w:nsid w:val="71EA1109"/>
    <w:multiLevelType w:val="hybridMultilevel"/>
    <w:lvl w:ilvl="0">
      <w:lvlJc w:val="left"/>
      <w:lvlText w:val="%1."/>
      <w:numFmt w:val="lowerLetter"/>
      <w:start w:val="49"/>
    </w:lvl>
  </w:abstractNum>
  <w:abstractNum w:abstractNumId="83">
    <w:nsid w:val="100F59DC"/>
    <w:multiLevelType w:val="hybridMultilevel"/>
    <w:lvl w:ilvl="0">
      <w:lvlJc w:val="left"/>
      <w:lvlText w:val="%1."/>
      <w:numFmt w:val="lowerLetter"/>
      <w:start w:val="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4" Type="http://schemas.openxmlformats.org/officeDocument/2006/relationships/hyperlink" Target="http://www.sec.gov/Archives/edgar/data/1367644/000110465918062153/a18-36350_2ex2.htm" TargetMode="External"/><Relationship Id="rId15" Type="http://schemas.openxmlformats.org/officeDocument/2006/relationships/hyperlink" Target="http://www.sec.gov/Archives/edgar/data/1367644/000110465918062153/a18-36350_2ex10.htm" TargetMode="External"/><Relationship Id="rId16" Type="http://schemas.openxmlformats.org/officeDocument/2006/relationships/hyperlink" Target="http://www.sec.gov/Archives/edgar/data/1367644/000110465918062153/a18-36350_2ex9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2019-12-28T17:33:44Z</dcterms:created>
  <dcterms:modified xsi:type="dcterms:W3CDTF">2019-12-28T17:33:44Z</dcterms:modified>
</cp:coreProperties>
</file>