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jc w:val="center"/>
        <w:ind w:right="-99"/>
        <w:spacing w:after="0" w:line="202" w:lineRule="auto"/>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line="235" w:lineRule="auto"/>
        <w:rPr>
          <w:sz w:val="20"/>
          <w:szCs w:val="20"/>
          <w:color w:val="auto"/>
        </w:rPr>
      </w:pPr>
      <w:r>
        <w:rPr>
          <w:rFonts w:ascii="Arial" w:cs="Arial" w:eastAsia="Arial" w:hAnsi="Arial"/>
          <w:sz w:val="16"/>
          <w:szCs w:val="16"/>
          <w:b w:val="1"/>
          <w:bCs w:val="1"/>
          <w:color w:val="auto"/>
        </w:rPr>
        <w:t>WASHINGTON, D.C. 20549</w:t>
      </w:r>
    </w:p>
    <w:p>
      <w:pPr>
        <w:ind w:left="4920"/>
        <w:spacing w:after="0"/>
        <w:rPr>
          <w:sz w:val="20"/>
          <w:szCs w:val="20"/>
          <w:color w:val="auto"/>
        </w:rPr>
      </w:pPr>
      <w:r>
        <w:rPr>
          <w:rFonts w:ascii="Arial" w:cs="Arial" w:eastAsia="Arial" w:hAnsi="Arial"/>
          <w:sz w:val="16"/>
          <w:szCs w:val="16"/>
          <w:color w:val="auto"/>
        </w:rPr>
        <w:t>____________________</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CURRENT REPORT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Pursuant to Section 13 or 15(d) of the</w:t>
      </w:r>
    </w:p>
    <w:p>
      <w:pPr>
        <w:jc w:val="center"/>
        <w:ind w:right="-99"/>
        <w:spacing w:after="0"/>
        <w:rPr>
          <w:sz w:val="20"/>
          <w:szCs w:val="20"/>
          <w:color w:val="auto"/>
        </w:rPr>
      </w:pPr>
      <w:r>
        <w:rPr>
          <w:rFonts w:ascii="Arial" w:cs="Arial" w:eastAsia="Arial" w:hAnsi="Arial"/>
          <w:sz w:val="16"/>
          <w:szCs w:val="16"/>
          <w:b w:val="1"/>
          <w:bCs w:val="1"/>
          <w:color w:val="auto"/>
        </w:rPr>
        <w:t>Securities Exchange Act of 1934</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11, 2016</w:t>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EMERGENT BIOSOLUTIONS INC.</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(Exact Name of Registrant as Specified in Charter)</w:t>
      </w:r>
    </w:p>
    <w:p>
      <w:pPr>
        <w:spacing w:after="0" w:line="158"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4040" w:type="dxa"/>
            <w:vAlign w:val="bottom"/>
          </w:tcPr>
          <w:p>
            <w:pPr>
              <w:jc w:val="center"/>
              <w:ind w:right="2200"/>
              <w:spacing w:after="0"/>
              <w:rPr>
                <w:sz w:val="20"/>
                <w:szCs w:val="20"/>
                <w:color w:val="auto"/>
              </w:rPr>
            </w:pPr>
            <w:r>
              <w:rPr>
                <w:rFonts w:ascii="Arial" w:cs="Arial" w:eastAsia="Arial" w:hAnsi="Arial"/>
                <w:sz w:val="16"/>
                <w:szCs w:val="16"/>
                <w:b w:val="1"/>
                <w:bCs w:val="1"/>
                <w:color w:val="auto"/>
                <w:w w:val="91"/>
              </w:rPr>
              <w:t>Delaware</w:t>
            </w:r>
          </w:p>
        </w:tc>
        <w:tc>
          <w:tcPr>
            <w:tcW w:w="2340" w:type="dxa"/>
            <w:vAlign w:val="bottom"/>
          </w:tcPr>
          <w:p>
            <w:pPr>
              <w:jc w:val="center"/>
              <w:ind w:right="1140"/>
              <w:spacing w:after="0"/>
              <w:rPr>
                <w:sz w:val="20"/>
                <w:szCs w:val="20"/>
                <w:color w:val="auto"/>
              </w:rPr>
            </w:pPr>
            <w:r>
              <w:rPr>
                <w:rFonts w:ascii="Arial" w:cs="Arial" w:eastAsia="Arial" w:hAnsi="Arial"/>
                <w:sz w:val="16"/>
                <w:szCs w:val="16"/>
                <w:b w:val="1"/>
                <w:bCs w:val="1"/>
                <w:color w:val="auto"/>
                <w:w w:val="88"/>
              </w:rPr>
              <w:t>001-33137</w:t>
            </w:r>
          </w:p>
        </w:tc>
        <w:tc>
          <w:tcPr>
            <w:tcW w:w="2540" w:type="dxa"/>
            <w:vAlign w:val="bottom"/>
          </w:tcPr>
          <w:p>
            <w:pPr>
              <w:jc w:val="right"/>
              <w:ind w:right="140"/>
              <w:spacing w:after="0"/>
              <w:rPr>
                <w:sz w:val="20"/>
                <w:szCs w:val="20"/>
                <w:color w:val="auto"/>
              </w:rPr>
            </w:pPr>
            <w:r>
              <w:rPr>
                <w:rFonts w:ascii="Arial" w:cs="Arial" w:eastAsia="Arial" w:hAnsi="Arial"/>
                <w:sz w:val="16"/>
                <w:szCs w:val="16"/>
                <w:b w:val="1"/>
                <w:bCs w:val="1"/>
                <w:color w:val="auto"/>
              </w:rPr>
              <w:t>14-1902018</w:t>
            </w:r>
          </w:p>
        </w:tc>
      </w:tr>
      <w:tr>
        <w:trPr>
          <w:trHeight w:val="180"/>
        </w:trPr>
        <w:tc>
          <w:tcPr>
            <w:tcW w:w="4040" w:type="dxa"/>
            <w:vAlign w:val="bottom"/>
          </w:tcPr>
          <w:p>
            <w:pPr>
              <w:jc w:val="center"/>
              <w:ind w:right="2220"/>
              <w:spacing w:after="0" w:line="181" w:lineRule="exact"/>
              <w:rPr>
                <w:sz w:val="20"/>
                <w:szCs w:val="20"/>
                <w:color w:val="auto"/>
              </w:rPr>
            </w:pPr>
            <w:r>
              <w:rPr>
                <w:rFonts w:ascii="Arial" w:cs="Arial" w:eastAsia="Arial" w:hAnsi="Arial"/>
                <w:sz w:val="16"/>
                <w:szCs w:val="16"/>
                <w:color w:val="auto"/>
                <w:w w:val="91"/>
              </w:rPr>
              <w:t>(State or Other Jurisdiction</w:t>
            </w:r>
          </w:p>
        </w:tc>
        <w:tc>
          <w:tcPr>
            <w:tcW w:w="2340" w:type="dxa"/>
            <w:vAlign w:val="bottom"/>
          </w:tcPr>
          <w:p>
            <w:pPr>
              <w:jc w:val="center"/>
              <w:ind w:right="1140"/>
              <w:spacing w:after="0" w:line="181" w:lineRule="exact"/>
              <w:rPr>
                <w:sz w:val="20"/>
                <w:szCs w:val="20"/>
                <w:color w:val="auto"/>
              </w:rPr>
            </w:pPr>
            <w:r>
              <w:rPr>
                <w:rFonts w:ascii="Arial" w:cs="Arial" w:eastAsia="Arial" w:hAnsi="Arial"/>
                <w:sz w:val="16"/>
                <w:szCs w:val="16"/>
                <w:color w:val="auto"/>
                <w:w w:val="94"/>
              </w:rPr>
              <w:t>(Commission</w:t>
            </w:r>
          </w:p>
        </w:tc>
        <w:tc>
          <w:tcPr>
            <w:tcW w:w="2540" w:type="dxa"/>
            <w:vAlign w:val="bottom"/>
          </w:tcPr>
          <w:p>
            <w:pPr>
              <w:jc w:val="center"/>
              <w:ind w:left="1260"/>
              <w:spacing w:after="0" w:line="181" w:lineRule="exact"/>
              <w:rPr>
                <w:sz w:val="20"/>
                <w:szCs w:val="20"/>
                <w:color w:val="auto"/>
              </w:rPr>
            </w:pPr>
            <w:r>
              <w:rPr>
                <w:rFonts w:ascii="Arial" w:cs="Arial" w:eastAsia="Arial" w:hAnsi="Arial"/>
                <w:sz w:val="16"/>
                <w:szCs w:val="16"/>
                <w:color w:val="auto"/>
                <w:w w:val="92"/>
              </w:rPr>
              <w:t>(IRS Employer</w:t>
            </w:r>
          </w:p>
        </w:tc>
      </w:tr>
      <w:tr>
        <w:trPr>
          <w:trHeight w:val="205"/>
        </w:trPr>
        <w:tc>
          <w:tcPr>
            <w:tcW w:w="4040" w:type="dxa"/>
            <w:vAlign w:val="bottom"/>
          </w:tcPr>
          <w:p>
            <w:pPr>
              <w:jc w:val="center"/>
              <w:ind w:right="2220"/>
              <w:spacing w:after="0"/>
              <w:rPr>
                <w:sz w:val="20"/>
                <w:szCs w:val="20"/>
                <w:color w:val="auto"/>
              </w:rPr>
            </w:pPr>
            <w:r>
              <w:rPr>
                <w:rFonts w:ascii="Arial" w:cs="Arial" w:eastAsia="Arial" w:hAnsi="Arial"/>
                <w:sz w:val="16"/>
                <w:szCs w:val="16"/>
                <w:color w:val="auto"/>
                <w:w w:val="94"/>
              </w:rPr>
              <w:t>of Incorporation)</w:t>
            </w:r>
          </w:p>
        </w:tc>
        <w:tc>
          <w:tcPr>
            <w:tcW w:w="2340" w:type="dxa"/>
            <w:vAlign w:val="bottom"/>
          </w:tcPr>
          <w:p>
            <w:pPr>
              <w:jc w:val="center"/>
              <w:ind w:right="1140"/>
              <w:spacing w:after="0"/>
              <w:rPr>
                <w:sz w:val="20"/>
                <w:szCs w:val="20"/>
                <w:color w:val="auto"/>
              </w:rPr>
            </w:pPr>
            <w:r>
              <w:rPr>
                <w:rFonts w:ascii="Arial" w:cs="Arial" w:eastAsia="Arial" w:hAnsi="Arial"/>
                <w:sz w:val="16"/>
                <w:szCs w:val="16"/>
                <w:color w:val="auto"/>
                <w:w w:val="95"/>
              </w:rPr>
              <w:t>File Number)</w:t>
            </w:r>
          </w:p>
        </w:tc>
        <w:tc>
          <w:tcPr>
            <w:tcW w:w="2540" w:type="dxa"/>
            <w:vAlign w:val="bottom"/>
          </w:tcPr>
          <w:p>
            <w:pPr>
              <w:jc w:val="center"/>
              <w:ind w:left="1260"/>
              <w:spacing w:after="0"/>
              <w:rPr>
                <w:sz w:val="20"/>
                <w:szCs w:val="20"/>
                <w:color w:val="auto"/>
              </w:rPr>
            </w:pPr>
            <w:r>
              <w:rPr>
                <w:rFonts w:ascii="Arial" w:cs="Arial" w:eastAsia="Arial" w:hAnsi="Arial"/>
                <w:sz w:val="16"/>
                <w:szCs w:val="16"/>
                <w:color w:val="auto"/>
                <w:w w:val="96"/>
              </w:rPr>
              <w:t>Identification No.)</w:t>
            </w:r>
          </w:p>
        </w:tc>
      </w:tr>
      <w:tr>
        <w:trPr>
          <w:trHeight w:val="332"/>
        </w:trPr>
        <w:tc>
          <w:tcPr>
            <w:tcW w:w="4040" w:type="dxa"/>
            <w:vAlign w:val="bottom"/>
          </w:tcPr>
          <w:p>
            <w:pPr>
              <w:jc w:val="center"/>
              <w:ind w:left="1080"/>
              <w:spacing w:after="0"/>
              <w:rPr>
                <w:sz w:val="20"/>
                <w:szCs w:val="20"/>
                <w:color w:val="auto"/>
              </w:rPr>
            </w:pPr>
            <w:r>
              <w:rPr>
                <w:rFonts w:ascii="Arial" w:cs="Arial" w:eastAsia="Arial" w:hAnsi="Arial"/>
                <w:sz w:val="16"/>
                <w:szCs w:val="16"/>
                <w:b w:val="1"/>
                <w:bCs w:val="1"/>
                <w:color w:val="auto"/>
                <w:w w:val="89"/>
              </w:rPr>
              <w:t>400 Professional Drive, Suite 400,</w:t>
            </w:r>
          </w:p>
        </w:tc>
        <w:tc>
          <w:tcPr>
            <w:tcW w:w="2340" w:type="dxa"/>
            <w:vAlign w:val="bottom"/>
          </w:tcPr>
          <w:p>
            <w:pPr>
              <w:spacing w:after="0"/>
              <w:rPr>
                <w:sz w:val="24"/>
                <w:szCs w:val="24"/>
                <w:color w:val="auto"/>
              </w:rPr>
            </w:pPr>
          </w:p>
        </w:tc>
        <w:tc>
          <w:tcPr>
            <w:tcW w:w="2540" w:type="dxa"/>
            <w:vAlign w:val="bottom"/>
          </w:tcPr>
          <w:p>
            <w:pPr>
              <w:jc w:val="right"/>
              <w:ind w:right="320"/>
              <w:spacing w:after="0"/>
              <w:rPr>
                <w:sz w:val="20"/>
                <w:szCs w:val="20"/>
                <w:color w:val="auto"/>
              </w:rPr>
            </w:pPr>
            <w:r>
              <w:rPr>
                <w:rFonts w:ascii="Arial" w:cs="Arial" w:eastAsia="Arial" w:hAnsi="Arial"/>
                <w:sz w:val="16"/>
                <w:szCs w:val="16"/>
                <w:b w:val="1"/>
                <w:bCs w:val="1"/>
                <w:color w:val="auto"/>
              </w:rPr>
              <w:t>20879</w:t>
            </w:r>
          </w:p>
        </w:tc>
      </w:tr>
      <w:tr>
        <w:trPr>
          <w:trHeight w:val="184"/>
        </w:trPr>
        <w:tc>
          <w:tcPr>
            <w:tcW w:w="4040" w:type="dxa"/>
            <w:vAlign w:val="bottom"/>
          </w:tcPr>
          <w:p>
            <w:pPr>
              <w:jc w:val="center"/>
              <w:ind w:left="1080"/>
              <w:spacing w:after="0"/>
              <w:rPr>
                <w:sz w:val="20"/>
                <w:szCs w:val="20"/>
                <w:color w:val="auto"/>
              </w:rPr>
            </w:pPr>
            <w:r>
              <w:rPr>
                <w:rFonts w:ascii="Arial" w:cs="Arial" w:eastAsia="Arial" w:hAnsi="Arial"/>
                <w:sz w:val="16"/>
                <w:szCs w:val="16"/>
                <w:b w:val="1"/>
                <w:bCs w:val="1"/>
                <w:color w:val="auto"/>
                <w:w w:val="93"/>
              </w:rPr>
              <w:t>Gaithersburg, Maryland</w:t>
            </w:r>
          </w:p>
        </w:tc>
        <w:tc>
          <w:tcPr>
            <w:tcW w:w="234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05"/>
        </w:trPr>
        <w:tc>
          <w:tcPr>
            <w:tcW w:w="4040" w:type="dxa"/>
            <w:vAlign w:val="bottom"/>
          </w:tcPr>
          <w:p>
            <w:pPr>
              <w:jc w:val="center"/>
              <w:ind w:left="1080"/>
              <w:spacing w:after="0"/>
              <w:rPr>
                <w:sz w:val="20"/>
                <w:szCs w:val="20"/>
                <w:color w:val="auto"/>
              </w:rPr>
            </w:pPr>
            <w:r>
              <w:rPr>
                <w:rFonts w:ascii="Arial" w:cs="Arial" w:eastAsia="Arial" w:hAnsi="Arial"/>
                <w:sz w:val="16"/>
                <w:szCs w:val="16"/>
                <w:color w:val="auto"/>
                <w:w w:val="92"/>
              </w:rPr>
              <w:t>(Address of Principal Executive Offices)</w:t>
            </w:r>
          </w:p>
        </w:tc>
        <w:tc>
          <w:tcPr>
            <w:tcW w:w="2340" w:type="dxa"/>
            <w:vAlign w:val="bottom"/>
          </w:tcPr>
          <w:p>
            <w:pPr>
              <w:spacing w:after="0"/>
              <w:rPr>
                <w:sz w:val="17"/>
                <w:szCs w:val="17"/>
                <w:color w:val="auto"/>
              </w:rPr>
            </w:pPr>
          </w:p>
        </w:tc>
        <w:tc>
          <w:tcPr>
            <w:tcW w:w="2540" w:type="dxa"/>
            <w:vAlign w:val="bottom"/>
          </w:tcPr>
          <w:p>
            <w:pPr>
              <w:jc w:val="center"/>
              <w:ind w:left="1260"/>
              <w:spacing w:after="0"/>
              <w:rPr>
                <w:sz w:val="20"/>
                <w:szCs w:val="20"/>
                <w:color w:val="auto"/>
              </w:rPr>
            </w:pPr>
            <w:r>
              <w:rPr>
                <w:rFonts w:ascii="Arial" w:cs="Arial" w:eastAsia="Arial" w:hAnsi="Arial"/>
                <w:sz w:val="16"/>
                <w:szCs w:val="16"/>
                <w:color w:val="auto"/>
                <w:w w:val="95"/>
              </w:rPr>
              <w:t>(Zip Code)</w:t>
            </w:r>
          </w:p>
        </w:tc>
      </w:tr>
    </w:tbl>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(240) 631-3200</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Not applicable</w:t>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6" w:lineRule="exact"/>
        <w:rPr>
          <w:sz w:val="24"/>
          <w:szCs w:val="24"/>
          <w:color w:val="auto"/>
        </w:rPr>
      </w:pPr>
    </w:p>
    <w:p>
      <w:pPr>
        <w:ind w:firstLine="577"/>
        <w:spacing w:after="0" w:line="26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39" w:lineRule="exact"/>
        <w:rPr>
          <w:sz w:val="24"/>
          <w:szCs w:val="24"/>
          <w:color w:val="auto"/>
        </w:rPr>
      </w:pPr>
    </w:p>
    <w:p>
      <w:pPr>
        <w:ind w:left="700" w:hanging="127"/>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10" w:lineRule="exact"/>
        <w:rPr>
          <w:rFonts w:ascii="Arial" w:cs="Arial" w:eastAsia="Arial" w:hAnsi="Arial"/>
          <w:sz w:val="16"/>
          <w:szCs w:val="16"/>
          <w:color w:val="auto"/>
        </w:rPr>
      </w:pPr>
    </w:p>
    <w:p>
      <w:pPr>
        <w:ind w:left="700" w:hanging="127"/>
        <w:spacing w:after="0" w:line="235"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ind w:left="700" w:hanging="127"/>
        <w:spacing w:after="0" w:line="235"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ind w:left="700" w:hanging="127"/>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26186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4"/>
          <w:szCs w:val="24"/>
          <w:color w:val="auto"/>
        </w:rPr>
      </w:pPr>
    </w:p>
    <w:p>
      <w:pPr>
        <w:ind w:right="360" w:firstLine="577"/>
        <w:spacing w:after="0" w:line="259" w:lineRule="auto"/>
        <w:rPr>
          <w:sz w:val="20"/>
          <w:szCs w:val="20"/>
          <w:color w:val="auto"/>
        </w:rPr>
      </w:pPr>
      <w:r>
        <w:rPr>
          <w:rFonts w:ascii="Arial" w:cs="Arial" w:eastAsia="Arial" w:hAnsi="Arial"/>
          <w:sz w:val="16"/>
          <w:szCs w:val="16"/>
          <w:color w:val="auto"/>
        </w:rPr>
        <w:t>On January 11, 2016, Emergent BioSolutions Inc. announced preliminary unaudited financial results for 2015 and guidance for 2016 and provided financial and operational goals for 2020. The full text of the press release issued in connection with the announcement is attached as Exhibit 99.1 to this Current Report on Form 8-K. In addition, the section entitled "2015 Year-in-Review &amp; 2012-2015 Growth Plan Performance" of the corporate slide deck attached as Exhibit 99.2 is incorporated herein by reference.</w:t>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4" w:lineRule="exact"/>
        <w:rPr>
          <w:sz w:val="24"/>
          <w:szCs w:val="24"/>
          <w:color w:val="auto"/>
        </w:rPr>
      </w:pPr>
    </w:p>
    <w:p>
      <w:pPr>
        <w:ind w:right="460" w:firstLine="577"/>
        <w:spacing w:after="0" w:line="351" w:lineRule="auto"/>
        <w:rPr>
          <w:sz w:val="20"/>
          <w:szCs w:val="20"/>
          <w:color w:val="auto"/>
        </w:rPr>
      </w:pPr>
      <w:r>
        <w:rPr>
          <w:rFonts w:ascii="Arial" w:cs="Arial" w:eastAsia="Arial" w:hAnsi="Arial"/>
          <w:sz w:val="14"/>
          <w:szCs w:val="14"/>
          <w:color w:val="auto"/>
        </w:rPr>
        <w:t>During the week of January 11, 2016, representatives of the company will be attending meetings with investors, analysts and others at the JP Morgan Healthcare Conference in San Francisco, California and these company representatives will present the slides attached as Exhibit 99.2 to this Current Report on Form 8-K.</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9.01Financial Statements and Exhibits.</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176" w:lineRule="exact"/>
        <w:rPr>
          <w:sz w:val="24"/>
          <w:szCs w:val="24"/>
          <w:color w:val="auto"/>
        </w:rPr>
      </w:pPr>
    </w:p>
    <w:p>
      <w:pPr>
        <w:ind w:left="240"/>
        <w:spacing w:after="0"/>
        <w:tabs>
          <w:tab w:leader="none" w:pos="60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Exhibit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618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5" w:lineRule="exact"/>
        <w:rPr>
          <w:sz w:val="24"/>
          <w:szCs w:val="24"/>
          <w:color w:val="auto"/>
        </w:rPr>
      </w:pPr>
    </w:p>
    <w:p>
      <w:pPr>
        <w:ind w:left="380"/>
        <w:spacing w:after="0"/>
        <w:tabs>
          <w:tab w:leader="none" w:pos="11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3"/>
          <w:szCs w:val="13"/>
          <w:color w:val="auto"/>
        </w:rPr>
        <w:t>Press release, issued January 11, 2016.</w:t>
      </w:r>
    </w:p>
    <w:p>
      <w:pPr>
        <w:spacing w:after="0" w:line="10" w:lineRule="exact"/>
        <w:rPr>
          <w:sz w:val="24"/>
          <w:szCs w:val="24"/>
          <w:color w:val="auto"/>
        </w:rPr>
      </w:pPr>
    </w:p>
    <w:p>
      <w:pPr>
        <w:ind w:left="380"/>
        <w:spacing w:after="0"/>
        <w:tabs>
          <w:tab w:leader="none" w:pos="116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Corporate slide deck, dated January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726186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SIGNATURE</w:t>
      </w:r>
    </w:p>
    <w:p>
      <w:pPr>
        <w:spacing w:after="0" w:line="276" w:lineRule="exact"/>
        <w:rPr>
          <w:sz w:val="24"/>
          <w:szCs w:val="24"/>
          <w:color w:val="auto"/>
        </w:rPr>
      </w:pPr>
    </w:p>
    <w:p>
      <w:pPr>
        <w:ind w:right="440"/>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323" w:lineRule="exact"/>
        <w:rPr>
          <w:sz w:val="24"/>
          <w:szCs w:val="24"/>
          <w:color w:val="auto"/>
        </w:rPr>
      </w:pPr>
    </w:p>
    <w:p>
      <w:pPr>
        <w:spacing w:after="0"/>
        <w:tabs>
          <w:tab w:leader="none" w:pos="5640" w:val="left"/>
        </w:tabs>
        <w:rPr>
          <w:sz w:val="20"/>
          <w:szCs w:val="20"/>
          <w:color w:val="auto"/>
        </w:rPr>
      </w:pPr>
      <w:r>
        <w:rPr>
          <w:rFonts w:ascii="Arial" w:cs="Arial" w:eastAsia="Arial" w:hAnsi="Arial"/>
          <w:sz w:val="16"/>
          <w:szCs w:val="16"/>
          <w:color w:val="auto"/>
        </w:rPr>
        <w:t>Date: January 11, 2016</w:t>
      </w:r>
      <w:r>
        <w:rPr>
          <w:sz w:val="20"/>
          <w:szCs w:val="20"/>
          <w:color w:val="auto"/>
        </w:rPr>
        <w:tab/>
      </w:r>
      <w:r>
        <w:rPr>
          <w:rFonts w:ascii="Arial" w:cs="Arial" w:eastAsia="Arial" w:hAnsi="Arial"/>
          <w:sz w:val="15"/>
          <w:szCs w:val="15"/>
          <w:color w:val="auto"/>
        </w:rPr>
        <w:t>EMERGENT BIOSOLUTIONS INC.</w:t>
      </w:r>
    </w:p>
    <w:p>
      <w:pPr>
        <w:spacing w:after="0" w:line="176" w:lineRule="exact"/>
        <w:rPr>
          <w:sz w:val="24"/>
          <w:szCs w:val="24"/>
          <w:color w:val="auto"/>
        </w:rPr>
      </w:pPr>
    </w:p>
    <w:p>
      <w:pPr>
        <w:ind w:left="5660"/>
        <w:spacing w:after="0"/>
        <w:rPr>
          <w:sz w:val="20"/>
          <w:szCs w:val="20"/>
          <w:color w:val="auto"/>
        </w:rPr>
      </w:pPr>
      <w:r>
        <w:rPr>
          <w:rFonts w:ascii="Arial" w:cs="Arial" w:eastAsia="Arial" w:hAnsi="Arial"/>
          <w:sz w:val="16"/>
          <w:szCs w:val="16"/>
          <w:color w:val="auto"/>
        </w:rPr>
        <w:t>By:  /s/ A.B. Cruz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3847465</wp:posOffset>
            </wp:positionH>
            <wp:positionV relativeFrom="paragraph">
              <wp:posOffset>-8890</wp:posOffset>
            </wp:positionV>
            <wp:extent cx="21348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870" cy="762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6"/>
          <w:szCs w:val="16"/>
          <w:color w:val="auto"/>
        </w:rPr>
        <w:t>A.B. Cruz III</w:t>
      </w:r>
    </w:p>
    <w:p>
      <w:pPr>
        <w:ind w:left="602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1320"/>
          </w:cols>
          <w:pgMar w:left="240" w:top="203" w:right="339" w:bottom="1440" w:gutter="0" w:footer="0" w:header="0"/>
        </w:sectPr>
      </w:pPr>
    </w:p>
    <w:bookmarkStart w:id="1" w:name="page2"/>
    <w:bookmarkEnd w:id="1"/>
    <w:p>
      <w:pPr>
        <w:ind w:left="10220"/>
        <w:spacing w:after="0"/>
        <w:rPr>
          <w:sz w:val="20"/>
          <w:szCs w:val="20"/>
          <w:color w:val="auto"/>
        </w:rPr>
      </w:pPr>
      <w:r>
        <w:rPr>
          <w:rFonts w:ascii="Arial" w:cs="Arial" w:eastAsia="Arial" w:hAnsi="Arial"/>
          <w:sz w:val="19"/>
          <w:szCs w:val="19"/>
          <w:b w:val="1"/>
          <w:bCs w:val="1"/>
          <w:color w:val="auto"/>
        </w:rPr>
        <w:t>EXHIBIT 99.1</w:t>
      </w:r>
    </w:p>
    <w:p>
      <w:pPr>
        <w:spacing w:after="0" w:line="221"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color w:val="auto"/>
        </w:rPr>
        <w:t>EMERGENT BIOSOLUTIONS ANNOUNCES PRELIMINARY 2015 FINANCIAL RESULTS, PROVIDES 2016 FINANCIAL OUTLOOK, AND OUTLINES NEW FIVE-YEAR (2016-2020) STRATEGIC GROWTH PLAN</w:t>
      </w:r>
    </w:p>
    <w:p>
      <w:pPr>
        <w:spacing w:after="0" w:line="143" w:lineRule="exact"/>
        <w:rPr>
          <w:sz w:val="20"/>
          <w:szCs w:val="20"/>
          <w:color w:val="auto"/>
        </w:rPr>
      </w:pPr>
    </w:p>
    <w:p>
      <w:pPr>
        <w:ind w:left="580" w:hanging="296"/>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2015 Preliminary Estimates:</w:t>
      </w:r>
    </w:p>
    <w:p>
      <w:pPr>
        <w:spacing w:after="0" w:line="10" w:lineRule="exact"/>
        <w:rPr>
          <w:sz w:val="20"/>
          <w:szCs w:val="20"/>
          <w:color w:val="auto"/>
        </w:rPr>
      </w:pPr>
    </w:p>
    <w:p>
      <w:pPr>
        <w:ind w:left="1140" w:hanging="279"/>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revenues of $520 to $525 million, a 16% increase over 2014 (at midpoint)</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GAAP net income of $60 to $64 million, a 69% increase over 2014 (at midpoint)</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Adjusted net income of $73 to $77 million, a 38% increase over 2014 (at midpoint)</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EBITDA of $130 to $134 million, a 43% increase over 2014 (at midpoint)</w:t>
      </w:r>
    </w:p>
    <w:p>
      <w:pPr>
        <w:ind w:left="1140" w:hanging="279"/>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Year-end cash of approximately $310 million</w:t>
      </w:r>
    </w:p>
    <w:p>
      <w:pPr>
        <w:spacing w:after="0" w:line="158"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2016 Forecast:</w:t>
      </w:r>
    </w:p>
    <w:p>
      <w:pPr>
        <w:spacing w:after="0" w:line="14" w:lineRule="exact"/>
        <w:rPr>
          <w:rFonts w:ascii="Arial" w:cs="Arial" w:eastAsia="Arial" w:hAnsi="Arial"/>
          <w:sz w:val="16"/>
          <w:szCs w:val="16"/>
          <w:color w:val="auto"/>
        </w:rPr>
      </w:pP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revenues of $600 to $630 million</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GAAP net income of $75 to $85 million</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Adjusted net income of $90 to $100 million</w:t>
      </w:r>
    </w:p>
    <w:p>
      <w:pPr>
        <w:ind w:left="1140" w:hanging="279"/>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EBITDA of $150 to $160 million</w:t>
      </w:r>
    </w:p>
    <w:p>
      <w:pPr>
        <w:spacing w:after="0" w:line="158"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2020 Key Financial and Operational Goals:</w:t>
      </w:r>
    </w:p>
    <w:p>
      <w:pPr>
        <w:spacing w:after="0" w:line="14" w:lineRule="exact"/>
        <w:rPr>
          <w:rFonts w:ascii="Arial" w:cs="Arial" w:eastAsia="Arial" w:hAnsi="Arial"/>
          <w:sz w:val="16"/>
          <w:szCs w:val="16"/>
          <w:color w:val="auto"/>
        </w:rPr>
      </w:pP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Annual revenue of $1B</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&gt;10% of revenue from ex-US markets</w:t>
      </w:r>
    </w:p>
    <w:p>
      <w:pPr>
        <w:ind w:left="1140" w:hanging="279"/>
        <w:spacing w:after="0" w:line="235"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Net income CAGR of &gt;20%</w:t>
      </w:r>
    </w:p>
    <w:p>
      <w:pPr>
        <w:ind w:left="1140" w:hanging="279"/>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Six products in clinical or advanced development, with at least three being dual use, prioritizing those with third party funding</w:t>
      </w:r>
    </w:p>
    <w:p>
      <w:pPr>
        <w:spacing w:after="0" w:line="158" w:lineRule="exact"/>
        <w:rPr>
          <w:sz w:val="20"/>
          <w:szCs w:val="20"/>
          <w:color w:val="auto"/>
        </w:rPr>
      </w:pPr>
    </w:p>
    <w:p>
      <w:pPr>
        <w:ind w:right="120"/>
        <w:spacing w:after="0" w:line="339" w:lineRule="auto"/>
        <w:rPr>
          <w:sz w:val="20"/>
          <w:szCs w:val="20"/>
          <w:color w:val="auto"/>
        </w:rPr>
      </w:pPr>
      <w:r>
        <w:rPr>
          <w:rFonts w:ascii="Arial" w:cs="Arial" w:eastAsia="Arial" w:hAnsi="Arial"/>
          <w:sz w:val="14"/>
          <w:szCs w:val="14"/>
          <w:b w:val="1"/>
          <w:bCs w:val="1"/>
          <w:color w:val="auto"/>
        </w:rPr>
        <w:t xml:space="preserve">GAITHERSBURG, MD, January 11, 2016— </w:t>
      </w:r>
      <w:r>
        <w:rPr>
          <w:rFonts w:ascii="Arial" w:cs="Arial" w:eastAsia="Arial" w:hAnsi="Arial"/>
          <w:sz w:val="14"/>
          <w:szCs w:val="14"/>
          <w:color w:val="auto"/>
        </w:rPr>
        <w:t>Emergent BioSolutions Inc. (NYSE: EBS) today announced preliminary unaudited 2015 financial results and provided guidance</w:t>
      </w:r>
      <w:r>
        <w:rPr>
          <w:rFonts w:ascii="Arial" w:cs="Arial" w:eastAsia="Arial" w:hAnsi="Arial"/>
          <w:sz w:val="14"/>
          <w:szCs w:val="14"/>
          <w:b w:val="1"/>
          <w:bCs w:val="1"/>
          <w:color w:val="auto"/>
        </w:rPr>
        <w:t xml:space="preserve"> </w:t>
      </w:r>
      <w:r>
        <w:rPr>
          <w:rFonts w:ascii="Arial" w:cs="Arial" w:eastAsia="Arial" w:hAnsi="Arial"/>
          <w:sz w:val="14"/>
          <w:szCs w:val="14"/>
          <w:color w:val="auto"/>
        </w:rPr>
        <w:t>for 2016. The company also provided an overview of the key financial and operational goals to be achieved by year end 2020 through its next five-year strategic growth plan.</w:t>
      </w:r>
    </w:p>
    <w:p>
      <w:pPr>
        <w:spacing w:after="0" w:line="90" w:lineRule="exact"/>
        <w:rPr>
          <w:sz w:val="20"/>
          <w:szCs w:val="20"/>
          <w:color w:val="auto"/>
        </w:rPr>
      </w:pPr>
    </w:p>
    <w:p>
      <w:pPr>
        <w:ind w:right="400"/>
        <w:spacing w:after="0" w:line="261" w:lineRule="auto"/>
        <w:rPr>
          <w:sz w:val="20"/>
          <w:szCs w:val="20"/>
          <w:color w:val="auto"/>
        </w:rPr>
      </w:pPr>
      <w:r>
        <w:rPr>
          <w:rFonts w:ascii="Arial" w:cs="Arial" w:eastAsia="Arial" w:hAnsi="Arial"/>
          <w:sz w:val="15"/>
          <w:szCs w:val="15"/>
          <w:color w:val="auto"/>
        </w:rPr>
        <w:t>Daniel J. Abdun-Nabi, president and CEO of Emergent BioSolutions, said, "Having successfully implemented our 2012-2015 growth plan and delivered financial results in excess of our expectations, we are well-positioned for continued success and growth. Looking ahead we will remain focused on addressing the growing public health threats market and will build on our momentum to achieve our newly established 2020 goals of $1B in revenue, generating more than 10% of our revenue from ex-US markets, six products in clinical or advanced development with a focus on products supported by third party funding, and a five-year net income CAGR of &gt;20%. We continue to strive toward our vision of protecting and enhancing 50 million lives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 w:name="page3"/>
    <w:bookmarkEnd w:id="2"/>
    <w:p>
      <w:pPr>
        <w:ind w:left="364" w:hanging="364"/>
        <w:spacing w:after="0"/>
        <w:tabs>
          <w:tab w:leader="none" w:pos="3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Preliminary Full Year 2015 Results (unaudited)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Revenue</w:t>
      </w:r>
    </w:p>
    <w:p>
      <w:pPr>
        <w:spacing w:after="0" w:line="10" w:lineRule="exact"/>
        <w:rPr>
          <w:sz w:val="20"/>
          <w:szCs w:val="20"/>
          <w:color w:val="auto"/>
        </w:rPr>
      </w:pPr>
    </w:p>
    <w:p>
      <w:pPr>
        <w:ind w:left="4" w:right="480"/>
        <w:spacing w:after="0" w:line="243" w:lineRule="auto"/>
        <w:rPr>
          <w:sz w:val="20"/>
          <w:szCs w:val="20"/>
          <w:color w:val="auto"/>
        </w:rPr>
      </w:pPr>
      <w:r>
        <w:rPr>
          <w:rFonts w:ascii="Arial" w:cs="Arial" w:eastAsia="Arial" w:hAnsi="Arial"/>
          <w:sz w:val="16"/>
          <w:szCs w:val="16"/>
          <w:color w:val="auto"/>
        </w:rPr>
        <w:t>For full year 2015, the company anticipates total revenues of $520 to $525 million, the midpoint of which represents a 16% increase over 2014. This growth is driven by continued robust BioThrax sales, accounting for approximately $294 million.</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Net Income (GAAP and Non-GAAP)</w:t>
      </w:r>
    </w:p>
    <w:p>
      <w:pPr>
        <w:spacing w:after="0" w:line="10" w:lineRule="exact"/>
        <w:rPr>
          <w:sz w:val="20"/>
          <w:szCs w:val="20"/>
          <w:color w:val="auto"/>
        </w:rPr>
      </w:pPr>
    </w:p>
    <w:p>
      <w:pPr>
        <w:ind w:left="4"/>
        <w:spacing w:after="0" w:line="237" w:lineRule="auto"/>
        <w:rPr>
          <w:sz w:val="20"/>
          <w:szCs w:val="20"/>
          <w:color w:val="auto"/>
        </w:rPr>
      </w:pPr>
      <w:r>
        <w:rPr>
          <w:rFonts w:ascii="Arial" w:cs="Arial" w:eastAsia="Arial" w:hAnsi="Arial"/>
          <w:sz w:val="16"/>
          <w:szCs w:val="16"/>
          <w:color w:val="auto"/>
        </w:rPr>
        <w:t>For full year 2015, the company anticipates GAAP net income of $60 to $64 million, or $1.27 to $1.35 per diluted share, the midpoint of which represents a 69% increase over 2014. On a non-GAAP basis, the company anticipates full year 2015 adjusted net income of $73 to $77 million, or $1.54 to $1.63 per diluted share, the midpoint of which represents a 38% increase over 2014 (see "Reconciliation of GAAP Net Income to Adjusted Net Income and EBITDA" for a definition of terms and a reconciliation table). This growth reflects the continued strength and contribution from BioThrax sales as well as ongoing initiatives to control spending and increase operating efficiencies across the Biodefense and Biosciences divisions.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full year 2015, the company anticipates cash and cash equivalents at year end of approximately $310 million.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Note</w:t>
      </w:r>
    </w:p>
    <w:p>
      <w:pPr>
        <w:spacing w:after="0" w:line="10" w:lineRule="exact"/>
        <w:rPr>
          <w:sz w:val="20"/>
          <w:szCs w:val="20"/>
          <w:color w:val="auto"/>
        </w:rPr>
      </w:pPr>
    </w:p>
    <w:p>
      <w:pPr>
        <w:ind w:left="4" w:right="240"/>
        <w:spacing w:after="0" w:line="243" w:lineRule="auto"/>
        <w:rPr>
          <w:sz w:val="20"/>
          <w:szCs w:val="20"/>
          <w:color w:val="auto"/>
        </w:rPr>
      </w:pPr>
      <w:r>
        <w:rPr>
          <w:rFonts w:ascii="Arial" w:cs="Arial" w:eastAsia="Arial" w:hAnsi="Arial"/>
          <w:sz w:val="16"/>
          <w:szCs w:val="16"/>
          <w:color w:val="auto"/>
        </w:rPr>
        <w:t>The preliminary 2015 financial results are subject to revision and will be finalized upon the completion of the company's external audit, which is anticipated in late February 2016. Once the external audit is completed, the company may report financial results that could differ, and the differences could be material.</w:t>
      </w:r>
    </w:p>
    <w:p>
      <w:pPr>
        <w:spacing w:after="0" w:line="150" w:lineRule="exact"/>
        <w:rPr>
          <w:sz w:val="20"/>
          <w:szCs w:val="20"/>
          <w:color w:val="auto"/>
        </w:rPr>
      </w:pPr>
    </w:p>
    <w:p>
      <w:pPr>
        <w:ind w:left="504" w:hanging="504"/>
        <w:spacing w:after="0"/>
        <w:tabs>
          <w:tab w:leader="none" w:pos="50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2016 Financial Outlook</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Full Year 2016</w:t>
      </w:r>
    </w:p>
    <w:p>
      <w:pPr>
        <w:spacing w:after="0" w:line="10" w:lineRule="exact"/>
        <w:rPr>
          <w:sz w:val="20"/>
          <w:szCs w:val="20"/>
          <w:color w:val="auto"/>
        </w:rPr>
      </w:pPr>
    </w:p>
    <w:p>
      <w:pPr>
        <w:ind w:left="4" w:right="20"/>
        <w:spacing w:after="0" w:line="259" w:lineRule="auto"/>
        <w:rPr>
          <w:sz w:val="20"/>
          <w:szCs w:val="20"/>
          <w:color w:val="auto"/>
        </w:rPr>
      </w:pPr>
      <w:r>
        <w:rPr>
          <w:rFonts w:ascii="Arial" w:cs="Arial" w:eastAsia="Arial" w:hAnsi="Arial"/>
          <w:sz w:val="15"/>
          <w:szCs w:val="15"/>
          <w:color w:val="auto"/>
        </w:rPr>
        <w:t>For the full year of 2016, the company forecasts total revenues of $600 to $630 million, driven by growth in BioThrax sales which are anticipated to be between $305 to $320 million, continued domestic and international sales of the other Biodefense division products, and continued robust development funding through contracts and grants revenues. The company also forecasts full year 2016 GAAP net income of $75 to $85 million, non-GAAP adjusted net income of $90 to $100 million, and EBITDA of $150 to $160 million (see "Reconciliation of GAAP Net Income to Adjusted Net Income and EBITDA" for a definition of terms and a reconciliation table).</w:t>
      </w:r>
    </w:p>
    <w:p>
      <w:pPr>
        <w:spacing w:after="0" w:line="142" w:lineRule="exact"/>
        <w:rPr>
          <w:sz w:val="20"/>
          <w:szCs w:val="20"/>
          <w:color w:val="auto"/>
        </w:rPr>
      </w:pPr>
    </w:p>
    <w:p>
      <w:pPr>
        <w:ind w:left="4" w:right="260"/>
        <w:spacing w:after="0" w:line="248" w:lineRule="auto"/>
        <w:rPr>
          <w:sz w:val="20"/>
          <w:szCs w:val="20"/>
          <w:color w:val="auto"/>
        </w:rPr>
      </w:pPr>
      <w:r>
        <w:rPr>
          <w:rFonts w:ascii="Arial" w:cs="Arial" w:eastAsia="Arial" w:hAnsi="Arial"/>
          <w:sz w:val="16"/>
          <w:szCs w:val="16"/>
          <w:color w:val="auto"/>
        </w:rPr>
        <w:t>The company's outlook for 2016 includes the impact of a successful spin-off of Aptevo Therapeutics in mid-2016 and continuous delivery of BioThrax to the CDC under an anticipated follow-on, multi-year procurement contract, but does not include any estimates for BioThrax deliveries from Building 55, the company's large scale BioThrax manufacturing facility, or any estimates for potential new corporate development or other M&amp;A transactions.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Q1 2016</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first quarter of 2016, the company anticipates total revenues of $105 to $120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324485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04"/>
          </w:cols>
          <w:pgMar w:left="236" w:top="303" w:right="359" w:bottom="1440" w:gutter="0" w:footer="0" w:header="0"/>
        </w:sectPr>
      </w:pPr>
    </w:p>
    <w:bookmarkStart w:id="3" w:name="page4"/>
    <w:bookmarkEnd w:id="3"/>
    <w:p>
      <w:pPr>
        <w:ind w:left="1144" w:hanging="1144"/>
        <w:spacing w:after="0"/>
        <w:tabs>
          <w:tab w:leader="none" w:pos="114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2016-2020 Strategic Growth Plan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company announced today a growth plan that is intended to advance its mission by expanding and diversifying its business as measured by achieving the following goals by</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6"/>
          <w:szCs w:val="16"/>
          <w:color w:val="auto"/>
        </w:rPr>
        <w:t>December 31, 2020:</w:t>
      </w:r>
    </w:p>
    <w:p>
      <w:pPr>
        <w:spacing w:after="0" w:line="162" w:lineRule="exact"/>
        <w:rPr>
          <w:sz w:val="20"/>
          <w:szCs w:val="20"/>
          <w:color w:val="auto"/>
        </w:rPr>
      </w:pPr>
    </w:p>
    <w:p>
      <w:pPr>
        <w:ind w:left="584" w:hanging="296"/>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revenue of $1B</w:t>
      </w:r>
    </w:p>
    <w:p>
      <w:pPr>
        <w:spacing w:after="0" w:line="10" w:lineRule="exact"/>
        <w:rPr>
          <w:rFonts w:ascii="Arial" w:cs="Arial" w:eastAsia="Arial" w:hAnsi="Arial"/>
          <w:sz w:val="16"/>
          <w:szCs w:val="16"/>
          <w:color w:val="auto"/>
        </w:rPr>
      </w:pPr>
    </w:p>
    <w:p>
      <w:pPr>
        <w:ind w:left="584" w:hanging="296"/>
        <w:spacing w:after="0" w:line="235"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&gt;10% of revenue from ex-US markets</w:t>
      </w:r>
    </w:p>
    <w:p>
      <w:pPr>
        <w:ind w:left="584" w:hanging="296"/>
        <w:spacing w:after="0" w:line="235"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income CAGR (2016-2020) of &gt;20%</w:t>
      </w:r>
    </w:p>
    <w:p>
      <w:pPr>
        <w:ind w:left="584" w:hanging="296"/>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Six products in clinical or advanced development, with at least three being dual use and prioritizing those with third party funding.</w:t>
      </w:r>
    </w:p>
    <w:p>
      <w:pPr>
        <w:spacing w:after="0" w:line="162" w:lineRule="exact"/>
        <w:rPr>
          <w:sz w:val="20"/>
          <w:szCs w:val="20"/>
          <w:color w:val="auto"/>
        </w:rPr>
      </w:pPr>
    </w:p>
    <w:p>
      <w:pPr>
        <w:ind w:left="4" w:right="640"/>
        <w:spacing w:after="0" w:line="262" w:lineRule="auto"/>
        <w:rPr>
          <w:sz w:val="20"/>
          <w:szCs w:val="20"/>
          <w:color w:val="auto"/>
        </w:rPr>
      </w:pPr>
      <w:r>
        <w:rPr>
          <w:rFonts w:ascii="Arial" w:cs="Arial" w:eastAsia="Arial" w:hAnsi="Arial"/>
          <w:sz w:val="16"/>
          <w:szCs w:val="16"/>
          <w:color w:val="auto"/>
        </w:rPr>
        <w:t>To achieve the goals of the growth plan, the company intends to leverage its core competencies in government relations, medical countermeasure development, quality manufacturing, strategic acquisitions, and financial discipline to execute on the following key strategies:</w:t>
      </w:r>
    </w:p>
    <w:p>
      <w:pPr>
        <w:spacing w:after="0" w:line="139" w:lineRule="exact"/>
        <w:rPr>
          <w:sz w:val="20"/>
          <w:szCs w:val="20"/>
          <w:color w:val="auto"/>
        </w:rPr>
      </w:pPr>
    </w:p>
    <w:p>
      <w:pPr>
        <w:ind w:left="584" w:hanging="296"/>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Expanding its leadership positions in the public health threats market</w:t>
      </w:r>
    </w:p>
    <w:p>
      <w:pPr>
        <w:spacing w:after="0" w:line="10" w:lineRule="exact"/>
        <w:rPr>
          <w:rFonts w:ascii="Arial" w:cs="Arial" w:eastAsia="Arial" w:hAnsi="Arial"/>
          <w:sz w:val="16"/>
          <w:szCs w:val="16"/>
          <w:color w:val="auto"/>
        </w:rPr>
      </w:pPr>
    </w:p>
    <w:p>
      <w:pPr>
        <w:ind w:left="584" w:hanging="296"/>
        <w:spacing w:after="0" w:line="235"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Developing innovative products in partnership with governments and NGOs</w:t>
      </w:r>
    </w:p>
    <w:p>
      <w:pPr>
        <w:ind w:left="584" w:hanging="296"/>
        <w:spacing w:after="0" w:line="235"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Growing through revenue generating and accretive business and product acquisitions</w:t>
      </w:r>
    </w:p>
    <w:p>
      <w:pPr>
        <w:ind w:left="584" w:hanging="296"/>
        <w:spacing w:after="0" w:line="235"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Delivering attractive net income growth</w:t>
      </w:r>
    </w:p>
    <w:p>
      <w:pPr>
        <w:ind w:left="584" w:hanging="296"/>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Enhancing culture to create a sustainable competitive advantage</w:t>
      </w:r>
    </w:p>
    <w:p>
      <w:pPr>
        <w:spacing w:after="0" w:line="158"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b w:val="1"/>
          <w:bCs w:val="1"/>
          <w:color w:val="auto"/>
        </w:rPr>
        <w:t>Reconciliation of GAAP Net Income to Adjusted Net Income and EBITDA</w:t>
      </w:r>
    </w:p>
    <w:p>
      <w:pPr>
        <w:spacing w:after="0" w:line="180" w:lineRule="exact"/>
        <w:rPr>
          <w:sz w:val="20"/>
          <w:szCs w:val="20"/>
          <w:color w:val="auto"/>
        </w:rPr>
      </w:pPr>
    </w:p>
    <w:p>
      <w:pPr>
        <w:ind w:left="4"/>
        <w:spacing w:after="0" w:line="256" w:lineRule="auto"/>
        <w:rPr>
          <w:sz w:val="20"/>
          <w:szCs w:val="20"/>
          <w:color w:val="auto"/>
        </w:rPr>
      </w:pPr>
      <w:r>
        <w:rPr>
          <w:rFonts w:ascii="Arial" w:cs="Arial" w:eastAsia="Arial" w:hAnsi="Arial"/>
          <w:sz w:val="15"/>
          <w:szCs w:val="15"/>
          <w:color w:val="auto"/>
        </w:rPr>
        <w:t>This press release contains two financial measures (Adjusted Net Income and EBITDA (Earnings Before Interest, Taxes, Depreciation and Amortization)) that are considered "non-GAAP" financial measures under applicable Securities &amp;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EBITDA reflects net income excluding the impact of depreciation, amortization, interest expense and provision for income taxes.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46" w:lineRule="exact"/>
        <w:rPr>
          <w:sz w:val="20"/>
          <w:szCs w:val="20"/>
          <w:color w:val="auto"/>
        </w:rPr>
      </w:pPr>
    </w:p>
    <w:p>
      <w:pPr>
        <w:ind w:left="4" w:right="60"/>
        <w:spacing w:after="0" w:line="301" w:lineRule="auto"/>
        <w:rPr>
          <w:sz w:val="20"/>
          <w:szCs w:val="20"/>
          <w:color w:val="auto"/>
        </w:rPr>
      </w:pPr>
      <w:r>
        <w:rPr>
          <w:rFonts w:ascii="Arial" w:cs="Arial" w:eastAsia="Arial" w:hAnsi="Arial"/>
          <w:sz w:val="14"/>
          <w:szCs w:val="14"/>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24"/>
          </w:cols>
          <w:pgMar w:left="236" w:top="303"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i w:val="1"/>
          <w:iCs w:val="1"/>
          <w:color w:val="auto"/>
        </w:rPr>
        <w:t>Reconciliation of GAAP Net Income to Adjusted Net Income</w:t>
      </w:r>
    </w:p>
    <w:p>
      <w:pPr>
        <w:sectPr>
          <w:pgSz w:w="11900" w:h="16838" w:orient="portrait"/>
          <w:cols w:equalWidth="0" w:num="1">
            <w:col w:w="11440"/>
          </w:cols>
          <w:pgMar w:left="240" w:top="30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 in millions)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Net Income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auto"/>
              </w:rPr>
              <w:t>Twelve Months Ended</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420"/>
              <w:spacing w:after="0" w:line="181" w:lineRule="exact"/>
              <w:rPr>
                <w:sz w:val="20"/>
                <w:szCs w:val="20"/>
                <w:color w:val="auto"/>
              </w:rPr>
            </w:pPr>
            <w:r>
              <w:rPr>
                <w:rFonts w:ascii="Arial" w:cs="Arial" w:eastAsia="Arial" w:hAnsi="Arial"/>
                <w:sz w:val="16"/>
                <w:szCs w:val="16"/>
                <w:b w:val="1"/>
                <w:bCs w:val="1"/>
                <w:color w:val="auto"/>
              </w:rPr>
              <w:t>December 31,</w:t>
            </w:r>
          </w:p>
        </w:tc>
        <w:tc>
          <w:tcPr>
            <w:tcW w:w="2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jc w:val="center"/>
              <w:spacing w:after="0" w:line="132" w:lineRule="exact"/>
              <w:rPr>
                <w:sz w:val="20"/>
                <w:szCs w:val="20"/>
                <w:color w:val="auto"/>
              </w:rPr>
            </w:pPr>
            <w:r>
              <w:rPr>
                <w:rFonts w:ascii="Arial" w:cs="Arial" w:eastAsia="Arial" w:hAnsi="Arial"/>
                <w:sz w:val="15"/>
                <w:szCs w:val="15"/>
                <w:b w:val="1"/>
                <w:bCs w:val="1"/>
                <w:color w:val="auto"/>
                <w:w w:val="95"/>
              </w:rPr>
              <w:t>2016</w:t>
            </w:r>
          </w:p>
        </w:tc>
        <w:tc>
          <w:tcPr>
            <w:tcW w:w="120" w:type="dxa"/>
            <w:vAlign w:val="bottom"/>
          </w:tcPr>
          <w:p>
            <w:pPr>
              <w:spacing w:after="0"/>
              <w:rPr>
                <w:sz w:val="11"/>
                <w:szCs w:val="11"/>
                <w:color w:val="auto"/>
              </w:rPr>
            </w:pPr>
          </w:p>
        </w:tc>
        <w:tc>
          <w:tcPr>
            <w:tcW w:w="1260" w:type="dxa"/>
            <w:vAlign w:val="bottom"/>
            <w:gridSpan w:val="2"/>
          </w:tcPr>
          <w:p>
            <w:pPr>
              <w:jc w:val="center"/>
              <w:ind w:left="62"/>
              <w:spacing w:after="0" w:line="132" w:lineRule="exact"/>
              <w:rPr>
                <w:sz w:val="20"/>
                <w:szCs w:val="20"/>
                <w:color w:val="auto"/>
              </w:rPr>
            </w:pPr>
            <w:r>
              <w:rPr>
                <w:rFonts w:ascii="Arial" w:cs="Arial" w:eastAsia="Arial" w:hAnsi="Arial"/>
                <w:sz w:val="15"/>
                <w:szCs w:val="15"/>
                <w:b w:val="1"/>
                <w:bCs w:val="1"/>
                <w:color w:val="auto"/>
                <w:w w:val="95"/>
              </w:rPr>
              <w:t>2015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41"/>
              <w:spacing w:after="0" w:line="132" w:lineRule="exact"/>
              <w:rPr>
                <w:sz w:val="20"/>
                <w:szCs w:val="20"/>
                <w:color w:val="auto"/>
              </w:rPr>
            </w:pPr>
            <w:r>
              <w:rPr>
                <w:rFonts w:ascii="Arial" w:cs="Arial" w:eastAsia="Arial" w:hAnsi="Arial"/>
                <w:sz w:val="15"/>
                <w:szCs w:val="15"/>
                <w:b w:val="1"/>
                <w:bCs w:val="1"/>
                <w:color w:val="auto"/>
              </w:rPr>
              <w:t>2014</w:t>
            </w:r>
          </w:p>
        </w:tc>
        <w:tc>
          <w:tcPr>
            <w:tcW w:w="1180" w:type="dxa"/>
            <w:vAlign w:val="bottom"/>
          </w:tcPr>
          <w:p>
            <w:pPr>
              <w:spacing w:after="0"/>
              <w:rPr>
                <w:sz w:val="11"/>
                <w:szCs w:val="11"/>
                <w:color w:val="auto"/>
              </w:rPr>
            </w:pPr>
          </w:p>
        </w:tc>
        <w:tc>
          <w:tcPr>
            <w:tcW w:w="258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(Forecast)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(Estimated)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(Actual)</w:t>
            </w:r>
          </w:p>
        </w:tc>
        <w:tc>
          <w:tcPr>
            <w:tcW w:w="1180" w:type="dxa"/>
            <w:vAlign w:val="bottom"/>
            <w:vMerge w:val="restart"/>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   75.0 to $85.0</w:t>
            </w:r>
          </w:p>
        </w:tc>
        <w:tc>
          <w:tcPr>
            <w:tcW w:w="126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7"/>
              </w:rPr>
              <w:t>$   60.0 to $64.0</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1180" w:type="dxa"/>
            <w:vAlign w:val="bottom"/>
          </w:tcPr>
          <w:p>
            <w:pPr>
              <w:ind w:left="260"/>
              <w:spacing w:after="0"/>
              <w:rPr>
                <w:sz w:val="20"/>
                <w:szCs w:val="20"/>
                <w:color w:val="auto"/>
              </w:rPr>
            </w:pPr>
            <w:r>
              <w:rPr>
                <w:rFonts w:ascii="Arial" w:cs="Arial" w:eastAsia="Arial" w:hAnsi="Arial"/>
                <w:sz w:val="16"/>
                <w:szCs w:val="16"/>
                <w:color w:val="auto"/>
              </w:rPr>
              <w:t>NA</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-370840</wp:posOffset>
            </wp:positionV>
            <wp:extent cx="7274560" cy="371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7147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060" w:space="720"/>
            <w:col w:w="7660"/>
          </w:cols>
          <w:pgMar w:left="240" w:top="307" w:right="219" w:bottom="1440" w:gutter="0" w:footer="0" w:header="0"/>
          <w:type w:val="continuous"/>
        </w:sectPr>
      </w:pPr>
    </w:p>
    <w:p>
      <w:pPr>
        <w:ind w:left="240"/>
        <w:spacing w:after="0" w:line="216" w:lineRule="auto"/>
        <w:rPr>
          <w:sz w:val="20"/>
          <w:szCs w:val="20"/>
          <w:color w:val="auto"/>
        </w:rPr>
      </w:pPr>
      <w:r>
        <w:rPr>
          <w:rFonts w:ascii="Arial" w:cs="Arial" w:eastAsia="Arial" w:hAnsi="Arial"/>
          <w:sz w:val="16"/>
          <w:szCs w:val="16"/>
          <w:color w:val="auto"/>
        </w:rPr>
        <w:t>Acquisition-related costs</w:t>
      </w:r>
    </w:p>
    <w:p>
      <w:pPr>
        <w:ind w:left="240"/>
        <w:spacing w:after="0"/>
        <w:rPr>
          <w:sz w:val="20"/>
          <w:szCs w:val="20"/>
          <w:color w:val="auto"/>
        </w:rPr>
      </w:pPr>
      <w:r>
        <w:rPr>
          <w:rFonts w:ascii="Arial" w:cs="Arial" w:eastAsia="Arial" w:hAnsi="Arial"/>
          <w:sz w:val="16"/>
          <w:szCs w:val="16"/>
          <w:color w:val="auto"/>
        </w:rPr>
        <w:t>(transaction &amp; integration)</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Non-cash amortization charges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Write-off of syndicated loans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Impact of purchase accounting on inventory step-up</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Restructuring and other</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Tax effect</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Adjustments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Net Income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9.0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10.0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2.0</w:t>
      </w:r>
    </w:p>
    <w:p>
      <w:pPr>
        <w:spacing w:after="0" w:line="5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(6.0)</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15.0</w:t>
      </w:r>
    </w:p>
    <w:p>
      <w:pPr>
        <w:spacing w:after="0" w:line="56"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90.0 to $100.0</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-197485</wp:posOffset>
            </wp:positionV>
            <wp:extent cx="7261860" cy="1205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205230"/>
                    </a:xfrm>
                    <a:prstGeom prst="rect">
                      <a:avLst/>
                    </a:prstGeom>
                    <a:noFill/>
                  </pic:spPr>
                </pic:pic>
              </a:graphicData>
            </a:graphic>
          </wp:anchor>
        </w:drawing>
      </w:r>
    </w:p>
    <w:p>
      <w:pPr>
        <w:spacing w:after="0" w:line="12"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11.0</w:t>
      </w:r>
    </w:p>
    <w:p>
      <w:pPr>
        <w:spacing w:after="0" w:line="32"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1.0</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1.0</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(6.0)</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13.0</w:t>
      </w:r>
    </w:p>
    <w:p>
      <w:pPr>
        <w:spacing w:after="0" w:line="56" w:lineRule="exact"/>
        <w:rPr>
          <w:sz w:val="20"/>
          <w:szCs w:val="20"/>
          <w:color w:val="auto"/>
        </w:rPr>
      </w:pPr>
    </w:p>
    <w:p>
      <w:pPr>
        <w:spacing w:after="0"/>
        <w:tabs>
          <w:tab w:leader="none" w:pos="280" w:val="left"/>
          <w:tab w:leader="none" w:pos="1340" w:val="left"/>
        </w:tabs>
        <w:rPr>
          <w:sz w:val="20"/>
          <w:szCs w:val="20"/>
          <w:color w:val="auto"/>
        </w:rPr>
      </w:pPr>
      <w:r>
        <w:rPr>
          <w:rFonts w:ascii="Arial" w:cs="Arial" w:eastAsia="Arial" w:hAnsi="Arial"/>
          <w:sz w:val="16"/>
          <w:szCs w:val="16"/>
          <w:b w:val="1"/>
          <w:bCs w:val="1"/>
          <w:color w:val="auto"/>
        </w:rPr>
        <w:t>$</w:t>
        <w:tab/>
        <w:t>73.0 to $77.0</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229235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8.1</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9.5</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1.8</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3.0</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(7.5)</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54.2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SG&amp;A</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COGS, SG&amp;A, Other Income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Other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COGS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SG&amp;A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ectPr>
          <w:pgSz w:w="11900" w:h="16838" w:orient="portrait"/>
          <w:cols w:equalWidth="0" w:num="5">
            <w:col w:w="3580" w:space="200"/>
            <w:col w:w="1200" w:space="200"/>
            <w:col w:w="1500" w:space="720"/>
            <w:col w:w="320" w:space="220"/>
            <w:col w:w="3500"/>
          </w:cols>
          <w:pgMar w:left="240" w:top="307" w:right="2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350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8"/>
              </w:rPr>
              <w:t>Reconciliation of GAAP Net Income to EBITDA</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gridSpan w:val="3"/>
          </w:tcPr>
          <w:p>
            <w:pPr>
              <w:jc w:val="center"/>
              <w:ind w:right="2880"/>
              <w:spacing w:after="0"/>
              <w:rPr>
                <w:sz w:val="20"/>
                <w:szCs w:val="20"/>
                <w:color w:val="auto"/>
              </w:rPr>
            </w:pPr>
            <w:r>
              <w:rPr>
                <w:rFonts w:ascii="Arial" w:cs="Arial" w:eastAsia="Arial" w:hAnsi="Arial"/>
                <w:sz w:val="16"/>
                <w:szCs w:val="16"/>
                <w:b w:val="1"/>
                <w:bCs w:val="1"/>
                <w:color w:val="auto"/>
                <w:w w:val="90"/>
              </w:rPr>
              <w:t>Twelve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3"/>
          </w:tcPr>
          <w:p>
            <w:pPr>
              <w:jc w:val="center"/>
              <w:ind w:right="2860"/>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 in millions)</w:t>
            </w:r>
          </w:p>
        </w:tc>
        <w:tc>
          <w:tcPr>
            <w:tcW w:w="28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Arial" w:cs="Arial" w:eastAsia="Arial" w:hAnsi="Arial"/>
                <w:sz w:val="15"/>
                <w:szCs w:val="15"/>
                <w:b w:val="1"/>
                <w:bCs w:val="1"/>
                <w:color w:val="auto"/>
                <w:w w:val="95"/>
              </w:rPr>
              <w:t>2016</w:t>
            </w:r>
          </w:p>
        </w:tc>
        <w:tc>
          <w:tcPr>
            <w:tcW w:w="120" w:type="dxa"/>
            <w:vAlign w:val="bottom"/>
          </w:tcPr>
          <w:p>
            <w:pPr>
              <w:spacing w:after="0"/>
              <w:rPr>
                <w:sz w:val="11"/>
                <w:szCs w:val="11"/>
                <w:color w:val="auto"/>
              </w:rPr>
            </w:pPr>
          </w:p>
        </w:tc>
        <w:tc>
          <w:tcPr>
            <w:tcW w:w="1260" w:type="dxa"/>
            <w:vAlign w:val="bottom"/>
            <w:gridSpan w:val="2"/>
          </w:tcPr>
          <w:p>
            <w:pPr>
              <w:jc w:val="center"/>
              <w:ind w:left="61"/>
              <w:spacing w:after="0" w:line="132" w:lineRule="exact"/>
              <w:rPr>
                <w:sz w:val="20"/>
                <w:szCs w:val="20"/>
                <w:color w:val="auto"/>
              </w:rPr>
            </w:pPr>
            <w:r>
              <w:rPr>
                <w:rFonts w:ascii="Arial" w:cs="Arial" w:eastAsia="Arial" w:hAnsi="Arial"/>
                <w:sz w:val="15"/>
                <w:szCs w:val="15"/>
                <w:b w:val="1"/>
                <w:bCs w:val="1"/>
                <w:color w:val="auto"/>
                <w:w w:val="95"/>
              </w:rPr>
              <w:t>2015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40"/>
              <w:spacing w:after="0" w:line="132" w:lineRule="exact"/>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1"/>
                <w:szCs w:val="11"/>
                <w:color w:val="auto"/>
              </w:rPr>
            </w:pPr>
          </w:p>
        </w:tc>
        <w:tc>
          <w:tcPr>
            <w:tcW w:w="3640" w:type="dxa"/>
            <w:vAlign w:val="bottom"/>
            <w:vMerge w:val="restart"/>
          </w:tcPr>
          <w:p>
            <w:pPr>
              <w:ind w:left="1560"/>
              <w:spacing w:after="0"/>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Arial" w:cs="Arial" w:eastAsia="Arial" w:hAnsi="Arial"/>
                <w:sz w:val="16"/>
                <w:szCs w:val="16"/>
                <w:b w:val="1"/>
                <w:bCs w:val="1"/>
                <w:color w:val="auto"/>
                <w:w w:val="87"/>
              </w:rPr>
              <w:t>(Forecast)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spacing w:after="0" w:line="181" w:lineRule="exact"/>
              <w:rPr>
                <w:sz w:val="20"/>
                <w:szCs w:val="20"/>
                <w:color w:val="auto"/>
              </w:rPr>
            </w:pPr>
            <w:r>
              <w:rPr>
                <w:rFonts w:ascii="Arial" w:cs="Arial" w:eastAsia="Arial" w:hAnsi="Arial"/>
                <w:sz w:val="16"/>
                <w:szCs w:val="16"/>
                <w:b w:val="1"/>
                <w:bCs w:val="1"/>
                <w:color w:val="auto"/>
                <w:w w:val="94"/>
              </w:rPr>
              <w:t>(Estimated)</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20"/>
              <w:spacing w:after="0" w:line="181" w:lineRule="exact"/>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0"/>
                <w:szCs w:val="10"/>
                <w:color w:val="auto"/>
              </w:rPr>
            </w:pPr>
          </w:p>
        </w:tc>
        <w:tc>
          <w:tcPr>
            <w:tcW w:w="3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Net Income</w:t>
            </w:r>
          </w:p>
        </w:tc>
        <w:tc>
          <w:tcPr>
            <w:tcW w:w="1560" w:type="dxa"/>
            <w:vAlign w:val="bottom"/>
            <w:gridSpan w:val="3"/>
            <w:shd w:val="clear" w:color="auto" w:fill="CCEEFF"/>
          </w:tcPr>
          <w:p>
            <w:pPr>
              <w:jc w:val="center"/>
              <w:ind w:left="80"/>
              <w:spacing w:after="0"/>
              <w:rPr>
                <w:sz w:val="20"/>
                <w:szCs w:val="20"/>
                <w:color w:val="auto"/>
              </w:rPr>
            </w:pPr>
            <w:r>
              <w:rPr>
                <w:rFonts w:ascii="Arial" w:cs="Arial" w:eastAsia="Arial" w:hAnsi="Arial"/>
                <w:sz w:val="16"/>
                <w:szCs w:val="16"/>
                <w:b w:val="1"/>
                <w:bCs w:val="1"/>
                <w:color w:val="auto"/>
                <w:w w:val="98"/>
              </w:rPr>
              <w:t>$   75.0 to $85.0</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   60.0 to $64.0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36.7</w:t>
            </w: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Pr>
          <w:p>
            <w:pPr>
              <w:spacing w:after="0" w:line="181" w:lineRule="exact"/>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Depreciation &amp; Amortization</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31.0</w:t>
            </w: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COGS, SG&amp;A, R&amp;D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20"/>
              <w:spacing w:after="0"/>
              <w:rPr>
                <w:sz w:val="20"/>
                <w:szCs w:val="20"/>
                <w:color w:val="auto"/>
              </w:rPr>
            </w:pPr>
            <w:r>
              <w:rPr>
                <w:rFonts w:ascii="Arial" w:cs="Arial" w:eastAsia="Arial" w:hAnsi="Arial"/>
                <w:sz w:val="16"/>
                <w:szCs w:val="16"/>
                <w:color w:val="auto"/>
              </w:rPr>
              <w:t>+ Provision For Income Taxes</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32.0</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16.3</w:t>
            </w:r>
          </w:p>
        </w:tc>
        <w:tc>
          <w:tcPr>
            <w:tcW w:w="364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 Total Interest Expense</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80" w:type="dxa"/>
            <w:vAlign w:val="bottom"/>
          </w:tcPr>
          <w:p>
            <w:pPr>
              <w:ind w:left="220"/>
              <w:spacing w:after="0"/>
              <w:rPr>
                <w:sz w:val="20"/>
                <w:szCs w:val="20"/>
                <w:color w:val="auto"/>
              </w:rPr>
            </w:pPr>
            <w:r>
              <w:rPr>
                <w:rFonts w:ascii="Arial" w:cs="Arial" w:eastAsia="Arial" w:hAnsi="Arial"/>
                <w:sz w:val="16"/>
                <w:szCs w:val="16"/>
                <w:b w:val="1"/>
                <w:bCs w:val="1"/>
                <w:color w:val="auto"/>
              </w:rPr>
              <w:t>Total Adjustments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55.5</w:t>
            </w:r>
          </w:p>
        </w:tc>
        <w:tc>
          <w:tcPr>
            <w:tcW w:w="3640" w:type="dxa"/>
            <w:vAlign w:val="bottom"/>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$ 150.0 to $160.0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$ 130.0 to $134.0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92.2</w:t>
            </w:r>
          </w:p>
        </w:tc>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-1194435</wp:posOffset>
            </wp:positionV>
            <wp:extent cx="7274560" cy="363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638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-716280</wp:posOffset>
            </wp:positionV>
            <wp:extent cx="7261860" cy="716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71691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 WEBCAST</w:t>
      </w:r>
    </w:p>
    <w:p>
      <w:pPr>
        <w:spacing w:after="0" w:line="2" w:lineRule="exact"/>
        <w:rPr>
          <w:sz w:val="20"/>
          <w:szCs w:val="20"/>
          <w:color w:val="auto"/>
        </w:rPr>
      </w:pPr>
    </w:p>
    <w:p>
      <w:pPr>
        <w:jc w:val="both"/>
        <w:ind w:right="380"/>
        <w:spacing w:after="0" w:line="202" w:lineRule="auto"/>
        <w:rPr>
          <w:sz w:val="20"/>
          <w:szCs w:val="20"/>
          <w:color w:val="auto"/>
        </w:rPr>
      </w:pPr>
      <w:r>
        <w:rPr>
          <w:rFonts w:ascii="Arial" w:cs="Arial" w:eastAsia="Arial" w:hAnsi="Arial"/>
          <w:sz w:val="16"/>
          <w:szCs w:val="16"/>
          <w:color w:val="auto"/>
        </w:rPr>
        <w:t>The company will outline the 2016-2020 strategic growth plan in detail during their presentation at the 34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J.P. Morgan Healthcare Conference on January 11, 2016. Additionally, the company will discuss preliminary 2015 financial results, recap the accomplishments from its previous three-year growth plan, and provide a 2016 financial outlook.</w:t>
      </w:r>
    </w:p>
    <w:p>
      <w:pPr>
        <w:spacing w:after="0" w:line="158"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A live webcast of the presentation can be accessed through Emergent's website. Visit www.emergentbiosolutions.com and select the "Investors" section. An on-demand replay of the webcast can also be accessed in the investors section after the presentation has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-147320</wp:posOffset>
            </wp:positionV>
            <wp:extent cx="254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EMERGENT BIOSOLUTIONS INC.</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Emergent BioSolutions is a global specialty biopharmaceutical company dedicated to one simple mission—to protect and enhance life. We develop, manufacture, and deliver a portfolio of medical countermeasures for biological and chemical threats as well as emerging infectious diseases. We also develop and commercialize therapeutics and other specialty products for hospitals and clinics in the areas of hematology/oncology, transplantation, infectious diseases and autoimmune disorders. Through our work, we envision protecting and enhancing 50 million lives with our products by 2025. Additional information about the company may be found at www.emergentbiosolutions.com. Follow us on twitter: @emergentbiosolu.</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14"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without limitation, our financial guidance, and any other statements containing the words "believes", "expects", "anticipates", "intends", "plans", "forecasts", "estimates" and similar expressions in conjunction with, among other things, the planned spin-off of our biosciences business, discussions of financial performance or financial condition, growth strategy, product sales, manufacturing capabilities, product development,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60" w:lineRule="exact"/>
        <w:rPr>
          <w:sz w:val="20"/>
          <w:szCs w:val="20"/>
          <w:color w:val="auto"/>
        </w:rPr>
      </w:pPr>
    </w:p>
    <w:p>
      <w:pPr>
        <w:ind w:right="220"/>
        <w:spacing w:after="0" w:line="274" w:lineRule="auto"/>
        <w:rPr>
          <w:sz w:val="20"/>
          <w:szCs w:val="20"/>
          <w:color w:val="auto"/>
        </w:rPr>
      </w:pPr>
      <w:r>
        <w:rPr>
          <w:rFonts w:ascii="Arial" w:cs="Arial" w:eastAsia="Arial" w:hAnsi="Arial"/>
          <w:sz w:val="14"/>
          <w:szCs w:val="14"/>
          <w:color w:val="auto"/>
        </w:rPr>
        <w:t>There are a number of important factors that could cause the company's actual results to differ materially from those indicated by such forward-looking statements, including whether the planned spin-off of the biosciences business is completed, as expected or at all, and the timing of any such spin-off; whether the conditions to the spin-off can be satisfied; whether the operational, marketing and strategic benefits of the spin-off can be achieved; whether the costs and expenses of the spin-off can be controlled within expectations; appropriations for BioThrax procurement; our ability to obtain new BioThrax sales contracts or modifications to existing contracts; our plans to pursue label expansions and improvements for BioThrax; availability of funding for our US government grants and contracts; our ability to identify and acquire or in-license products or late-stage product candidates that satisfy our selection criteria; whether anticipated synergies and benefits from an acquisition or in-license are realized within expected time periods or at all; our ability to enter into and maintain selective collaboration arrangements; the timing of and our ability to achieve milestones in out-license and collaboration contracts; our ability to expand our manufacturing facilities and capabilities; our ability and the ability of our contractors and suppliers to maintain compliance with cGMP and other regulatory obligations; the results of regulatory inspections; our ability to meet operating and financial restrictions placed on us and our subsidiaries that are contained in our senior credit facility;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12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w:t>
      </w:r>
    </w:p>
    <w:p>
      <w:pPr>
        <w:sectPr>
          <w:pgSz w:w="11900" w:h="16838" w:orient="portrait"/>
          <w:cols w:equalWidth="0" w:num="1">
            <w:col w:w="11440"/>
          </w:cols>
          <w:pgMar w:left="240" w:top="487" w:right="219" w:bottom="1440" w:gutter="0" w:footer="0" w:header="0"/>
        </w:sectPr>
      </w:pPr>
    </w:p>
    <w:bookmarkStart w:id="6" w:name="page7"/>
    <w:bookmarkEnd w:id="6"/>
    <w:p>
      <w:pPr>
        <w:ind w:left="9080"/>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155575</wp:posOffset>
            </wp:positionV>
            <wp:extent cx="7320280" cy="4853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76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487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61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4861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4853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4853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o"/>
      <w:numFmt w:val="bullet"/>
      <w:start w:val="1"/>
    </w:lvl>
  </w:abstractNum>
  <w:abstractNum w:abstractNumId="3">
    <w:nsid w:val="507ED7AB"/>
    <w:multiLevelType w:val="hybridMultilevel"/>
    <w:lvl w:ilvl="0">
      <w:lvlJc w:val="left"/>
      <w:lvlText w:val="(%1)"/>
      <w:numFmt w:val="upperLetter"/>
      <w:start w:val="9"/>
    </w:lvl>
  </w:abstractNum>
  <w:abstractNum w:abstractNumId="4">
    <w:nsid w:val="2EB141F2"/>
    <w:multiLevelType w:val="hybridMultilevel"/>
    <w:lvl w:ilvl="0">
      <w:lvlJc w:val="left"/>
      <w:lvlText w:val="(%1)"/>
      <w:numFmt w:val="upperLetter"/>
      <w:start w:val="35"/>
    </w:lvl>
  </w:abstractNum>
  <w:abstractNum w:abstractNumId="5">
    <w:nsid w:val="41B71EFB"/>
    <w:multiLevelType w:val="hybridMultilevel"/>
    <w:lvl w:ilvl="0">
      <w:lvlJc w:val="left"/>
      <w:lvlText w:val="(%1)"/>
      <w:numFmt w:val="upperLetter"/>
      <w:start w:val="6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2019-12-08T12:24:44Z</dcterms:created>
  <dcterms:modified xsi:type="dcterms:W3CDTF">2019-12-08T12:24:44Z</dcterms:modified>
</cp:coreProperties>
</file>