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318"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FORM 8-K</w:t>
      </w:r>
    </w:p>
    <w:p>
      <w:pPr>
        <w:spacing w:after="0" w:line="203"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CURRENT REPORT</w:t>
      </w:r>
    </w:p>
    <w:p>
      <w:pPr>
        <w:spacing w:after="0" w:line="212"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January 7, 2019</w:t>
      </w:r>
    </w:p>
    <w:p>
      <w:pPr>
        <w:spacing w:after="0" w:line="336"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EMERGENT BIOSOLUTIONS INC.</w:t>
      </w:r>
    </w:p>
    <w:p>
      <w:pPr>
        <w:spacing w:after="0" w:line="29"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4"/>
          </w:cols>
          <w:pgMar w:left="236" w:top="415" w:right="219" w:bottom="710" w:gutter="0" w:footer="0" w:header="0"/>
        </w:sectPr>
      </w:pPr>
    </w:p>
    <w:p>
      <w:pPr>
        <w:spacing w:after="0" w:line="158" w:lineRule="exact"/>
        <w:rPr>
          <w:sz w:val="24"/>
          <w:szCs w:val="24"/>
          <w:color w:val="auto"/>
        </w:rPr>
      </w:pPr>
    </w:p>
    <w:p>
      <w:pPr>
        <w:ind w:left="1384"/>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2420"/>
        <w:spacing w:after="0"/>
        <w:rPr>
          <w:sz w:val="20"/>
          <w:szCs w:val="20"/>
          <w:color w:val="auto"/>
        </w:rPr>
      </w:pPr>
      <w:r>
        <w:rPr>
          <w:rFonts w:ascii="Arial" w:cs="Arial" w:eastAsia="Arial" w:hAnsi="Arial"/>
          <w:sz w:val="14"/>
          <w:szCs w:val="14"/>
          <w:b w:val="1"/>
          <w:bCs w:val="1"/>
          <w:color w:val="auto"/>
        </w:rPr>
        <w:t>001-33137</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14-1902018</w:t>
      </w:r>
    </w:p>
    <w:p>
      <w:pPr>
        <w:spacing w:after="0" w:line="47" w:lineRule="exact"/>
        <w:rPr>
          <w:sz w:val="24"/>
          <w:szCs w:val="24"/>
          <w:color w:val="auto"/>
        </w:rPr>
      </w:pPr>
    </w:p>
    <w:p>
      <w:pPr>
        <w:sectPr>
          <w:pgSz w:w="11900" w:h="16838" w:orient="portrait"/>
          <w:cols w:equalWidth="0" w:num="3">
            <w:col w:w="4664" w:space="720"/>
            <w:col w:w="3120" w:space="720"/>
            <w:col w:w="2220"/>
          </w:cols>
          <w:pgMar w:left="236" w:top="415" w:right="219" w:bottom="710" w:gutter="0" w:footer="0" w:header="0"/>
          <w:type w:val="continuous"/>
        </w:sectPr>
      </w:pPr>
    </w:p>
    <w:p>
      <w:pPr>
        <w:ind w:left="984"/>
        <w:spacing w:after="0"/>
        <w:rPr>
          <w:sz w:val="20"/>
          <w:szCs w:val="20"/>
          <w:color w:val="auto"/>
        </w:rPr>
      </w:pPr>
      <w:r>
        <w:rPr>
          <w:rFonts w:ascii="Arial" w:cs="Arial" w:eastAsia="Arial" w:hAnsi="Arial"/>
          <w:sz w:val="14"/>
          <w:szCs w:val="14"/>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w:t>
      </w:r>
    </w:p>
    <w:p>
      <w:pPr>
        <w:spacing w:after="0" w:line="20" w:lineRule="exact"/>
        <w:rPr>
          <w:sz w:val="24"/>
          <w:szCs w:val="24"/>
          <w:color w:val="auto"/>
        </w:rPr>
      </w:pPr>
    </w:p>
    <w:p>
      <w:pPr>
        <w:sectPr>
          <w:pgSz w:w="11900" w:h="16838" w:orient="portrait"/>
          <w:cols w:equalWidth="0" w:num="3">
            <w:col w:w="4124" w:space="720"/>
            <w:col w:w="3560" w:space="720"/>
            <w:col w:w="2320"/>
          </w:cols>
          <w:pgMar w:left="236" w:top="415" w:right="219" w:bottom="710" w:gutter="0" w:footer="0" w:header="0"/>
          <w:type w:val="continuous"/>
        </w:sectPr>
      </w:pPr>
    </w:p>
    <w:p>
      <w:pPr>
        <w:ind w:left="1284"/>
        <w:spacing w:after="0"/>
        <w:rPr>
          <w:sz w:val="20"/>
          <w:szCs w:val="20"/>
          <w:color w:val="auto"/>
        </w:rPr>
      </w:pPr>
      <w:r>
        <w:rPr>
          <w:rFonts w:ascii="Arial" w:cs="Arial" w:eastAsia="Arial" w:hAnsi="Arial"/>
          <w:sz w:val="15"/>
          <w:szCs w:val="15"/>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2">
            <w:col w:w="8304" w:space="720"/>
            <w:col w:w="2420"/>
          </w:cols>
          <w:pgMar w:left="236" w:top="415" w:right="219" w:bottom="710" w:gutter="0" w:footer="0" w:header="0"/>
          <w:type w:val="continuous"/>
        </w:sectPr>
      </w:pPr>
    </w:p>
    <w:p>
      <w:pPr>
        <w:spacing w:after="0" w:line="188"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400 Professional Drive, Suite 400,</w:t>
      </w:r>
    </w:p>
    <w:p>
      <w:pPr>
        <w:spacing w:after="0" w:line="3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Gaithersburg, Maryland 20879</w:t>
      </w:r>
    </w:p>
    <w:p>
      <w:pPr>
        <w:spacing w:after="0" w:line="216" w:lineRule="exact"/>
        <w:rPr>
          <w:sz w:val="24"/>
          <w:szCs w:val="24"/>
          <w:color w:val="auto"/>
        </w:rPr>
      </w:pPr>
    </w:p>
    <w:p>
      <w:pPr>
        <w:jc w:val="center"/>
        <w:ind w:right="-23"/>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184"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(240) 631-3200</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6"/>
          <w:szCs w:val="16"/>
          <w:color w:val="auto"/>
        </w:rPr>
        <w:t>(Registrant's telephone number, including area code)</w:t>
      </w:r>
    </w:p>
    <w:p>
      <w:pPr>
        <w:spacing w:after="0" w:line="158"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N/A</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4"/>
          <w:szCs w:val="14"/>
          <w:color w:val="auto"/>
        </w:rPr>
        <w:t>(Former name or former address, if changed since last report)</w:t>
      </w:r>
    </w:p>
    <w:p>
      <w:pPr>
        <w:sectPr>
          <w:pgSz w:w="11900" w:h="16838" w:orient="portrait"/>
          <w:cols w:equalWidth="0" w:num="1">
            <w:col w:w="11444"/>
          </w:cols>
          <w:pgMar w:left="236" w:top="415" w:right="219" w:bottom="710" w:gutter="0" w:footer="0" w:header="0"/>
          <w:type w:val="continuous"/>
        </w:sectPr>
      </w:pPr>
    </w:p>
    <w:p>
      <w:pPr>
        <w:spacing w:after="0" w:line="185"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i w:val="1"/>
          <w:iCs w:val="1"/>
          <w:color w:val="auto"/>
        </w:rPr>
        <w:t>see</w:t>
      </w:r>
    </w:p>
    <w:p>
      <w:pPr>
        <w:spacing w:after="0" w:line="22"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162" w:lineRule="exact"/>
        <w:rPr>
          <w:sz w:val="24"/>
          <w:szCs w:val="24"/>
          <w:color w:val="auto"/>
        </w:rPr>
      </w:pPr>
    </w:p>
    <w:p>
      <w:pPr>
        <w:ind w:left="304" w:hanging="304"/>
        <w:spacing w:after="0"/>
        <w:tabs>
          <w:tab w:leader="none" w:pos="3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6" w:lineRule="exact"/>
        <w:rPr>
          <w:rFonts w:ascii="MS PGothic" w:cs="MS PGothic" w:eastAsia="MS PGothic" w:hAnsi="MS PGothic"/>
          <w:sz w:val="16"/>
          <w:szCs w:val="16"/>
          <w:color w:val="auto"/>
        </w:rPr>
      </w:pPr>
    </w:p>
    <w:p>
      <w:pPr>
        <w:ind w:left="304" w:hanging="304"/>
        <w:spacing w:after="0"/>
        <w:tabs>
          <w:tab w:leader="none" w:pos="3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6" w:lineRule="exact"/>
        <w:rPr>
          <w:rFonts w:ascii="MS PGothic" w:cs="MS PGothic" w:eastAsia="MS PGothic" w:hAnsi="MS PGothic"/>
          <w:sz w:val="16"/>
          <w:szCs w:val="16"/>
          <w:color w:val="auto"/>
        </w:rPr>
      </w:pPr>
    </w:p>
    <w:p>
      <w:pPr>
        <w:ind w:left="304" w:hanging="304"/>
        <w:spacing w:after="0"/>
        <w:tabs>
          <w:tab w:leader="none" w:pos="3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6" w:lineRule="exact"/>
        <w:rPr>
          <w:rFonts w:ascii="MS PGothic" w:cs="MS PGothic" w:eastAsia="MS PGothic" w:hAnsi="MS PGothic"/>
          <w:sz w:val="16"/>
          <w:szCs w:val="16"/>
          <w:color w:val="auto"/>
        </w:rPr>
      </w:pPr>
    </w:p>
    <w:p>
      <w:pPr>
        <w:ind w:left="304" w:hanging="304"/>
        <w:spacing w:after="0"/>
        <w:tabs>
          <w:tab w:leader="none" w:pos="3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726186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4" w:right="240"/>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184" w:lineRule="exact"/>
        <w:tabs>
          <w:tab w:leader="none" w:pos="1924"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30" w:lineRule="exact"/>
        <w:rPr>
          <w:sz w:val="24"/>
          <w:szCs w:val="24"/>
          <w:color w:val="auto"/>
        </w:rPr>
      </w:pPr>
    </w:p>
    <w:p>
      <w:pPr>
        <w:ind w:left="4" w:right="3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15" w:lineRule="exact"/>
        <w:rPr>
          <w:sz w:val="24"/>
          <w:szCs w:val="24"/>
          <w:color w:val="auto"/>
        </w:rPr>
      </w:pPr>
    </w:p>
    <w:p>
      <w:pPr>
        <w:ind w:left="4"/>
        <w:spacing w:after="0"/>
        <w:tabs>
          <w:tab w:leader="none" w:pos="1764"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228" w:lineRule="exact"/>
        <w:rPr>
          <w:sz w:val="24"/>
          <w:szCs w:val="24"/>
          <w:color w:val="auto"/>
        </w:rPr>
      </w:pPr>
    </w:p>
    <w:p>
      <w:pPr>
        <w:jc w:val="both"/>
        <w:ind w:left="4" w:right="20"/>
        <w:spacing w:after="0" w:line="273" w:lineRule="auto"/>
        <w:rPr>
          <w:sz w:val="20"/>
          <w:szCs w:val="20"/>
          <w:color w:val="auto"/>
        </w:rPr>
      </w:pPr>
      <w:r>
        <w:rPr>
          <w:rFonts w:ascii="Arial" w:cs="Arial" w:eastAsia="Arial" w:hAnsi="Arial"/>
          <w:sz w:val="15"/>
          <w:szCs w:val="15"/>
          <w:color w:val="auto"/>
        </w:rPr>
        <w:t>On January 7, 2019, Emergent BioSolutions Inc. announced preliminary unaudited financial results for 2018 and guidance for 2019. The full text of the press release issued in connection with the announcement is attached as Exhibit 99.1 to this Current Report on Form 8-K. In addition, the sections entitled “Track Record of Profitable, Diversified Growth,” “2018 Performance,” and “Reconciliation Tables” of the corporate slide deck attached as Exhibit 99.2 are incorporated herein by reference.</w:t>
      </w:r>
    </w:p>
    <w:p>
      <w:pPr>
        <w:spacing w:after="0" w:line="128" w:lineRule="exact"/>
        <w:rPr>
          <w:sz w:val="24"/>
          <w:szCs w:val="24"/>
          <w:color w:val="auto"/>
        </w:rPr>
      </w:pPr>
    </w:p>
    <w:p>
      <w:pPr>
        <w:ind w:left="4"/>
        <w:spacing w:after="0"/>
        <w:tabs>
          <w:tab w:leader="none" w:pos="1764"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28" w:lineRule="exact"/>
        <w:rPr>
          <w:sz w:val="24"/>
          <w:szCs w:val="24"/>
          <w:color w:val="auto"/>
        </w:rPr>
      </w:pPr>
    </w:p>
    <w:p>
      <w:pPr>
        <w:jc w:val="both"/>
        <w:ind w:left="4" w:right="20"/>
        <w:spacing w:after="0" w:line="295" w:lineRule="auto"/>
        <w:rPr>
          <w:sz w:val="20"/>
          <w:szCs w:val="20"/>
          <w:color w:val="auto"/>
        </w:rPr>
      </w:pPr>
      <w:r>
        <w:rPr>
          <w:rFonts w:ascii="Arial" w:cs="Arial" w:eastAsia="Arial" w:hAnsi="Arial"/>
          <w:sz w:val="15"/>
          <w:szCs w:val="15"/>
          <w:color w:val="auto"/>
        </w:rPr>
        <w:t>During the week of January 7, 2019, representatives of the company will be attending meetings with investors, analysts and others at the J.P. Morgan Healthcare Conference in San Francisco, California and these company representatives plan to present the slides attached as Exhibit 99.2 to this Current Report on Form 8-K.</w:t>
      </w:r>
    </w:p>
    <w:p>
      <w:pPr>
        <w:spacing w:after="0" w:line="113" w:lineRule="exact"/>
        <w:rPr>
          <w:sz w:val="24"/>
          <w:szCs w:val="24"/>
          <w:color w:val="auto"/>
        </w:rPr>
      </w:pPr>
    </w:p>
    <w:p>
      <w:pPr>
        <w:ind w:left="4"/>
        <w:spacing w:after="0"/>
        <w:tabs>
          <w:tab w:leader="none" w:pos="1764"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28" w:lineRule="exact"/>
        <w:rPr>
          <w:sz w:val="24"/>
          <w:szCs w:val="24"/>
          <w:color w:val="auto"/>
        </w:rPr>
      </w:pPr>
    </w:p>
    <w:p>
      <w:pPr>
        <w:ind w:left="764" w:hanging="764"/>
        <w:spacing w:after="0"/>
        <w:tabs>
          <w:tab w:leader="none" w:pos="764"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20" w:lineRule="exact"/>
        <w:rPr>
          <w:sz w:val="24"/>
          <w:szCs w:val="24"/>
          <w:color w:val="auto"/>
        </w:rPr>
      </w:pPr>
    </w:p>
    <w:tbl>
      <w:tblPr>
        <w:tblLayout w:type="fixed"/>
        <w:tblInd w:w="4" w:type="dxa"/>
        <w:tblCellMar>
          <w:top w:w="0" w:type="dxa"/>
          <w:left w:w="0" w:type="dxa"/>
          <w:bottom w:w="0" w:type="dxa"/>
          <w:right w:w="0" w:type="dxa"/>
        </w:tblCellMar>
      </w:tblPr>
      <w:tr>
        <w:trPr>
          <w:trHeight w:val="201"/>
        </w:trPr>
        <w:tc>
          <w:tcPr>
            <w:tcW w:w="2160" w:type="dxa"/>
            <w:vAlign w:val="bottom"/>
            <w:gridSpan w:val="3"/>
          </w:tcPr>
          <w:p>
            <w:pPr>
              <w:spacing w:after="0"/>
              <w:rPr>
                <w:sz w:val="20"/>
                <w:szCs w:val="20"/>
                <w:color w:val="auto"/>
              </w:rPr>
            </w:pPr>
            <w:r>
              <w:rPr>
                <w:rFonts w:ascii="Arial" w:cs="Arial" w:eastAsia="Arial" w:hAnsi="Arial"/>
                <w:sz w:val="16"/>
                <w:szCs w:val="16"/>
                <w:b w:val="1"/>
                <w:bCs w:val="1"/>
                <w:color w:val="auto"/>
              </w:rPr>
              <w:t>Exhibit No.</w:t>
            </w:r>
          </w:p>
        </w:tc>
        <w:tc>
          <w:tcPr>
            <w:tcW w:w="9280" w:type="dxa"/>
            <w:vAlign w:val="bottom"/>
          </w:tcPr>
          <w:p>
            <w:pPr>
              <w:ind w:left="4240"/>
              <w:spacing w:after="0"/>
              <w:rPr>
                <w:sz w:val="20"/>
                <w:szCs w:val="20"/>
                <w:color w:val="auto"/>
              </w:rPr>
            </w:pPr>
            <w:r>
              <w:rPr>
                <w:rFonts w:ascii="Arial" w:cs="Arial" w:eastAsia="Arial" w:hAnsi="Arial"/>
                <w:sz w:val="16"/>
                <w:szCs w:val="16"/>
                <w:b w:val="1"/>
                <w:bCs w:val="1"/>
                <w:color w:val="auto"/>
              </w:rPr>
              <w:t>Description</w:t>
            </w:r>
          </w:p>
        </w:tc>
      </w:tr>
      <w:tr>
        <w:trPr>
          <w:trHeight w:val="168"/>
        </w:trPr>
        <w:tc>
          <w:tcPr>
            <w:tcW w:w="20" w:type="dxa"/>
            <w:vAlign w:val="bottom"/>
          </w:tcPr>
          <w:p>
            <w:pPr>
              <w:spacing w:after="0"/>
              <w:rPr>
                <w:sz w:val="14"/>
                <w:szCs w:val="14"/>
                <w:color w:val="auto"/>
              </w:rPr>
            </w:pPr>
          </w:p>
        </w:tc>
        <w:tc>
          <w:tcPr>
            <w:tcW w:w="1740" w:type="dxa"/>
            <w:vAlign w:val="bottom"/>
            <w:tcBorders>
              <w:top w:val="single" w:sz="8" w:color="auto"/>
            </w:tcBorders>
          </w:tcPr>
          <w:p>
            <w:pPr>
              <w:jc w:val="right"/>
              <w:ind w:right="640"/>
              <w:spacing w:after="0" w:line="168" w:lineRule="exact"/>
              <w:rPr>
                <w:sz w:val="20"/>
                <w:szCs w:val="20"/>
                <w:color w:val="auto"/>
              </w:rPr>
            </w:pPr>
            <w:r>
              <w:rPr>
                <w:rFonts w:ascii="Arial" w:cs="Arial" w:eastAsia="Arial" w:hAnsi="Arial"/>
                <w:sz w:val="16"/>
                <w:szCs w:val="16"/>
                <w:color w:val="auto"/>
              </w:rPr>
              <w:t>99.1</w:t>
            </w:r>
          </w:p>
        </w:tc>
        <w:tc>
          <w:tcPr>
            <w:tcW w:w="400" w:type="dxa"/>
            <w:vAlign w:val="bottom"/>
          </w:tcPr>
          <w:p>
            <w:pPr>
              <w:spacing w:after="0"/>
              <w:rPr>
                <w:sz w:val="14"/>
                <w:szCs w:val="14"/>
                <w:color w:val="auto"/>
              </w:rPr>
            </w:pPr>
          </w:p>
        </w:tc>
        <w:tc>
          <w:tcPr>
            <w:tcW w:w="9280" w:type="dxa"/>
            <w:vAlign w:val="bottom"/>
            <w:tcBorders>
              <w:top w:val="single" w:sz="8" w:color="auto"/>
            </w:tcBorders>
          </w:tcPr>
          <w:p>
            <w:pPr>
              <w:spacing w:after="0" w:line="168" w:lineRule="exact"/>
              <w:rPr>
                <w:sz w:val="20"/>
                <w:szCs w:val="20"/>
                <w:color w:val="auto"/>
              </w:rPr>
            </w:pPr>
            <w:r>
              <w:rPr>
                <w:rFonts w:ascii="Arial" w:cs="Arial" w:eastAsia="Arial" w:hAnsi="Arial"/>
                <w:sz w:val="16"/>
                <w:szCs w:val="16"/>
                <w:color w:val="auto"/>
              </w:rPr>
              <w:t>Press release, issued January 7, 2019.</w:t>
            </w:r>
          </w:p>
        </w:tc>
      </w:tr>
      <w:tr>
        <w:trPr>
          <w:trHeight w:val="217"/>
        </w:trPr>
        <w:tc>
          <w:tcPr>
            <w:tcW w:w="1760" w:type="dxa"/>
            <w:vAlign w:val="bottom"/>
            <w:gridSpan w:val="2"/>
          </w:tcPr>
          <w:p>
            <w:pPr>
              <w:jc w:val="right"/>
              <w:ind w:right="640"/>
              <w:spacing w:after="0"/>
              <w:rPr>
                <w:sz w:val="20"/>
                <w:szCs w:val="20"/>
                <w:color w:val="auto"/>
              </w:rPr>
            </w:pPr>
            <w:r>
              <w:rPr>
                <w:rFonts w:ascii="Arial" w:cs="Arial" w:eastAsia="Arial" w:hAnsi="Arial"/>
                <w:sz w:val="16"/>
                <w:szCs w:val="16"/>
                <w:color w:val="auto"/>
              </w:rPr>
              <w:t>99.2</w:t>
            </w:r>
          </w:p>
        </w:tc>
        <w:tc>
          <w:tcPr>
            <w:tcW w:w="40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6"/>
                <w:szCs w:val="16"/>
                <w:color w:val="auto"/>
              </w:rPr>
              <w:t>Corporate slide deck, dated January 8, 2019.</w:t>
            </w:r>
          </w:p>
        </w:tc>
      </w:tr>
      <w:tr>
        <w:trPr>
          <w:trHeight w:val="689"/>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4"/>
          </w:cols>
          <w:pgMar w:left="236" w:top="415" w:right="219" w:bottom="71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SIGNATURE</w:t>
      </w:r>
    </w:p>
    <w:p>
      <w:pPr>
        <w:spacing w:after="0" w:line="21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51" w:lineRule="exact"/>
        <w:rPr>
          <w:sz w:val="20"/>
          <w:szCs w:val="20"/>
          <w:color w:val="auto"/>
        </w:rPr>
      </w:pPr>
    </w:p>
    <w:p>
      <w:pPr>
        <w:ind w:left="5880"/>
        <w:spacing w:after="0"/>
        <w:rPr>
          <w:sz w:val="20"/>
          <w:szCs w:val="20"/>
          <w:color w:val="auto"/>
        </w:rPr>
      </w:pPr>
      <w:r>
        <w:rPr>
          <w:rFonts w:ascii="Arial" w:cs="Arial" w:eastAsia="Arial" w:hAnsi="Arial"/>
          <w:sz w:val="16"/>
          <w:szCs w:val="16"/>
          <w:b w:val="1"/>
          <w:bCs w:val="1"/>
          <w:color w:val="auto"/>
        </w:rPr>
        <w:t>EMERGENT BIOSOLUTIONS INC.</w:t>
      </w:r>
    </w:p>
    <w:p>
      <w:pPr>
        <w:spacing w:after="0" w:line="192" w:lineRule="exact"/>
        <w:rPr>
          <w:sz w:val="20"/>
          <w:szCs w:val="20"/>
          <w:color w:val="auto"/>
        </w:rPr>
      </w:pPr>
    </w:p>
    <w:p>
      <w:pPr>
        <w:spacing w:after="0"/>
        <w:tabs>
          <w:tab w:leader="none" w:pos="5860" w:val="left"/>
          <w:tab w:leader="none" w:pos="6380" w:val="left"/>
        </w:tabs>
        <w:rPr>
          <w:sz w:val="20"/>
          <w:szCs w:val="20"/>
          <w:color w:val="auto"/>
        </w:rPr>
      </w:pPr>
      <w:r>
        <w:rPr>
          <w:rFonts w:ascii="Arial" w:cs="Arial" w:eastAsia="Arial" w:hAnsi="Arial"/>
          <w:sz w:val="16"/>
          <w:szCs w:val="16"/>
          <w:color w:val="auto"/>
        </w:rPr>
        <w:t>Dated: January 7,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RICHARD S. LINDAHL</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560" w:type="dxa"/>
            <w:vAlign w:val="bottom"/>
            <w:tcBorders>
              <w:top w:val="single" w:sz="8" w:color="auto"/>
            </w:tcBorders>
          </w:tcPr>
          <w:p>
            <w:pPr>
              <w:spacing w:after="0" w:line="172" w:lineRule="exact"/>
              <w:rPr>
                <w:sz w:val="20"/>
                <w:szCs w:val="20"/>
                <w:color w:val="auto"/>
              </w:rPr>
            </w:pPr>
            <w:r>
              <w:rPr>
                <w:rFonts w:ascii="Arial" w:cs="Arial" w:eastAsia="Arial" w:hAnsi="Arial"/>
                <w:sz w:val="16"/>
                <w:szCs w:val="16"/>
                <w:color w:val="auto"/>
              </w:rPr>
              <w:t>Name:</w:t>
            </w:r>
          </w:p>
        </w:tc>
        <w:tc>
          <w:tcPr>
            <w:tcW w:w="4480" w:type="dxa"/>
            <w:vAlign w:val="bottom"/>
            <w:tcBorders>
              <w:top w:val="single" w:sz="8" w:color="auto"/>
            </w:tcBorders>
          </w:tcPr>
          <w:p>
            <w:pPr>
              <w:ind w:left="140"/>
              <w:spacing w:after="0" w:line="172" w:lineRule="exact"/>
              <w:rPr>
                <w:sz w:val="20"/>
                <w:szCs w:val="20"/>
                <w:color w:val="auto"/>
              </w:rPr>
            </w:pPr>
            <w:r>
              <w:rPr>
                <w:rFonts w:ascii="Arial" w:cs="Arial" w:eastAsia="Arial" w:hAnsi="Arial"/>
                <w:sz w:val="16"/>
                <w:szCs w:val="16"/>
                <w:color w:val="auto"/>
              </w:rPr>
              <w:t>Richard S. Lindahl</w:t>
            </w:r>
          </w:p>
        </w:tc>
      </w:tr>
      <w:tr>
        <w:trPr>
          <w:trHeight w:val="205"/>
        </w:trPr>
        <w:tc>
          <w:tcPr>
            <w:tcW w:w="640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4480" w:type="dxa"/>
            <w:vAlign w:val="bottom"/>
          </w:tcPr>
          <w:p>
            <w:pPr>
              <w:ind w:left="140"/>
              <w:spacing w:after="0"/>
              <w:rPr>
                <w:sz w:val="20"/>
                <w:szCs w:val="20"/>
                <w:color w:val="auto"/>
              </w:rPr>
            </w:pPr>
            <w:r>
              <w:rPr>
                <w:rFonts w:ascii="Arial" w:cs="Arial" w:eastAsia="Arial" w:hAnsi="Arial"/>
                <w:sz w:val="16"/>
                <w:szCs w:val="16"/>
                <w:color w:val="auto"/>
                <w:w w:val="96"/>
              </w:rPr>
              <w:t>Executive Vice President, Chief Financial Officer and Treasurer</w:t>
            </w:r>
          </w:p>
        </w:tc>
      </w:tr>
      <w:tr>
        <w:trPr>
          <w:trHeight w:val="701"/>
        </w:trPr>
        <w:tc>
          <w:tcPr>
            <w:tcW w:w="6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303" w:right="2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80" w:type="dxa"/>
            <w:vAlign w:val="bottom"/>
          </w:tcPr>
          <w:p>
            <w:pPr>
              <w:ind w:left="2940"/>
              <w:spacing w:after="0"/>
              <w:rPr>
                <w:sz w:val="20"/>
                <w:szCs w:val="20"/>
                <w:color w:val="auto"/>
              </w:rPr>
            </w:pPr>
            <w:r>
              <w:rPr>
                <w:rFonts w:ascii="Arial" w:cs="Arial" w:eastAsia="Arial" w:hAnsi="Arial"/>
                <w:sz w:val="16"/>
                <w:szCs w:val="16"/>
                <w:b w:val="1"/>
                <w:bCs w:val="1"/>
                <w:color w:val="auto"/>
              </w:rPr>
              <w:t>EXHIBIT INDEX</w:t>
            </w:r>
          </w:p>
        </w:tc>
      </w:tr>
      <w:tr>
        <w:trPr>
          <w:trHeight w:val="352"/>
        </w:trPr>
        <w:tc>
          <w:tcPr>
            <w:tcW w:w="2160" w:type="dxa"/>
            <w:vAlign w:val="bottom"/>
            <w:gridSpan w:val="5"/>
          </w:tcPr>
          <w:p>
            <w:pPr>
              <w:spacing w:after="0"/>
              <w:rPr>
                <w:sz w:val="20"/>
                <w:szCs w:val="20"/>
                <w:color w:val="auto"/>
              </w:rPr>
            </w:pPr>
            <w:r>
              <w:rPr>
                <w:rFonts w:ascii="Arial" w:cs="Arial" w:eastAsia="Arial" w:hAnsi="Arial"/>
                <w:sz w:val="16"/>
                <w:szCs w:val="16"/>
                <w:b w:val="1"/>
                <w:bCs w:val="1"/>
                <w:color w:val="auto"/>
              </w:rPr>
              <w:t>Exhibit No.</w:t>
            </w:r>
          </w:p>
        </w:tc>
        <w:tc>
          <w:tcPr>
            <w:tcW w:w="9280" w:type="dxa"/>
            <w:vAlign w:val="bottom"/>
          </w:tcPr>
          <w:p>
            <w:pPr>
              <w:ind w:left="4240"/>
              <w:spacing w:after="0"/>
              <w:rPr>
                <w:sz w:val="20"/>
                <w:szCs w:val="20"/>
                <w:color w:val="auto"/>
              </w:rPr>
            </w:pPr>
            <w:r>
              <w:rPr>
                <w:rFonts w:ascii="Arial" w:cs="Arial" w:eastAsia="Arial" w:hAnsi="Arial"/>
                <w:sz w:val="16"/>
                <w:szCs w:val="16"/>
                <w:b w:val="1"/>
                <w:bCs w:val="1"/>
                <w:color w:val="auto"/>
              </w:rPr>
              <w:t>Description</w:t>
            </w:r>
          </w:p>
        </w:tc>
      </w:tr>
      <w:tr>
        <w:trPr>
          <w:trHeight w:val="156"/>
        </w:trPr>
        <w:tc>
          <w:tcPr>
            <w:tcW w:w="20" w:type="dxa"/>
            <w:vAlign w:val="bottom"/>
          </w:tcPr>
          <w:p>
            <w:pPr>
              <w:spacing w:after="0"/>
              <w:rPr>
                <w:sz w:val="13"/>
                <w:szCs w:val="13"/>
                <w:color w:val="auto"/>
              </w:rPr>
            </w:pPr>
          </w:p>
        </w:tc>
        <w:tc>
          <w:tcPr>
            <w:tcW w:w="1000" w:type="dxa"/>
            <w:vAlign w:val="bottom"/>
            <w:tcBorders>
              <w:top w:val="single" w:sz="8" w:color="auto"/>
            </w:tcBorders>
            <w:gridSpan w:val="2"/>
          </w:tcPr>
          <w:p>
            <w:pPr>
              <w:jc w:val="right"/>
              <w:spacing w:after="0" w:line="156" w:lineRule="exact"/>
              <w:rPr>
                <w:rFonts w:ascii="Arial" w:cs="Arial" w:eastAsia="Arial" w:hAnsi="Arial"/>
                <w:sz w:val="16"/>
                <w:szCs w:val="16"/>
                <w:color w:val="0000EE"/>
              </w:rPr>
            </w:pPr>
            <w:hyperlink w:anchor="page4">
              <w:r>
                <w:rPr>
                  <w:rFonts w:ascii="Arial" w:cs="Arial" w:eastAsia="Arial" w:hAnsi="Arial"/>
                  <w:sz w:val="16"/>
                  <w:szCs w:val="16"/>
                  <w:color w:val="0000EE"/>
                </w:rPr>
                <w:t>99.</w:t>
              </w:r>
              <w:r>
                <w:rPr>
                  <w:rFonts w:ascii="Arial" w:cs="Arial" w:eastAsia="Arial" w:hAnsi="Arial"/>
                  <w:sz w:val="16"/>
                  <w:szCs w:val="16"/>
                  <w:u w:val="single" w:color="auto"/>
                  <w:color w:val="0000EE"/>
                </w:rPr>
                <w:t>1</w:t>
              </w:r>
            </w:hyperlink>
          </w:p>
        </w:tc>
        <w:tc>
          <w:tcPr>
            <w:tcW w:w="7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9280" w:type="dxa"/>
            <w:vAlign w:val="bottom"/>
            <w:tcBorders>
              <w:top w:val="single" w:sz="8" w:color="auto"/>
            </w:tcBorders>
          </w:tcPr>
          <w:p>
            <w:pPr>
              <w:spacing w:after="0" w:line="156" w:lineRule="exact"/>
              <w:rPr>
                <w:sz w:val="20"/>
                <w:szCs w:val="20"/>
                <w:color w:val="auto"/>
              </w:rPr>
            </w:pPr>
            <w:r>
              <w:rPr>
                <w:rFonts w:ascii="Arial" w:cs="Arial" w:eastAsia="Arial" w:hAnsi="Arial"/>
                <w:sz w:val="16"/>
                <w:szCs w:val="16"/>
                <w:color w:val="auto"/>
              </w:rPr>
              <w:t>Press release, dated January 7, 2019.</w:t>
            </w:r>
          </w:p>
        </w:tc>
      </w:tr>
      <w:tr>
        <w:trPr>
          <w:trHeight w:val="160"/>
        </w:trPr>
        <w:tc>
          <w:tcPr>
            <w:tcW w:w="740" w:type="dxa"/>
            <w:vAlign w:val="bottom"/>
            <w:gridSpan w:val="2"/>
          </w:tcPr>
          <w:p>
            <w:pPr>
              <w:spacing w:after="0"/>
              <w:rPr>
                <w:sz w:val="13"/>
                <w:szCs w:val="13"/>
                <w:color w:val="auto"/>
              </w:rPr>
            </w:pPr>
          </w:p>
        </w:tc>
        <w:tc>
          <w:tcPr>
            <w:tcW w:w="280" w:type="dxa"/>
            <w:vAlign w:val="bottom"/>
            <w:tcBorders>
              <w:top w:val="single" w:sz="8" w:color="0000EE"/>
              <w:bottom w:val="single" w:sz="8" w:color="0000EE"/>
            </w:tcBorders>
          </w:tcPr>
          <w:p>
            <w:pPr>
              <w:jc w:val="right"/>
              <w:spacing w:after="0" w:line="148" w:lineRule="exact"/>
              <w:rPr>
                <w:rFonts w:ascii="Arial" w:cs="Arial" w:eastAsia="Arial" w:hAnsi="Arial"/>
                <w:sz w:val="16"/>
                <w:szCs w:val="16"/>
                <w:color w:val="0000EE"/>
                <w:w w:val="83"/>
              </w:rPr>
            </w:pPr>
            <w:hyperlink w:anchor="page7">
              <w:r>
                <w:rPr>
                  <w:rFonts w:ascii="Arial" w:cs="Arial" w:eastAsia="Arial" w:hAnsi="Arial"/>
                  <w:sz w:val="16"/>
                  <w:szCs w:val="16"/>
                  <w:color w:val="0000EE"/>
                  <w:w w:val="83"/>
                </w:rPr>
                <w:t>99.</w:t>
              </w:r>
              <w:r>
                <w:rPr>
                  <w:rFonts w:ascii="Arial" w:cs="Arial" w:eastAsia="Arial" w:hAnsi="Arial"/>
                  <w:sz w:val="16"/>
                  <w:szCs w:val="16"/>
                  <w:u w:val="single" w:color="auto"/>
                  <w:color w:val="0000EE"/>
                  <w:w w:val="83"/>
                </w:rPr>
                <w:t>2</w:t>
              </w:r>
            </w:hyperlink>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80" w:type="dxa"/>
            <w:vAlign w:val="bottom"/>
          </w:tcPr>
          <w:p>
            <w:pPr>
              <w:spacing w:after="0" w:line="148" w:lineRule="exact"/>
              <w:rPr>
                <w:sz w:val="20"/>
                <w:szCs w:val="20"/>
                <w:color w:val="auto"/>
              </w:rPr>
            </w:pPr>
            <w:r>
              <w:rPr>
                <w:rFonts w:ascii="Arial" w:cs="Arial" w:eastAsia="Arial" w:hAnsi="Arial"/>
                <w:sz w:val="16"/>
                <w:szCs w:val="16"/>
                <w:color w:val="auto"/>
              </w:rPr>
              <w:t>Corporate slide deck, dated January 8, 2019.</w:t>
            </w:r>
          </w:p>
        </w:tc>
      </w:tr>
    </w:tbl>
    <w:p>
      <w:pPr>
        <w:sectPr>
          <w:pgSz w:w="11900" w:h="16838" w:orient="portrait"/>
          <w:cols w:equalWidth="0" w:num="1">
            <w:col w:w="11440"/>
          </w:cols>
          <w:pgMar w:left="240" w:top="123"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EMERGENT BIOSOLUTIONS ANNOUNCES PRELIMINARY 2018 FINANCIAL RESULTS AND PROVIDES 2019 FINANCIAL FORECAST</w:t>
      </w:r>
    </w:p>
    <w:p>
      <w:pPr>
        <w:spacing w:after="0" w:line="180" w:lineRule="exact"/>
        <w:rPr>
          <w:sz w:val="20"/>
          <w:szCs w:val="20"/>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Full year 2018 preliminary performance in line with recently revised guidance</w:t>
      </w:r>
    </w:p>
    <w:p>
      <w:pPr>
        <w:spacing w:after="0" w:line="10"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Full year 2019 forecast reflects continued growth of organic business and anticipated positive impact of recent acquisitions</w:t>
      </w:r>
    </w:p>
    <w:p>
      <w:pPr>
        <w:spacing w:after="0" w:line="158"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b w:val="1"/>
          <w:bCs w:val="1"/>
          <w:color w:val="auto"/>
        </w:rPr>
        <w:t>GAITHERSBURG, Md., January 7, 2019</w:t>
      </w:r>
      <w:r>
        <w:rPr>
          <w:rFonts w:ascii="Arial" w:cs="Arial" w:eastAsia="Arial" w:hAnsi="Arial"/>
          <w:sz w:val="16"/>
          <w:szCs w:val="16"/>
          <w:color w:val="auto"/>
        </w:rPr>
        <w:t>—Emergent BioSolutions Inc. (NYSE: EBS) today announced selected preliminary unaudited 2018 financial results and its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forecast for 2019.</w:t>
      </w:r>
    </w:p>
    <w:p>
      <w:pPr>
        <w:spacing w:after="0" w:line="135" w:lineRule="exact"/>
        <w:rPr>
          <w:sz w:val="20"/>
          <w:szCs w:val="20"/>
          <w:color w:val="auto"/>
        </w:rPr>
      </w:pPr>
    </w:p>
    <w:p>
      <w:pPr>
        <w:ind w:right="80"/>
        <w:spacing w:after="0"/>
        <w:rPr>
          <w:sz w:val="20"/>
          <w:szCs w:val="20"/>
          <w:color w:val="auto"/>
        </w:rPr>
      </w:pPr>
      <w:r>
        <w:rPr>
          <w:rFonts w:ascii="Arial" w:cs="Arial" w:eastAsia="Arial" w:hAnsi="Arial"/>
          <w:sz w:val="16"/>
          <w:szCs w:val="16"/>
          <w:color w:val="auto"/>
        </w:rPr>
        <w:t>Daniel J. Abdun-Nabi, chief executive officer of Emergent BioSolutions, said, “Our preliminary results for 2018 reflect another year of strong financial and operational performance as we continue to execute our strategy. As we enter 2019, we anticipate revenues topping $1 billion for the first time in our corporate history driven by solid organic growth in each of our business units together with contributions from the products that we acquired in 2018. Importantly, we also anticipate significant growth in each of our profitability metrics while simultaneously expanding our portfolio of advanced stage product candidates that address serious global public health threats. We remain steadfast in our commitment to enable governments and commercial customers worldwide to address their public health threat preparedness and response needs as we further our mission of protecting and enhancing life.”</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PRELIMINARY 2018 FINANCIAL RESULTS (Unaudited)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providing the following preliminary, unaudited financial results for full year 2018.</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8740" w:type="dxa"/>
            <w:vAlign w:val="bottom"/>
            <w:tcBorders>
              <w:top w:val="single" w:sz="8" w:color="auto"/>
              <w:left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PRELIMINARY</w:t>
            </w:r>
          </w:p>
        </w:tc>
        <w:tc>
          <w:tcPr>
            <w:tcW w:w="220" w:type="dxa"/>
            <w:vAlign w:val="bottom"/>
            <w:tcBorders>
              <w:top w:val="single" w:sz="8" w:color="auto"/>
              <w:right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60"/>
              <w:spacing w:after="0" w:line="145" w:lineRule="exact"/>
              <w:rPr>
                <w:sz w:val="20"/>
                <w:szCs w:val="20"/>
                <w:color w:val="auto"/>
              </w:rPr>
            </w:pPr>
            <w:r>
              <w:rPr>
                <w:rFonts w:ascii="Arial" w:cs="Arial" w:eastAsia="Arial" w:hAnsi="Arial"/>
                <w:sz w:val="16"/>
                <w:szCs w:val="16"/>
                <w:b w:val="1"/>
                <w:bCs w:val="1"/>
                <w:color w:val="auto"/>
                <w:w w:val="88"/>
              </w:rPr>
              <w:t>Previous</w:t>
            </w:r>
          </w:p>
        </w:tc>
        <w:tc>
          <w:tcPr>
            <w:tcW w:w="1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8740" w:type="dxa"/>
            <w:vAlign w:val="bottom"/>
            <w:tcBorders>
              <w:left w:val="single" w:sz="8" w:color="auto"/>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Borders>
              <w:right w:val="single" w:sz="8" w:color="auto"/>
            </w:tcBorders>
            <w:gridSpan w:val="2"/>
            <w:vMerge w:val="restart"/>
          </w:tcPr>
          <w:p>
            <w:pPr>
              <w:jc w:val="center"/>
              <w:ind w:right="260"/>
              <w:spacing w:after="0" w:line="145" w:lineRule="exact"/>
              <w:rPr>
                <w:sz w:val="20"/>
                <w:szCs w:val="20"/>
                <w:color w:val="auto"/>
              </w:rPr>
            </w:pPr>
            <w:r>
              <w:rPr>
                <w:rFonts w:ascii="Arial" w:cs="Arial" w:eastAsia="Arial" w:hAnsi="Arial"/>
                <w:sz w:val="16"/>
                <w:szCs w:val="16"/>
                <w:b w:val="1"/>
                <w:bCs w:val="1"/>
                <w:color w:val="auto"/>
                <w:w w:val="89"/>
              </w:rPr>
              <w:t>Forecast</w:t>
            </w:r>
          </w:p>
        </w:tc>
        <w:tc>
          <w:tcPr>
            <w:tcW w:w="0" w:type="dxa"/>
            <w:vAlign w:val="bottom"/>
          </w:tcPr>
          <w:p>
            <w:pPr>
              <w:spacing w:after="0"/>
              <w:rPr>
                <w:sz w:val="1"/>
                <w:szCs w:val="1"/>
                <w:color w:val="auto"/>
              </w:rPr>
            </w:pPr>
          </w:p>
        </w:tc>
      </w:tr>
      <w:tr>
        <w:trPr>
          <w:trHeight w:val="84"/>
        </w:trPr>
        <w:tc>
          <w:tcPr>
            <w:tcW w:w="8740" w:type="dxa"/>
            <w:vAlign w:val="bottom"/>
            <w:tcBorders>
              <w:left w:val="single" w:sz="8" w:color="auto"/>
              <w:right w:val="single" w:sz="8" w:color="auto"/>
            </w:tcBorders>
            <w:vMerge w:val="restart"/>
          </w:tcPr>
          <w:p>
            <w:pPr>
              <w:ind w:left="20"/>
              <w:spacing w:after="0" w:line="156" w:lineRule="exact"/>
              <w:rPr>
                <w:sz w:val="20"/>
                <w:szCs w:val="20"/>
                <w:color w:val="auto"/>
              </w:rPr>
            </w:pPr>
            <w:r>
              <w:rPr>
                <w:rFonts w:ascii="Arial" w:cs="Arial" w:eastAsia="Arial" w:hAnsi="Arial"/>
                <w:sz w:val="16"/>
                <w:szCs w:val="16"/>
                <w:color w:val="auto"/>
              </w:rPr>
              <w:t>(in millions)</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vMerge w:val="restart"/>
          </w:tcPr>
          <w:p>
            <w:pPr>
              <w:jc w:val="right"/>
              <w:ind w:right="140"/>
              <w:spacing w:after="0" w:line="156" w:lineRule="exact"/>
              <w:rPr>
                <w:sz w:val="20"/>
                <w:szCs w:val="20"/>
                <w:color w:val="auto"/>
              </w:rPr>
            </w:pPr>
            <w:r>
              <w:rPr>
                <w:rFonts w:ascii="Arial" w:cs="Arial" w:eastAsia="Arial" w:hAnsi="Arial"/>
                <w:sz w:val="16"/>
                <w:szCs w:val="16"/>
                <w:b w:val="1"/>
                <w:bCs w:val="1"/>
                <w:color w:val="auto"/>
              </w:rPr>
              <w:t>RESULTS</w:t>
            </w:r>
          </w:p>
        </w:tc>
        <w:tc>
          <w:tcPr>
            <w:tcW w:w="2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8740" w:type="dxa"/>
            <w:vAlign w:val="bottom"/>
            <w:tcBorders>
              <w:left w:val="single" w:sz="8" w:color="auto"/>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Borders>
              <w:right w:val="single" w:sz="8" w:color="auto"/>
            </w:tcBorders>
            <w:gridSpan w:val="2"/>
            <w:vMerge w:val="restart"/>
          </w:tcPr>
          <w:p>
            <w:pPr>
              <w:jc w:val="center"/>
              <w:ind w:right="260"/>
              <w:spacing w:after="0" w:line="145" w:lineRule="exact"/>
              <w:rPr>
                <w:sz w:val="20"/>
                <w:szCs w:val="20"/>
                <w:color w:val="auto"/>
              </w:rPr>
            </w:pPr>
            <w:r>
              <w:rPr>
                <w:rFonts w:ascii="Arial" w:cs="Arial" w:eastAsia="Arial" w:hAnsi="Arial"/>
                <w:sz w:val="16"/>
                <w:szCs w:val="16"/>
                <w:b w:val="1"/>
                <w:bCs w:val="1"/>
                <w:color w:val="auto"/>
                <w:w w:val="88"/>
              </w:rPr>
              <w:t>(As of</w:t>
            </w:r>
          </w:p>
        </w:tc>
        <w:tc>
          <w:tcPr>
            <w:tcW w:w="0" w:type="dxa"/>
            <w:vAlign w:val="bottom"/>
          </w:tcPr>
          <w:p>
            <w:pPr>
              <w:spacing w:after="0"/>
              <w:rPr>
                <w:sz w:val="1"/>
                <w:szCs w:val="1"/>
                <w:color w:val="auto"/>
              </w:rPr>
            </w:pPr>
          </w:p>
        </w:tc>
      </w:tr>
      <w:tr>
        <w:trPr>
          <w:trHeight w:val="72"/>
        </w:trPr>
        <w:tc>
          <w:tcPr>
            <w:tcW w:w="8740" w:type="dxa"/>
            <w:vAlign w:val="bottom"/>
            <w:tcBorders>
              <w:left w:val="single" w:sz="8" w:color="auto"/>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1"/>
              </w:rPr>
              <w:t>(As of 1/7/2019)</w:t>
            </w:r>
          </w:p>
        </w:tc>
        <w:tc>
          <w:tcPr>
            <w:tcW w:w="2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8740" w:type="dxa"/>
            <w:vAlign w:val="bottom"/>
            <w:tcBorders>
              <w:left w:val="single" w:sz="8" w:color="auto"/>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center"/>
              <w:ind w:right="60"/>
              <w:spacing w:after="0" w:line="168" w:lineRule="exact"/>
              <w:rPr>
                <w:sz w:val="20"/>
                <w:szCs w:val="20"/>
                <w:color w:val="auto"/>
              </w:rPr>
            </w:pPr>
            <w:r>
              <w:rPr>
                <w:rFonts w:ascii="Arial" w:cs="Arial" w:eastAsia="Arial" w:hAnsi="Arial"/>
                <w:sz w:val="16"/>
                <w:szCs w:val="16"/>
                <w:b w:val="1"/>
                <w:bCs w:val="1"/>
                <w:color w:val="auto"/>
                <w:w w:val="88"/>
              </w:rPr>
              <w:t>11/1/2018)</w:t>
            </w: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874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740" w:type="dxa"/>
            <w:vAlign w:val="bottom"/>
            <w:tcBorders>
              <w:left w:val="single" w:sz="8" w:color="auto"/>
              <w:right w:val="single" w:sz="8" w:color="auto"/>
            </w:tcBorders>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Total Revenues</w:t>
            </w:r>
          </w:p>
        </w:tc>
        <w:tc>
          <w:tcPr>
            <w:tcW w:w="220" w:type="dxa"/>
            <w:vAlign w:val="bottom"/>
            <w:gridSpan w:val="2"/>
            <w:shd w:val="clear" w:color="auto" w:fill="CCEEFF"/>
          </w:tcPr>
          <w:p>
            <w:pPr>
              <w:ind w:left="80"/>
              <w:spacing w:after="0" w:line="181" w:lineRule="exact"/>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779 -- $784</w:t>
            </w:r>
          </w:p>
        </w:tc>
        <w:tc>
          <w:tcPr>
            <w:tcW w:w="22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770 -- $800</w:t>
            </w:r>
          </w:p>
        </w:tc>
        <w:tc>
          <w:tcPr>
            <w:tcW w:w="0" w:type="dxa"/>
            <w:vAlign w:val="bottom"/>
          </w:tcPr>
          <w:p>
            <w:pPr>
              <w:spacing w:after="0"/>
              <w:rPr>
                <w:sz w:val="1"/>
                <w:szCs w:val="1"/>
                <w:color w:val="auto"/>
              </w:rPr>
            </w:pPr>
          </w:p>
        </w:tc>
      </w:tr>
      <w:tr>
        <w:trPr>
          <w:trHeight w:val="24"/>
        </w:trPr>
        <w:tc>
          <w:tcPr>
            <w:tcW w:w="8740" w:type="dxa"/>
            <w:vAlign w:val="bottom"/>
            <w:tcBorders>
              <w:left w:val="single" w:sz="8" w:color="auto"/>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Pretax Income</w:t>
            </w:r>
          </w:p>
        </w:tc>
        <w:tc>
          <w:tcPr>
            <w:tcW w:w="22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79 -- $83</w:t>
            </w:r>
          </w:p>
        </w:tc>
        <w:tc>
          <w:tcPr>
            <w:tcW w:w="220" w:type="dxa"/>
            <w:vAlign w:val="bottom"/>
            <w:tcBorders>
              <w:right w:val="single" w:sz="8" w:color="auto"/>
            </w:tcBorders>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75 -- $90</w:t>
            </w:r>
          </w:p>
        </w:tc>
        <w:tc>
          <w:tcPr>
            <w:tcW w:w="0" w:type="dxa"/>
            <w:vAlign w:val="bottom"/>
          </w:tcPr>
          <w:p>
            <w:pPr>
              <w:spacing w:after="0"/>
              <w:rPr>
                <w:sz w:val="1"/>
                <w:szCs w:val="1"/>
                <w:color w:val="auto"/>
              </w:rPr>
            </w:pPr>
          </w:p>
        </w:tc>
      </w:tr>
      <w:tr>
        <w:trPr>
          <w:trHeight w:val="24"/>
        </w:trPr>
        <w:tc>
          <w:tcPr>
            <w:tcW w:w="8740" w:type="dxa"/>
            <w:vAlign w:val="bottom"/>
            <w:tcBorders>
              <w:left w:val="single" w:sz="8" w:color="auto"/>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7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Net Income </w:t>
            </w:r>
            <w:r>
              <w:rPr>
                <w:rFonts w:ascii="Arial" w:cs="Arial" w:eastAsia="Arial" w:hAnsi="Arial"/>
                <w:sz w:val="16"/>
                <w:szCs w:val="16"/>
                <w:i w:val="1"/>
                <w:iCs w:val="1"/>
                <w:color w:val="auto"/>
              </w:rPr>
              <w:t>(1)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60 -- $64</w:t>
            </w:r>
          </w:p>
        </w:tc>
        <w:tc>
          <w:tcPr>
            <w:tcW w:w="22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60 -- $70</w:t>
            </w:r>
          </w:p>
        </w:tc>
        <w:tc>
          <w:tcPr>
            <w:tcW w:w="0" w:type="dxa"/>
            <w:vAlign w:val="bottom"/>
          </w:tcPr>
          <w:p>
            <w:pPr>
              <w:spacing w:after="0"/>
              <w:rPr>
                <w:sz w:val="1"/>
                <w:szCs w:val="1"/>
                <w:color w:val="auto"/>
              </w:rPr>
            </w:pPr>
          </w:p>
        </w:tc>
      </w:tr>
      <w:tr>
        <w:trPr>
          <w:trHeight w:val="24"/>
        </w:trPr>
        <w:tc>
          <w:tcPr>
            <w:tcW w:w="8740" w:type="dxa"/>
            <w:vAlign w:val="bottom"/>
            <w:tcBorders>
              <w:left w:val="single" w:sz="8" w:color="auto"/>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 xml:space="preserve">Adjusted Net Income </w:t>
            </w:r>
            <w:r>
              <w:rPr>
                <w:rFonts w:ascii="Arial" w:cs="Arial" w:eastAsia="Arial" w:hAnsi="Arial"/>
                <w:sz w:val="16"/>
                <w:szCs w:val="16"/>
                <w:i w:val="1"/>
                <w:iCs w:val="1"/>
                <w:color w:val="auto"/>
              </w:rPr>
              <w:t>(1)</w:t>
            </w:r>
          </w:p>
        </w:tc>
        <w:tc>
          <w:tcPr>
            <w:tcW w:w="22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117 -- $121</w:t>
            </w:r>
          </w:p>
        </w:tc>
        <w:tc>
          <w:tcPr>
            <w:tcW w:w="220" w:type="dxa"/>
            <w:vAlign w:val="bottom"/>
            <w:tcBorders>
              <w:right w:val="single" w:sz="8" w:color="auto"/>
            </w:tcBorders>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105 -- $115</w:t>
            </w:r>
          </w:p>
        </w:tc>
        <w:tc>
          <w:tcPr>
            <w:tcW w:w="0" w:type="dxa"/>
            <w:vAlign w:val="bottom"/>
          </w:tcPr>
          <w:p>
            <w:pPr>
              <w:spacing w:after="0"/>
              <w:rPr>
                <w:sz w:val="1"/>
                <w:szCs w:val="1"/>
                <w:color w:val="auto"/>
              </w:rPr>
            </w:pPr>
          </w:p>
        </w:tc>
      </w:tr>
      <w:tr>
        <w:trPr>
          <w:trHeight w:val="24"/>
        </w:trPr>
        <w:tc>
          <w:tcPr>
            <w:tcW w:w="8740" w:type="dxa"/>
            <w:vAlign w:val="bottom"/>
            <w:tcBorders>
              <w:left w:val="single" w:sz="8" w:color="auto"/>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7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EBITDA </w:t>
            </w:r>
            <w:r>
              <w:rPr>
                <w:rFonts w:ascii="Arial" w:cs="Arial" w:eastAsia="Arial" w:hAnsi="Arial"/>
                <w:sz w:val="16"/>
                <w:szCs w:val="16"/>
                <w:i w:val="1"/>
                <w:iCs w:val="1"/>
                <w:color w:val="auto"/>
              </w:rPr>
              <w:t>(1)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152 -- $156</w:t>
            </w:r>
          </w:p>
        </w:tc>
        <w:tc>
          <w:tcPr>
            <w:tcW w:w="22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155 -- $165</w:t>
            </w:r>
          </w:p>
        </w:tc>
        <w:tc>
          <w:tcPr>
            <w:tcW w:w="0" w:type="dxa"/>
            <w:vAlign w:val="bottom"/>
          </w:tcPr>
          <w:p>
            <w:pPr>
              <w:spacing w:after="0"/>
              <w:rPr>
                <w:sz w:val="1"/>
                <w:szCs w:val="1"/>
                <w:color w:val="auto"/>
              </w:rPr>
            </w:pPr>
          </w:p>
        </w:tc>
      </w:tr>
      <w:tr>
        <w:trPr>
          <w:trHeight w:val="24"/>
        </w:trPr>
        <w:tc>
          <w:tcPr>
            <w:tcW w:w="8740" w:type="dxa"/>
            <w:vAlign w:val="bottom"/>
            <w:tcBorders>
              <w:left w:val="single" w:sz="8" w:color="auto"/>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i w:val="1"/>
                <w:iCs w:val="1"/>
                <w:color w:val="auto"/>
              </w:rPr>
              <w:t>(1)</w:t>
            </w:r>
          </w:p>
        </w:tc>
        <w:tc>
          <w:tcPr>
            <w:tcW w:w="22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198 -- $202</w:t>
            </w:r>
          </w:p>
        </w:tc>
        <w:tc>
          <w:tcPr>
            <w:tcW w:w="220" w:type="dxa"/>
            <w:vAlign w:val="bottom"/>
            <w:tcBorders>
              <w:right w:val="single" w:sz="8" w:color="auto"/>
            </w:tcBorders>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190 -- $200</w:t>
            </w:r>
          </w:p>
        </w:tc>
        <w:tc>
          <w:tcPr>
            <w:tcW w:w="0" w:type="dxa"/>
            <w:vAlign w:val="bottom"/>
          </w:tcPr>
          <w:p>
            <w:pPr>
              <w:spacing w:after="0"/>
              <w:rPr>
                <w:sz w:val="1"/>
                <w:szCs w:val="1"/>
                <w:color w:val="auto"/>
              </w:rPr>
            </w:pPr>
          </w:p>
        </w:tc>
      </w:tr>
      <w:tr>
        <w:trPr>
          <w:trHeight w:val="24"/>
        </w:trPr>
        <w:tc>
          <w:tcPr>
            <w:tcW w:w="8740" w:type="dxa"/>
            <w:vAlign w:val="bottom"/>
            <w:tcBorders>
              <w:left w:val="single" w:sz="8" w:color="auto"/>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720" w:hanging="436"/>
        <w:spacing w:after="0"/>
        <w:tabs>
          <w:tab w:leader="none" w:pos="7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See “Reconciliation of Net Income to Adjusted Net Income, EBITDA and Adjusted EBITDA” for a definition of terms and a reconciliation table.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Total Revenue</w:t>
      </w:r>
    </w:p>
    <w:p>
      <w:pPr>
        <w:spacing w:after="0" w:line="10" w:lineRule="exact"/>
        <w:rPr>
          <w:sz w:val="20"/>
          <w:szCs w:val="20"/>
          <w:color w:val="auto"/>
        </w:rPr>
      </w:pPr>
    </w:p>
    <w:p>
      <w:pPr>
        <w:ind w:right="40"/>
        <w:spacing w:after="0" w:line="210" w:lineRule="auto"/>
        <w:rPr>
          <w:sz w:val="20"/>
          <w:szCs w:val="20"/>
          <w:color w:val="auto"/>
        </w:rPr>
      </w:pPr>
      <w:r>
        <w:rPr>
          <w:rFonts w:ascii="Arial" w:cs="Arial" w:eastAsia="Arial" w:hAnsi="Arial"/>
          <w:sz w:val="16"/>
          <w:szCs w:val="16"/>
          <w:color w:val="auto"/>
        </w:rPr>
        <w:t>For the full year 2018, the company anticipates total revenue of $779 to $784 million, the midpoint of which represents a $221 million or 39% increase from 2017. This annual increase is due primarily to the contribution of sales of ACAM2000</w:t>
      </w:r>
      <w:r>
        <w:rPr>
          <w:rFonts w:ascii="Arial" w:cs="Arial" w:eastAsia="Arial" w:hAnsi="Arial"/>
          <w:sz w:val="26"/>
          <w:szCs w:val="26"/>
          <w:color w:val="auto"/>
          <w:vertAlign w:val="superscript"/>
        </w:rPr>
        <w:t>®</w:t>
      </w:r>
      <w:r>
        <w:rPr>
          <w:rFonts w:ascii="Arial" w:cs="Arial" w:eastAsia="Arial" w:hAnsi="Arial"/>
          <w:sz w:val="16"/>
          <w:szCs w:val="16"/>
          <w:color w:val="auto"/>
        </w:rPr>
        <w:t>, (Smallpox (Vaccinia) Vaccine, Live), raxibacumab and NARCAN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(naloxone HCl) Nasal Spray in 2018 as well as higher CMO revenue, offset by lower BioThrax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(Anthrax Vaccine Adsorbed) revenue.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 (GAAP and Adjusted)</w:t>
      </w:r>
    </w:p>
    <w:p>
      <w:pPr>
        <w:spacing w:after="0" w:line="10" w:lineRule="exact"/>
        <w:rPr>
          <w:sz w:val="20"/>
          <w:szCs w:val="20"/>
          <w:color w:val="auto"/>
        </w:rPr>
      </w:pPr>
    </w:p>
    <w:p>
      <w:pPr>
        <w:jc w:val="both"/>
        <w:ind w:right="60"/>
        <w:spacing w:after="0" w:line="263" w:lineRule="auto"/>
        <w:rPr>
          <w:sz w:val="20"/>
          <w:szCs w:val="20"/>
          <w:color w:val="auto"/>
        </w:rPr>
      </w:pPr>
      <w:r>
        <w:rPr>
          <w:rFonts w:ascii="Arial" w:cs="Arial" w:eastAsia="Arial" w:hAnsi="Arial"/>
          <w:sz w:val="15"/>
          <w:szCs w:val="15"/>
          <w:color w:val="auto"/>
        </w:rPr>
        <w:t>For the full year 2018, the company anticipates net income of $60 to $64 million and adjusted net income of $117 to $121 million. The midpoint of the adjusted net income range represents a $23 million or 24% increase from 2017 and reflects the impact of higher product sales and CMO services revenue as well as the positive impact of a lower estimated effective tax rate. (See “Reconciliation of Net Income to Adjusted Net Income and EBITDA” for a definition of terms and a reconciliation table.)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Note</w:t>
      </w:r>
    </w:p>
    <w:p>
      <w:pPr>
        <w:spacing w:after="0" w:line="10" w:lineRule="exact"/>
        <w:rPr>
          <w:sz w:val="20"/>
          <w:szCs w:val="20"/>
          <w:color w:val="auto"/>
        </w:rPr>
      </w:pPr>
    </w:p>
    <w:p>
      <w:pPr>
        <w:ind w:right="600"/>
        <w:spacing w:after="0" w:line="312" w:lineRule="auto"/>
        <w:rPr>
          <w:sz w:val="20"/>
          <w:szCs w:val="20"/>
          <w:color w:val="auto"/>
        </w:rPr>
      </w:pPr>
      <w:r>
        <w:rPr>
          <w:rFonts w:ascii="Arial" w:cs="Arial" w:eastAsia="Arial" w:hAnsi="Arial"/>
          <w:sz w:val="14"/>
          <w:szCs w:val="14"/>
          <w:b w:val="1"/>
          <w:bCs w:val="1"/>
          <w:color w:val="auto"/>
        </w:rPr>
        <w:t>The preliminary 2018 financial results are subject to revision and will be finalized upon completion of the company’s external audit, which is anticipated in late February 2019. Once the external audit is completed, the company may report financial results that could differ, and the differences could be material.</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2019 FINANCIAL FORECAST</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1018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(in millions)</w:t>
            </w: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rPr>
              <w:t>FULL YEAR</w:t>
            </w:r>
          </w:p>
        </w:tc>
        <w:tc>
          <w:tcPr>
            <w:tcW w:w="0" w:type="dxa"/>
            <w:vAlign w:val="bottom"/>
          </w:tcPr>
          <w:p>
            <w:pPr>
              <w:spacing w:after="0"/>
              <w:rPr>
                <w:sz w:val="1"/>
                <w:szCs w:val="1"/>
                <w:color w:val="auto"/>
              </w:rPr>
            </w:pPr>
          </w:p>
        </w:tc>
      </w:tr>
      <w:tr>
        <w:trPr>
          <w:trHeight w:val="180"/>
        </w:trPr>
        <w:tc>
          <w:tcPr>
            <w:tcW w:w="10180" w:type="dxa"/>
            <w:vAlign w:val="bottom"/>
            <w:tcBorders>
              <w:left w:val="single" w:sz="8" w:color="auto"/>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right w:val="single" w:sz="8" w:color="auto"/>
            </w:tcBorders>
          </w:tcPr>
          <w:p>
            <w:pPr>
              <w:jc w:val="center"/>
              <w:ind w:right="120"/>
              <w:spacing w:after="0" w:line="181" w:lineRule="exact"/>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197"/>
        </w:trPr>
        <w:tc>
          <w:tcPr>
            <w:tcW w:w="1018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w w:val="90"/>
              </w:rPr>
              <w:t>(As of 1/7/2019)</w:t>
            </w:r>
          </w:p>
        </w:tc>
        <w:tc>
          <w:tcPr>
            <w:tcW w:w="0" w:type="dxa"/>
            <w:vAlign w:val="bottom"/>
          </w:tcPr>
          <w:p>
            <w:pPr>
              <w:spacing w:after="0"/>
              <w:rPr>
                <w:sz w:val="1"/>
                <w:szCs w:val="1"/>
                <w:color w:val="auto"/>
              </w:rPr>
            </w:pPr>
          </w:p>
        </w:tc>
      </w:tr>
      <w:tr>
        <w:trPr>
          <w:trHeight w:val="20"/>
        </w:trPr>
        <w:tc>
          <w:tcPr>
            <w:tcW w:w="10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180" w:type="dxa"/>
            <w:vAlign w:val="bottom"/>
            <w:tcBorders>
              <w:left w:val="single" w:sz="8" w:color="auto"/>
              <w:right w:val="single" w:sz="8" w:color="auto"/>
            </w:tcBorders>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Total Revenues</w:t>
            </w:r>
          </w:p>
        </w:tc>
        <w:tc>
          <w:tcPr>
            <w:tcW w:w="1260" w:type="dxa"/>
            <w:vAlign w:val="bottom"/>
            <w:tcBorders>
              <w:right w:val="single" w:sz="8" w:color="auto"/>
            </w:tcBorders>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b w:val="1"/>
                <w:bCs w:val="1"/>
                <w:color w:val="auto"/>
                <w:w w:val="91"/>
              </w:rPr>
              <w:t xml:space="preserve">$ 1,060 -- </w:t>
            </w:r>
            <w:r>
              <w:rPr>
                <w:rFonts w:ascii="Arial" w:cs="Arial" w:eastAsia="Arial" w:hAnsi="Arial"/>
                <w:sz w:val="16"/>
                <w:szCs w:val="16"/>
                <w:b w:val="1"/>
                <w:bCs w:val="1"/>
                <w:u w:val="single" w:color="auto"/>
                <w:color w:val="auto"/>
                <w:w w:val="91"/>
              </w:rPr>
              <w:t>$</w:t>
            </w:r>
            <w:r>
              <w:rPr>
                <w:rFonts w:ascii="Arial" w:cs="Arial" w:eastAsia="Arial" w:hAnsi="Arial"/>
                <w:sz w:val="16"/>
                <w:szCs w:val="16"/>
                <w:b w:val="1"/>
                <w:bCs w:val="1"/>
                <w:color w:val="auto"/>
                <w:w w:val="91"/>
              </w:rPr>
              <w:t>1,140</w:t>
            </w:r>
          </w:p>
        </w:tc>
        <w:tc>
          <w:tcPr>
            <w:tcW w:w="0" w:type="dxa"/>
            <w:vAlign w:val="bottom"/>
          </w:tcPr>
          <w:p>
            <w:pPr>
              <w:spacing w:after="0"/>
              <w:rPr>
                <w:sz w:val="1"/>
                <w:szCs w:val="1"/>
                <w:color w:val="auto"/>
              </w:rPr>
            </w:pPr>
          </w:p>
        </w:tc>
      </w:tr>
      <w:tr>
        <w:trPr>
          <w:trHeight w:val="24"/>
        </w:trPr>
        <w:tc>
          <w:tcPr>
            <w:tcW w:w="10180" w:type="dxa"/>
            <w:vAlign w:val="bottom"/>
            <w:tcBorders>
              <w:left w:val="single" w:sz="8" w:color="auto"/>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 xml:space="preserve">Net Income </w:t>
            </w:r>
            <w:r>
              <w:rPr>
                <w:rFonts w:ascii="Arial" w:cs="Arial" w:eastAsia="Arial" w:hAnsi="Arial"/>
                <w:sz w:val="16"/>
                <w:szCs w:val="16"/>
                <w:i w:val="1"/>
                <w:iCs w:val="1"/>
                <w:color w:val="auto"/>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80 -- $110</w:t>
            </w:r>
          </w:p>
        </w:tc>
        <w:tc>
          <w:tcPr>
            <w:tcW w:w="0" w:type="dxa"/>
            <w:vAlign w:val="bottom"/>
          </w:tcPr>
          <w:p>
            <w:pPr>
              <w:spacing w:after="0"/>
              <w:rPr>
                <w:sz w:val="1"/>
                <w:szCs w:val="1"/>
                <w:color w:val="auto"/>
              </w:rPr>
            </w:pPr>
          </w:p>
        </w:tc>
      </w:tr>
      <w:tr>
        <w:trPr>
          <w:trHeight w:val="196"/>
        </w:trPr>
        <w:tc>
          <w:tcPr>
            <w:tcW w:w="1018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Adjusted Net Income </w:t>
            </w:r>
            <w:r>
              <w:rPr>
                <w:rFonts w:ascii="Arial" w:cs="Arial" w:eastAsia="Arial" w:hAnsi="Arial"/>
                <w:sz w:val="16"/>
                <w:szCs w:val="16"/>
                <w:i w:val="1"/>
                <w:iCs w:val="1"/>
                <w:color w:val="auto"/>
              </w:rPr>
              <w:t>(1)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150 -- $180</w:t>
            </w:r>
          </w:p>
        </w:tc>
        <w:tc>
          <w:tcPr>
            <w:tcW w:w="0" w:type="dxa"/>
            <w:vAlign w:val="bottom"/>
          </w:tcPr>
          <w:p>
            <w:pPr>
              <w:spacing w:after="0"/>
              <w:rPr>
                <w:sz w:val="1"/>
                <w:szCs w:val="1"/>
                <w:color w:val="auto"/>
              </w:rPr>
            </w:pPr>
          </w:p>
        </w:tc>
      </w:tr>
      <w:tr>
        <w:trPr>
          <w:trHeight w:val="196"/>
        </w:trPr>
        <w:tc>
          <w:tcPr>
            <w:tcW w:w="10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 xml:space="preserve">EBITDA </w:t>
            </w:r>
            <w:r>
              <w:rPr>
                <w:rFonts w:ascii="Arial" w:cs="Arial" w:eastAsia="Arial" w:hAnsi="Arial"/>
                <w:sz w:val="16"/>
                <w:szCs w:val="16"/>
                <w:i w:val="1"/>
                <w:iCs w:val="1"/>
                <w:color w:val="auto"/>
              </w:rPr>
              <w:t>(1)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255 -- $285</w:t>
            </w:r>
          </w:p>
        </w:tc>
        <w:tc>
          <w:tcPr>
            <w:tcW w:w="0" w:type="dxa"/>
            <w:vAlign w:val="bottom"/>
          </w:tcPr>
          <w:p>
            <w:pPr>
              <w:spacing w:after="0"/>
              <w:rPr>
                <w:sz w:val="1"/>
                <w:szCs w:val="1"/>
                <w:color w:val="auto"/>
              </w:rPr>
            </w:pPr>
          </w:p>
        </w:tc>
      </w:tr>
      <w:tr>
        <w:trPr>
          <w:trHeight w:val="196"/>
        </w:trPr>
        <w:tc>
          <w:tcPr>
            <w:tcW w:w="1018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i w:val="1"/>
                <w:iCs w:val="1"/>
                <w:color w:val="auto"/>
              </w:rPr>
              <w:t>(1)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280 -- $310</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720" w:hanging="436"/>
        <w:spacing w:after="0"/>
        <w:tabs>
          <w:tab w:leader="none" w:pos="7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See “Reconciliation of Net Income to Adjusted Net Income, EBITDA and Adjusted EBITDA” for a definition of terms and a reconciliation table.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For the full year of 2019, the company’s financial forecast includes the impact of the following items:</w:t>
      </w:r>
    </w:p>
    <w:p>
      <w:pPr>
        <w:spacing w:after="0" w:line="10" w:lineRule="exact"/>
        <w:rPr>
          <w:sz w:val="20"/>
          <w:szCs w:val="20"/>
          <w:color w:val="auto"/>
        </w:rPr>
      </w:pPr>
    </w:p>
    <w:p>
      <w:pPr>
        <w:ind w:left="580" w:right="140" w:hanging="296"/>
        <w:spacing w:after="0" w:line="235"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continued deliveries of BioThrax to the Strategic National Stockpile (SNS) under the current procurement contract with the Centers for Disease Control and Prevention (CDC), (the contract and the SNS are now managed by the Office of the Assistant Secretary for Preparedness and Response (ASPR));</w:t>
      </w:r>
    </w:p>
    <w:p>
      <w:pPr>
        <w:ind w:left="580" w:right="200" w:hanging="296"/>
        <w:spacing w:after="0" w:line="235"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initial deliveries of NuThrax™ (anthrax vaccine adsorbed with CPG 7909 adjuvant) to the SNS following expected Emergency Use Authorization pre-approval by the U.S. Food and Drug Administration (FDA) under the company’s current development and procurement contract with the Biomedical Advanced Research and Development Authority (BARDA);</w:t>
      </w:r>
    </w:p>
    <w:p>
      <w:pPr>
        <w:ind w:left="580" w:right="160" w:hanging="296"/>
        <w:spacing w:after="0" w:line="183"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full year sales of NARCAN Nasal Spray, Vaxchora</w:t>
      </w:r>
      <w:r>
        <w:rPr>
          <w:rFonts w:ascii="Arial" w:cs="Arial" w:eastAsia="Arial" w:hAnsi="Arial"/>
          <w:sz w:val="25"/>
          <w:szCs w:val="25"/>
          <w:color w:val="auto"/>
          <w:vertAlign w:val="superscript"/>
        </w:rPr>
        <w:t>®</w:t>
      </w:r>
      <w:r>
        <w:rPr>
          <w:rFonts w:ascii="Arial" w:cs="Arial" w:eastAsia="Arial" w:hAnsi="Arial"/>
          <w:sz w:val="16"/>
          <w:szCs w:val="16"/>
          <w:color w:val="auto"/>
        </w:rPr>
        <w:t xml:space="preserve"> (Cholera Vaccine, Live, Oral), and Vivotif</w:t>
      </w:r>
      <w:r>
        <w:rPr>
          <w:rFonts w:ascii="Arial" w:cs="Arial" w:eastAsia="Arial" w:hAnsi="Arial"/>
          <w:sz w:val="25"/>
          <w:szCs w:val="25"/>
          <w:color w:val="auto"/>
          <w:vertAlign w:val="superscript"/>
        </w:rPr>
        <w:t>®</w:t>
      </w:r>
      <w:r>
        <w:rPr>
          <w:rFonts w:ascii="Arial" w:cs="Arial" w:eastAsia="Arial" w:hAnsi="Arial"/>
          <w:sz w:val="16"/>
          <w:szCs w:val="16"/>
          <w:color w:val="auto"/>
        </w:rPr>
        <w:t xml:space="preserve"> (Typhoid Vaccine Live Oral Ty21a), all of which were acquired in the fourth quarter of 2018;</w:t>
      </w:r>
    </w:p>
    <w:p>
      <w:pPr>
        <w:ind w:left="580" w:hanging="296"/>
        <w:spacing w:after="0" w:line="235"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deliveries of ACAM2000 to the SNS under the anticipated follow-on procurement contract with the ASPR;</w:t>
      </w:r>
    </w:p>
    <w:p>
      <w:pPr>
        <w:ind w:left="580" w:hanging="296"/>
        <w:spacing w:after="0" w:line="235"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deliveries of raxibacumab to the SNS under the current procurement contract with BARDA;</w:t>
      </w:r>
    </w:p>
    <w:p>
      <w:pPr>
        <w:ind w:left="580" w:hanging="296"/>
        <w:spacing w:after="0" w:line="235"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domestic and international sales of the other medical countermeasures that comprise Other Product sales;</w:t>
      </w:r>
    </w:p>
    <w:p>
      <w:pPr>
        <w:ind w:left="580" w:hanging="296"/>
        <w:spacing w:after="0" w:line="235"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continued CDMO services revenue;</w:t>
      </w:r>
    </w:p>
    <w:p>
      <w:pPr>
        <w:ind w:left="580" w:hanging="296"/>
        <w:spacing w:after="0" w:line="235"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increased Contract &amp; Grant revenue due to anticipated increased work related to development projects funded by third parties; and</w:t>
      </w:r>
    </w:p>
    <w:p>
      <w:pPr>
        <w:ind w:left="580" w:right="60" w:hanging="296"/>
        <w:spacing w:after="0" w:line="243"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continued investment in discretionary development projects funded by the company targeting opportunities in medical countermeasures for emerging infectious diseases and other public health threats.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outlook for 2019 does not include estimates for potential new corporate development or other M&amp;A transactions.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2019 REVENUE FORECAST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For the first quarter of 2019, the company anticipates total revenues of $185 to $205 million.</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PRESENTATION WEBCAST</w:t>
      </w:r>
    </w:p>
    <w:p>
      <w:pPr>
        <w:spacing w:after="0" w:line="14"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The company will provide an update on the current business and discuss preliminary 2018 financial results, the forecast and corporate goals for 2019, and long-term goals for 2020 during its presentation at the 37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Annual J.P. Morgan Healthcare Conference on January 8, 2019 at 11:00 AM Pacific time.</w:t>
      </w:r>
    </w:p>
    <w:p>
      <w:pPr>
        <w:sectPr>
          <w:pgSz w:w="11900" w:h="16838" w:orient="portrait"/>
          <w:cols w:equalWidth="0" w:num="1">
            <w:col w:w="11440"/>
          </w:cols>
          <w:pgMar w:left="240" w:top="126" w:right="219" w:bottom="0" w:gutter="0" w:footer="0" w:header="0"/>
        </w:sectPr>
      </w:pPr>
    </w:p>
    <w:bookmarkStart w:id="4" w:name="page5"/>
    <w:bookmarkEnd w:id="4"/>
    <w:p>
      <w:pPr>
        <w:spacing w:after="0" w:line="71"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A live webcast of the presentation can be accessed through Emergent’s website. Visit www.emergentbiosolutions.com and select the “Investors” section. An on-demand replay of the webcast can also be accessed in the investors section after the presentation has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-147320</wp:posOffset>
            </wp:positionV>
            <wp:extent cx="25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400" cy="762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NET INCOME TO ADJUSTED NET INCOME, EBITDA AND ADJUSTED EBITDA</w:t>
      </w:r>
    </w:p>
    <w:p>
      <w:pPr>
        <w:spacing w:after="0" w:line="92"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 xml:space="preserve">This press release contains two financial measures </w:t>
      </w:r>
      <w:r>
        <w:rPr>
          <w:rFonts w:ascii="Arial" w:cs="Arial" w:eastAsia="Arial" w:hAnsi="Arial"/>
          <w:sz w:val="15"/>
          <w:szCs w:val="15"/>
          <w:b w:val="1"/>
          <w:bCs w:val="1"/>
          <w:color w:val="auto"/>
        </w:rPr>
        <w:t>(Adjusted Net Income and EBITDA (Earnings Before Interest, Taxes, Depreciation and Amortization), and Adjusted</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EBITDA) </w:t>
      </w:r>
      <w:r>
        <w:rPr>
          <w:rFonts w:ascii="Arial" w:cs="Arial" w:eastAsia="Arial" w:hAnsi="Arial"/>
          <w:sz w:val="15"/>
          <w:szCs w:val="15"/>
          <w:color w:val="auto"/>
        </w:rPr>
        <w:t>that are considered “non-GAAP” financial measures under applicable Securities and Exchange Commission rules and regulations. These non-GAAP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measures should be considered supplemental to and not a substitute for financial information prepared in accordance with generally accepted accounting principles. The Company’s definition of these non-GAAP measures may differ from similarly titled measures used by others. Adjusted Net Income adjusts for specified items that can be highly variable or difficult to predict, or reflect the non-cash impact of charges resulting from purchase accounting (which are all tax effected utilizing the statutory tax rate for the US). EBITDA reflects net income excluding the impact of depreciation, amortization, interest expense and provision for income taxes. Adjusted EBITDA also excludes specified items that can be highly variable and the non-cash impact of certain purchase accounting adjustments (which are all tax effected utilizing the statutory tax rate for the US).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w:t>
      </w:r>
    </w:p>
    <w:p>
      <w:pPr>
        <w:spacing w:after="0" w:line="150" w:lineRule="exact"/>
        <w:rPr>
          <w:sz w:val="20"/>
          <w:szCs w:val="20"/>
          <w:color w:val="auto"/>
        </w:rPr>
      </w:pPr>
    </w:p>
    <w:p>
      <w:pPr>
        <w:jc w:val="both"/>
        <w:ind w:right="180"/>
        <w:spacing w:after="0" w:line="301" w:lineRule="auto"/>
        <w:rPr>
          <w:sz w:val="20"/>
          <w:szCs w:val="20"/>
          <w:color w:val="auto"/>
        </w:rPr>
      </w:pPr>
      <w:r>
        <w:rPr>
          <w:rFonts w:ascii="Arial" w:cs="Arial" w:eastAsia="Arial" w:hAnsi="Arial"/>
          <w:sz w:val="14"/>
          <w:szCs w:val="14"/>
          <w:color w:val="auto"/>
        </w:rPr>
        <w:t>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Net Income to Adjusted Net Income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680" w:type="dxa"/>
            <w:vAlign w:val="bottom"/>
            <w:tcBorders>
              <w:top w:val="single" w:sz="8" w:color="auto"/>
              <w:left w:val="single" w:sz="8" w:color="auto"/>
              <w:right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720" w:type="dxa"/>
            <w:vAlign w:val="bottom"/>
            <w:tcBorders>
              <w:top w:val="single" w:sz="8" w:color="auto"/>
            </w:tcBorders>
            <w:gridSpan w:val="3"/>
          </w:tcPr>
          <w:p>
            <w:pPr>
              <w:jc w:val="center"/>
              <w:ind w:right="2880"/>
              <w:spacing w:after="0" w:line="156" w:lineRule="exact"/>
              <w:rPr>
                <w:sz w:val="20"/>
                <w:szCs w:val="20"/>
                <w:color w:val="auto"/>
              </w:rPr>
            </w:pPr>
            <w:r>
              <w:rPr>
                <w:rFonts w:ascii="Arial" w:cs="Arial" w:eastAsia="Arial" w:hAnsi="Arial"/>
                <w:sz w:val="16"/>
                <w:szCs w:val="16"/>
                <w:b w:val="1"/>
                <w:bCs w:val="1"/>
                <w:color w:val="auto"/>
                <w:w w:val="90"/>
              </w:rPr>
              <w:t>Twelve Months Ended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tcBorders>
              <w:left w:val="single" w:sz="8" w:color="auto"/>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3"/>
          </w:tcPr>
          <w:p>
            <w:pPr>
              <w:jc w:val="center"/>
              <w:ind w:right="2860"/>
              <w:spacing w:after="0" w:line="181"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6"/>
                <w:szCs w:val="16"/>
                <w:i w:val="1"/>
                <w:iCs w:val="1"/>
                <w:color w:val="auto"/>
              </w:rPr>
              <w:t>($ in millions)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Borders>
              <w:right w:val="single" w:sz="8" w:color="auto"/>
            </w:tcBorders>
          </w:tcPr>
          <w:p>
            <w:pPr>
              <w:jc w:val="right"/>
              <w:ind w:right="480"/>
              <w:spacing w:after="0" w:line="132" w:lineRule="exact"/>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320"/>
              <w:spacing w:after="0" w:line="132" w:lineRule="exact"/>
              <w:rPr>
                <w:sz w:val="20"/>
                <w:szCs w:val="20"/>
                <w:color w:val="auto"/>
              </w:rPr>
            </w:pPr>
            <w:r>
              <w:rPr>
                <w:rFonts w:ascii="Arial" w:cs="Arial" w:eastAsia="Arial" w:hAnsi="Arial"/>
                <w:sz w:val="15"/>
                <w:szCs w:val="15"/>
                <w:b w:val="1"/>
                <w:bCs w:val="1"/>
                <w:color w:val="auto"/>
              </w:rPr>
              <w:t>2018</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340"/>
              <w:spacing w:after="0" w:line="132" w:lineRule="exact"/>
              <w:rPr>
                <w:sz w:val="20"/>
                <w:szCs w:val="20"/>
                <w:color w:val="auto"/>
              </w:rPr>
            </w:pPr>
            <w:r>
              <w:rPr>
                <w:rFonts w:ascii="Arial" w:cs="Arial" w:eastAsia="Arial" w:hAnsi="Arial"/>
                <w:sz w:val="15"/>
                <w:szCs w:val="15"/>
                <w:b w:val="1"/>
                <w:bCs w:val="1"/>
                <w:color w:val="auto"/>
              </w:rPr>
              <w:t>2017</w:t>
            </w:r>
          </w:p>
        </w:tc>
        <w:tc>
          <w:tcPr>
            <w:tcW w:w="120" w:type="dxa"/>
            <w:vAlign w:val="bottom"/>
            <w:tcBorders>
              <w:right w:val="single" w:sz="8" w:color="auto"/>
            </w:tcBorders>
          </w:tcPr>
          <w:p>
            <w:pPr>
              <w:spacing w:after="0"/>
              <w:rPr>
                <w:sz w:val="11"/>
                <w:szCs w:val="11"/>
                <w:color w:val="auto"/>
              </w:rPr>
            </w:pPr>
          </w:p>
        </w:tc>
        <w:tc>
          <w:tcPr>
            <w:tcW w:w="3640" w:type="dxa"/>
            <w:vAlign w:val="bottom"/>
            <w:tcBorders>
              <w:right w:val="single" w:sz="8" w:color="auto"/>
            </w:tcBorders>
            <w:vMerge w:val="restart"/>
          </w:tcPr>
          <w:p>
            <w:pPr>
              <w:ind w:left="1560"/>
              <w:spacing w:after="0"/>
              <w:rPr>
                <w:sz w:val="20"/>
                <w:szCs w:val="20"/>
                <w:color w:val="auto"/>
              </w:rPr>
            </w:pPr>
            <w:r>
              <w:rPr>
                <w:rFonts w:ascii="Arial" w:cs="Arial" w:eastAsia="Arial" w:hAnsi="Arial"/>
                <w:sz w:val="16"/>
                <w:szCs w:val="16"/>
                <w:b w:val="1"/>
                <w:bCs w:val="1"/>
                <w:color w:val="auto"/>
              </w:rPr>
              <w:t>Source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80" w:type="dxa"/>
            <w:vAlign w:val="bottom"/>
            <w:tcBorders>
              <w:left w:val="single" w:sz="8" w:color="auto"/>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right w:val="single" w:sz="8" w:color="auto"/>
            </w:tcBorders>
            <w:vMerge w:val="restart"/>
          </w:tcPr>
          <w:p>
            <w:pPr>
              <w:jc w:val="right"/>
              <w:ind w:right="300"/>
              <w:spacing w:after="0" w:line="181" w:lineRule="exact"/>
              <w:rPr>
                <w:sz w:val="20"/>
                <w:szCs w:val="20"/>
                <w:color w:val="auto"/>
              </w:rPr>
            </w:pPr>
            <w:r>
              <w:rPr>
                <w:rFonts w:ascii="Arial" w:cs="Arial" w:eastAsia="Arial" w:hAnsi="Arial"/>
                <w:sz w:val="16"/>
                <w:szCs w:val="16"/>
                <w:b w:val="1"/>
                <w:bCs w:val="1"/>
                <w:color w:val="auto"/>
              </w:rPr>
              <w:t>(Forecast)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Borders>
              <w:right w:val="single" w:sz="8" w:color="auto"/>
            </w:tcBorders>
            <w:gridSpan w:val="2"/>
            <w:vMerge w:val="restart"/>
          </w:tcPr>
          <w:p>
            <w:pPr>
              <w:jc w:val="right"/>
              <w:ind w:right="300"/>
              <w:spacing w:after="0" w:line="181" w:lineRule="exact"/>
              <w:rPr>
                <w:sz w:val="20"/>
                <w:szCs w:val="20"/>
                <w:color w:val="auto"/>
              </w:rPr>
            </w:pPr>
            <w:r>
              <w:rPr>
                <w:rFonts w:ascii="Arial" w:cs="Arial" w:eastAsia="Arial" w:hAnsi="Arial"/>
                <w:sz w:val="16"/>
                <w:szCs w:val="16"/>
                <w:b w:val="1"/>
                <w:bCs w:val="1"/>
                <w:color w:val="auto"/>
                <w:w w:val="96"/>
              </w:rPr>
              <w:t>(Estimated)</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Borders>
              <w:right w:val="single" w:sz="8" w:color="auto"/>
            </w:tcBorders>
            <w:gridSpan w:val="2"/>
            <w:vMerge w:val="restart"/>
          </w:tcPr>
          <w:p>
            <w:pPr>
              <w:jc w:val="right"/>
              <w:ind w:right="420"/>
              <w:spacing w:after="0" w:line="181" w:lineRule="exact"/>
              <w:rPr>
                <w:sz w:val="20"/>
                <w:szCs w:val="20"/>
                <w:color w:val="auto"/>
              </w:rPr>
            </w:pPr>
            <w:r>
              <w:rPr>
                <w:rFonts w:ascii="Arial" w:cs="Arial" w:eastAsia="Arial" w:hAnsi="Arial"/>
                <w:sz w:val="16"/>
                <w:szCs w:val="16"/>
                <w:b w:val="1"/>
                <w:bCs w:val="1"/>
                <w:color w:val="auto"/>
              </w:rPr>
              <w:t>(Actual)</w:t>
            </w:r>
          </w:p>
        </w:tc>
        <w:tc>
          <w:tcPr>
            <w:tcW w:w="3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8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right w:val="single" w:sz="8" w:color="auto"/>
            </w:tcBorders>
            <w:gridSpan w:val="2"/>
            <w:vMerge w:val="continue"/>
          </w:tcPr>
          <w:p>
            <w:pPr>
              <w:spacing w:after="0"/>
              <w:rPr>
                <w:sz w:val="5"/>
                <w:szCs w:val="5"/>
                <w:color w:val="auto"/>
              </w:rPr>
            </w:pPr>
          </w:p>
        </w:tc>
        <w:tc>
          <w:tcPr>
            <w:tcW w:w="36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Borders>
              <w:left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 xml:space="preserve">80.0 </w:t>
            </w:r>
            <w:r>
              <w:rPr>
                <w:rFonts w:ascii="Arial" w:cs="Arial" w:eastAsia="Arial" w:hAnsi="Arial"/>
                <w:sz w:val="16"/>
                <w:szCs w:val="16"/>
                <w:b w:val="1"/>
                <w:bCs w:val="1"/>
                <w:u w:val="single" w:color="auto"/>
                <w:color w:val="auto"/>
              </w:rPr>
              <w:t>to$</w:t>
            </w:r>
            <w:r>
              <w:rPr>
                <w:rFonts w:ascii="Arial" w:cs="Arial" w:eastAsia="Arial" w:hAnsi="Arial"/>
                <w:sz w:val="16"/>
                <w:szCs w:val="16"/>
                <w:b w:val="1"/>
                <w:bCs w:val="1"/>
                <w:color w:val="auto"/>
              </w:rPr>
              <w:t>110.0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11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60.</w:t>
            </w:r>
            <w:r>
              <w:rPr>
                <w:rFonts w:ascii="Arial" w:cs="Arial" w:eastAsia="Arial" w:hAnsi="Arial"/>
                <w:sz w:val="16"/>
                <w:szCs w:val="16"/>
                <w:b w:val="1"/>
                <w:bCs w:val="1"/>
                <w:u w:val="single" w:color="auto"/>
                <w:color w:val="auto"/>
              </w:rPr>
              <w:t>0 to$</w:t>
            </w:r>
            <w:r>
              <w:rPr>
                <w:rFonts w:ascii="Arial" w:cs="Arial" w:eastAsia="Arial" w:hAnsi="Arial"/>
                <w:sz w:val="16"/>
                <w:szCs w:val="16"/>
                <w:b w:val="1"/>
                <w:bCs w:val="1"/>
                <w:color w:val="auto"/>
              </w:rPr>
              <w:t>64.0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82.6</w:t>
            </w:r>
          </w:p>
        </w:tc>
        <w:tc>
          <w:tcPr>
            <w:tcW w:w="36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680" w:type="dxa"/>
            <w:vAlign w:val="bottom"/>
            <w:tcBorders>
              <w:left w:val="single" w:sz="8" w:color="auto"/>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364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680" w:type="dxa"/>
            <w:vAlign w:val="bottom"/>
            <w:tcBorders>
              <w:bottom w:val="single" w:sz="8" w:color="auto"/>
            </w:tcBorders>
          </w:tcPr>
          <w:p>
            <w:pPr>
              <w:spacing w:after="0" w:line="156" w:lineRule="exact"/>
              <w:rPr>
                <w:sz w:val="20"/>
                <w:szCs w:val="20"/>
                <w:color w:val="auto"/>
              </w:rPr>
            </w:pPr>
            <w:r>
              <w:rPr>
                <w:rFonts w:ascii="Arial" w:cs="Arial" w:eastAsia="Arial" w:hAnsi="Arial"/>
                <w:sz w:val="16"/>
                <w:szCs w:val="16"/>
                <w:color w:val="auto"/>
              </w:rPr>
              <w:t>Adjustments:</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Borders>
              <w:left w:val="single" w:sz="8" w:color="auto"/>
              <w:right w:val="single" w:sz="8" w:color="auto"/>
            </w:tcBorders>
            <w:shd w:val="clear" w:color="auto" w:fill="CCEEFF"/>
          </w:tcPr>
          <w:p>
            <w:pPr>
              <w:ind w:left="220"/>
              <w:spacing w:after="0" w:line="132" w:lineRule="exact"/>
              <w:rPr>
                <w:sz w:val="20"/>
                <w:szCs w:val="20"/>
                <w:color w:val="auto"/>
              </w:rPr>
            </w:pPr>
            <w:r>
              <w:rPr>
                <w:rFonts w:ascii="Arial" w:cs="Arial" w:eastAsia="Arial" w:hAnsi="Arial"/>
                <w:sz w:val="15"/>
                <w:szCs w:val="15"/>
                <w:color w:val="auto"/>
              </w:rPr>
              <w:t>+ Acquisition-related costs</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640" w:type="dxa"/>
            <w:vAlign w:val="bottom"/>
            <w:tcBorders>
              <w:right w:val="single" w:sz="8" w:color="auto"/>
            </w:tcBorders>
            <w:vMerge w:val="restart"/>
            <w:shd w:val="clear" w:color="auto" w:fill="CCEEFF"/>
          </w:tcPr>
          <w:p>
            <w:pPr>
              <w:ind w:left="140"/>
              <w:spacing w:after="0"/>
              <w:rPr>
                <w:sz w:val="20"/>
                <w:szCs w:val="20"/>
                <w:color w:val="auto"/>
              </w:rPr>
            </w:pPr>
            <w:r>
              <w:rPr>
                <w:rFonts w:ascii="Arial" w:cs="Arial" w:eastAsia="Arial" w:hAnsi="Arial"/>
                <w:sz w:val="16"/>
                <w:szCs w:val="16"/>
                <w:color w:val="auto"/>
              </w:rPr>
              <w:t>SG&amp;A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80" w:type="dxa"/>
            <w:vAlign w:val="bottom"/>
            <w:tcBorders>
              <w:left w:val="single" w:sz="8" w:color="auto"/>
              <w:right w:val="single" w:sz="8" w:color="auto"/>
            </w:tcBorders>
            <w:vMerge w:val="restart"/>
            <w:shd w:val="clear" w:color="auto" w:fill="CCEEFF"/>
          </w:tcPr>
          <w:p>
            <w:pPr>
              <w:ind w:left="220"/>
              <w:spacing w:after="0" w:line="181" w:lineRule="exact"/>
              <w:rPr>
                <w:sz w:val="20"/>
                <w:szCs w:val="20"/>
                <w:color w:val="auto"/>
              </w:rPr>
            </w:pPr>
            <w:r>
              <w:rPr>
                <w:rFonts w:ascii="Arial" w:cs="Arial" w:eastAsia="Arial" w:hAnsi="Arial"/>
                <w:sz w:val="16"/>
                <w:szCs w:val="16"/>
                <w:color w:val="auto"/>
              </w:rPr>
              <w:t>(transaction &amp; integration)</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tcBorders>
              <w:right w:val="single" w:sz="8" w:color="auto"/>
            </w:tcBorders>
            <w:vMerge w:val="restart"/>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tcBorders>
              <w:right w:val="single" w:sz="8" w:color="auto"/>
            </w:tcBorders>
            <w:gridSpan w:val="2"/>
            <w:vMerge w:val="restart"/>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line="181" w:lineRule="exact"/>
              <w:rPr>
                <w:sz w:val="20"/>
                <w:szCs w:val="20"/>
                <w:color w:val="auto"/>
              </w:rPr>
            </w:pPr>
            <w:r>
              <w:rPr>
                <w:rFonts w:ascii="Arial" w:cs="Arial" w:eastAsia="Arial" w:hAnsi="Arial"/>
                <w:sz w:val="16"/>
                <w:szCs w:val="16"/>
                <w:color w:val="auto"/>
              </w:rPr>
              <w:t>5.6</w:t>
            </w:r>
          </w:p>
        </w:tc>
        <w:tc>
          <w:tcPr>
            <w:tcW w:w="120" w:type="dxa"/>
            <w:vAlign w:val="bottom"/>
            <w:tcBorders>
              <w:right w:val="single" w:sz="8" w:color="auto"/>
            </w:tcBorders>
            <w:shd w:val="clear" w:color="auto" w:fill="CCEEFF"/>
          </w:tcPr>
          <w:p>
            <w:pPr>
              <w:spacing w:after="0"/>
              <w:rPr>
                <w:sz w:val="10"/>
                <w:szCs w:val="10"/>
                <w:color w:val="auto"/>
              </w:rPr>
            </w:pPr>
          </w:p>
        </w:tc>
        <w:tc>
          <w:tcPr>
            <w:tcW w:w="364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68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80" w:type="dxa"/>
            <w:vAlign w:val="bottom"/>
            <w:tcBorders>
              <w:right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tcBorders>
              <w:right w:val="single" w:sz="8" w:color="auto"/>
            </w:tcBorders>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tcBorders>
              <w:right w:val="single" w:sz="8" w:color="auto"/>
            </w:tcBorders>
            <w:shd w:val="clear" w:color="auto" w:fill="CCEEFF"/>
          </w:tcPr>
          <w:p>
            <w:pPr>
              <w:spacing w:after="0"/>
              <w:rPr>
                <w:sz w:val="5"/>
                <w:szCs w:val="5"/>
                <w:color w:val="auto"/>
              </w:rPr>
            </w:pPr>
          </w:p>
        </w:tc>
        <w:tc>
          <w:tcPr>
            <w:tcW w:w="364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80" w:type="dxa"/>
            <w:vAlign w:val="bottom"/>
            <w:tcBorders>
              <w:left w:val="single" w:sz="8" w:color="auto"/>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364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 Non-cash amortization charges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10.3</w:t>
            </w:r>
          </w:p>
        </w:tc>
        <w:tc>
          <w:tcPr>
            <w:tcW w:w="36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COGS, SG&amp;A, Other Income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Borders>
              <w:left w:val="single" w:sz="8" w:color="auto"/>
              <w:right w:val="single" w:sz="8" w:color="auto"/>
            </w:tcBorders>
            <w:shd w:val="clear" w:color="auto" w:fill="CCEEFF"/>
          </w:tcPr>
          <w:p>
            <w:pPr>
              <w:ind w:left="220"/>
              <w:spacing w:after="0" w:line="132" w:lineRule="exact"/>
              <w:rPr>
                <w:sz w:val="20"/>
                <w:szCs w:val="20"/>
                <w:color w:val="auto"/>
              </w:rPr>
            </w:pPr>
            <w:r>
              <w:rPr>
                <w:rFonts w:ascii="Arial" w:cs="Arial" w:eastAsia="Arial" w:hAnsi="Arial"/>
                <w:sz w:val="15"/>
                <w:szCs w:val="15"/>
                <w:color w:val="auto"/>
              </w:rPr>
              <w:t>+ Impact of purchase accounting on inventory step-</w:t>
            </w: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640" w:type="dxa"/>
            <w:vAlign w:val="bottom"/>
            <w:tcBorders>
              <w:right w:val="single" w:sz="8" w:color="auto"/>
            </w:tcBorders>
            <w:vMerge w:val="restart"/>
            <w:shd w:val="clear" w:color="auto" w:fill="CCEEFF"/>
          </w:tcPr>
          <w:p>
            <w:pPr>
              <w:ind w:left="140"/>
              <w:spacing w:after="0"/>
              <w:rPr>
                <w:sz w:val="20"/>
                <w:szCs w:val="20"/>
                <w:color w:val="auto"/>
              </w:rPr>
            </w:pPr>
            <w:r>
              <w:rPr>
                <w:rFonts w:ascii="Arial" w:cs="Arial" w:eastAsia="Arial" w:hAnsi="Arial"/>
                <w:sz w:val="16"/>
                <w:szCs w:val="16"/>
                <w:color w:val="auto"/>
              </w:rPr>
              <w:t>COGS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80" w:type="dxa"/>
            <w:vAlign w:val="bottom"/>
            <w:tcBorders>
              <w:left w:val="single" w:sz="8" w:color="auto"/>
              <w:right w:val="single" w:sz="8" w:color="auto"/>
            </w:tcBorders>
            <w:vMerge w:val="restart"/>
            <w:shd w:val="clear" w:color="auto" w:fill="CCEEFF"/>
          </w:tcPr>
          <w:p>
            <w:pPr>
              <w:ind w:left="220"/>
              <w:spacing w:after="0" w:line="181" w:lineRule="exact"/>
              <w:rPr>
                <w:sz w:val="20"/>
                <w:szCs w:val="20"/>
                <w:color w:val="auto"/>
              </w:rPr>
            </w:pPr>
            <w:r>
              <w:rPr>
                <w:rFonts w:ascii="Arial" w:cs="Arial" w:eastAsia="Arial" w:hAnsi="Arial"/>
                <w:sz w:val="16"/>
                <w:szCs w:val="16"/>
                <w:color w:val="auto"/>
              </w:rPr>
              <w:t>up</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tcBorders>
              <w:right w:val="single" w:sz="8" w:color="auto"/>
            </w:tcBorders>
            <w:vMerge w:val="restart"/>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tcBorders>
              <w:right w:val="single" w:sz="8" w:color="auto"/>
            </w:tcBorders>
            <w:gridSpan w:val="2"/>
            <w:vMerge w:val="restart"/>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line="181" w:lineRule="exact"/>
              <w:rPr>
                <w:sz w:val="20"/>
                <w:szCs w:val="20"/>
                <w:color w:val="auto"/>
              </w:rPr>
            </w:pPr>
            <w:r>
              <w:rPr>
                <w:rFonts w:ascii="Arial" w:cs="Arial" w:eastAsia="Arial" w:hAnsi="Arial"/>
                <w:sz w:val="16"/>
                <w:szCs w:val="16"/>
                <w:color w:val="auto"/>
              </w:rPr>
              <w:t>2.6</w:t>
            </w:r>
          </w:p>
        </w:tc>
        <w:tc>
          <w:tcPr>
            <w:tcW w:w="120" w:type="dxa"/>
            <w:vAlign w:val="bottom"/>
            <w:tcBorders>
              <w:right w:val="single" w:sz="8" w:color="auto"/>
            </w:tcBorders>
            <w:shd w:val="clear" w:color="auto" w:fill="CCEEFF"/>
          </w:tcPr>
          <w:p>
            <w:pPr>
              <w:spacing w:after="0"/>
              <w:rPr>
                <w:sz w:val="10"/>
                <w:szCs w:val="10"/>
                <w:color w:val="auto"/>
              </w:rPr>
            </w:pPr>
          </w:p>
        </w:tc>
        <w:tc>
          <w:tcPr>
            <w:tcW w:w="364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8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80" w:type="dxa"/>
            <w:vAlign w:val="bottom"/>
            <w:tcBorders>
              <w:right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tcBorders>
              <w:right w:val="single" w:sz="8" w:color="auto"/>
            </w:tcBorders>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tcBorders>
              <w:right w:val="single" w:sz="8" w:color="auto"/>
            </w:tcBorders>
            <w:shd w:val="clear" w:color="auto" w:fill="CCEEFF"/>
          </w:tcPr>
          <w:p>
            <w:pPr>
              <w:spacing w:after="0"/>
              <w:rPr>
                <w:sz w:val="5"/>
                <w:szCs w:val="5"/>
                <w:color w:val="auto"/>
              </w:rPr>
            </w:pPr>
          </w:p>
        </w:tc>
        <w:tc>
          <w:tcPr>
            <w:tcW w:w="364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left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 Exit and disposal costs</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40" w:type="dxa"/>
            <w:vAlign w:val="bottom"/>
            <w:tcBorders>
              <w:top w:val="single" w:sz="8" w:color="CCEEFF"/>
              <w:right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top w:val="single" w:sz="8" w:color="CCEEFF"/>
              <w:right w:val="single" w:sz="8" w:color="auto"/>
            </w:tcBorders>
          </w:tcPr>
          <w:p>
            <w:pPr>
              <w:spacing w:after="0"/>
              <w:rPr>
                <w:sz w:val="17"/>
                <w:szCs w:val="17"/>
                <w:color w:val="auto"/>
              </w:rPr>
            </w:pPr>
          </w:p>
        </w:tc>
        <w:tc>
          <w:tcPr>
            <w:tcW w:w="3640" w:type="dxa"/>
            <w:vAlign w:val="bottom"/>
            <w:tcBorders>
              <w:top w:val="single" w:sz="8" w:color="CCEEFF"/>
              <w:right w:val="single" w:sz="8" w:color="auto"/>
            </w:tcBorders>
          </w:tcPr>
          <w:p>
            <w:pPr>
              <w:ind w:left="140"/>
              <w:spacing w:after="0"/>
              <w:rPr>
                <w:sz w:val="20"/>
                <w:szCs w:val="20"/>
                <w:color w:val="auto"/>
              </w:rPr>
            </w:pPr>
            <w:r>
              <w:rPr>
                <w:rFonts w:ascii="Arial" w:cs="Arial" w:eastAsia="Arial" w:hAnsi="Arial"/>
                <w:sz w:val="16"/>
                <w:szCs w:val="16"/>
                <w:color w:val="auto"/>
              </w:rPr>
              <w:t>SG&amp;A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Borders>
              <w:left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Tax effect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w:t>
            </w:r>
          </w:p>
        </w:tc>
        <w:tc>
          <w:tcPr>
            <w:tcW w:w="36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80" w:type="dxa"/>
            <w:vAlign w:val="bottom"/>
            <w:tcBorders>
              <w:left w:val="single" w:sz="8" w:color="auto"/>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364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b w:val="1"/>
                <w:bCs w:val="1"/>
                <w:color w:val="auto"/>
              </w:rPr>
              <w:t>Total Adjustments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57.0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13.1</w:t>
            </w:r>
          </w:p>
        </w:tc>
        <w:tc>
          <w:tcPr>
            <w:tcW w:w="36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680" w:type="dxa"/>
            <w:vAlign w:val="bottom"/>
            <w:tcBorders>
              <w:left w:val="single" w:sz="8" w:color="auto"/>
              <w:right w:val="single" w:sz="8" w:color="auto"/>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Adjusted Net Income</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auto"/>
            </w:tcBorders>
            <w:shd w:val="clear" w:color="auto" w:fill="CCEEFF"/>
          </w:tcPr>
          <w:p>
            <w:pPr>
              <w:jc w:val="right"/>
              <w:ind w:right="60"/>
              <w:spacing w:after="0" w:line="181" w:lineRule="exact"/>
              <w:rPr>
                <w:sz w:val="20"/>
                <w:szCs w:val="20"/>
                <w:color w:val="auto"/>
              </w:rPr>
            </w:pPr>
            <w:r>
              <w:rPr>
                <w:rFonts w:ascii="Arial" w:cs="Arial" w:eastAsia="Arial" w:hAnsi="Arial"/>
                <w:sz w:val="16"/>
                <w:szCs w:val="16"/>
                <w:b w:val="1"/>
                <w:bCs w:val="1"/>
                <w:color w:val="auto"/>
                <w:w w:val="93"/>
              </w:rPr>
              <w:t xml:space="preserve">150.0 </w:t>
            </w:r>
            <w:r>
              <w:rPr>
                <w:rFonts w:ascii="Arial" w:cs="Arial" w:eastAsia="Arial" w:hAnsi="Arial"/>
                <w:sz w:val="16"/>
                <w:szCs w:val="16"/>
                <w:b w:val="1"/>
                <w:bCs w:val="1"/>
                <w:u w:val="single" w:color="auto"/>
                <w:color w:val="auto"/>
                <w:w w:val="93"/>
              </w:rPr>
              <w:t>to$</w:t>
            </w:r>
            <w:r>
              <w:rPr>
                <w:rFonts w:ascii="Arial" w:cs="Arial" w:eastAsia="Arial" w:hAnsi="Arial"/>
                <w:sz w:val="16"/>
                <w:szCs w:val="16"/>
                <w:b w:val="1"/>
                <w:bCs w:val="1"/>
                <w:color w:val="auto"/>
                <w:w w:val="93"/>
              </w:rPr>
              <w:t>180.0</w:t>
            </w:r>
          </w:p>
        </w:tc>
        <w:tc>
          <w:tcPr>
            <w:tcW w:w="2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b w:val="1"/>
                <w:bCs w:val="1"/>
                <w:color w:val="auto"/>
              </w:rPr>
              <w:t>$</w:t>
            </w:r>
          </w:p>
        </w:tc>
        <w:tc>
          <w:tcPr>
            <w:tcW w:w="1160" w:type="dxa"/>
            <w:vAlign w:val="bottom"/>
            <w:tcBorders>
              <w:right w:val="single" w:sz="8" w:color="auto"/>
            </w:tcBorders>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b w:val="1"/>
                <w:bCs w:val="1"/>
                <w:color w:val="auto"/>
                <w:w w:val="92"/>
              </w:rPr>
              <w:t xml:space="preserve">117.0 </w:t>
            </w:r>
            <w:r>
              <w:rPr>
                <w:rFonts w:ascii="Arial" w:cs="Arial" w:eastAsia="Arial" w:hAnsi="Arial"/>
                <w:sz w:val="16"/>
                <w:szCs w:val="16"/>
                <w:b w:val="1"/>
                <w:bCs w:val="1"/>
                <w:u w:val="single" w:color="auto"/>
                <w:color w:val="auto"/>
                <w:w w:val="92"/>
              </w:rPr>
              <w:t>to$</w:t>
            </w:r>
            <w:r>
              <w:rPr>
                <w:rFonts w:ascii="Arial" w:cs="Arial" w:eastAsia="Arial" w:hAnsi="Arial"/>
                <w:sz w:val="16"/>
                <w:szCs w:val="16"/>
                <w:b w:val="1"/>
                <w:bCs w:val="1"/>
                <w:color w:val="auto"/>
                <w:w w:val="92"/>
              </w:rPr>
              <w:t>121.0</w:t>
            </w:r>
          </w:p>
        </w:tc>
        <w:tc>
          <w:tcPr>
            <w:tcW w:w="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b w:val="1"/>
                <w:bCs w:val="1"/>
                <w:color w:val="auto"/>
              </w:rPr>
              <w:t>$</w:t>
            </w:r>
          </w:p>
        </w:tc>
        <w:tc>
          <w:tcPr>
            <w:tcW w:w="1080" w:type="dxa"/>
            <w:vAlign w:val="bottom"/>
            <w:tcBorders>
              <w:right w:val="single" w:sz="8" w:color="auto"/>
            </w:tcBorders>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b w:val="1"/>
                <w:bCs w:val="1"/>
                <w:color w:val="auto"/>
              </w:rPr>
              <w:t>95.7</w:t>
            </w:r>
          </w:p>
        </w:tc>
        <w:tc>
          <w:tcPr>
            <w:tcW w:w="3640" w:type="dxa"/>
            <w:vAlign w:val="bottom"/>
            <w:tcBorders>
              <w:right w:val="single" w:sz="8" w:color="auto"/>
            </w:tcBorders>
            <w:shd w:val="clear" w:color="auto" w:fill="CCEEFF"/>
          </w:tcPr>
          <w:p>
            <w:pPr>
              <w:ind w:left="140"/>
              <w:spacing w:after="0" w:line="181"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80" w:type="dxa"/>
            <w:vAlign w:val="bottom"/>
            <w:tcBorders>
              <w:left w:val="single" w:sz="8" w:color="auto"/>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364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Net Income to EBITDA and Adjusted EBITDA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680" w:type="dxa"/>
            <w:vAlign w:val="bottom"/>
            <w:tcBorders>
              <w:top w:val="single" w:sz="8" w:color="auto"/>
              <w:left w:val="single" w:sz="8" w:color="auto"/>
              <w:right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720" w:type="dxa"/>
            <w:vAlign w:val="bottom"/>
            <w:tcBorders>
              <w:top w:val="single" w:sz="8" w:color="auto"/>
            </w:tcBorders>
            <w:gridSpan w:val="3"/>
          </w:tcPr>
          <w:p>
            <w:pPr>
              <w:ind w:left="120"/>
              <w:spacing w:after="0" w:line="156" w:lineRule="exact"/>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tcBorders>
              <w:left w:val="single" w:sz="8" w:color="auto"/>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3"/>
          </w:tcPr>
          <w:p>
            <w:pPr>
              <w:ind w:left="420"/>
              <w:spacing w:after="0" w:line="18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6"/>
                <w:szCs w:val="16"/>
                <w:i w:val="1"/>
                <w:iCs w:val="1"/>
                <w:color w:val="auto"/>
              </w:rPr>
              <w:t>($ in millions)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Borders>
              <w:right w:val="single" w:sz="8" w:color="auto"/>
            </w:tcBorders>
          </w:tcPr>
          <w:p>
            <w:pPr>
              <w:jc w:val="right"/>
              <w:ind w:right="480"/>
              <w:spacing w:after="0" w:line="132" w:lineRule="exact"/>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320"/>
              <w:spacing w:after="0" w:line="132" w:lineRule="exact"/>
              <w:rPr>
                <w:sz w:val="20"/>
                <w:szCs w:val="20"/>
                <w:color w:val="auto"/>
              </w:rPr>
            </w:pPr>
            <w:r>
              <w:rPr>
                <w:rFonts w:ascii="Arial" w:cs="Arial" w:eastAsia="Arial" w:hAnsi="Arial"/>
                <w:sz w:val="15"/>
                <w:szCs w:val="15"/>
                <w:b w:val="1"/>
                <w:bCs w:val="1"/>
                <w:color w:val="auto"/>
              </w:rPr>
              <w:t>2018</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340"/>
              <w:spacing w:after="0" w:line="132" w:lineRule="exact"/>
              <w:rPr>
                <w:sz w:val="20"/>
                <w:szCs w:val="20"/>
                <w:color w:val="auto"/>
              </w:rPr>
            </w:pPr>
            <w:r>
              <w:rPr>
                <w:rFonts w:ascii="Arial" w:cs="Arial" w:eastAsia="Arial" w:hAnsi="Arial"/>
                <w:sz w:val="15"/>
                <w:szCs w:val="15"/>
                <w:b w:val="1"/>
                <w:bCs w:val="1"/>
                <w:color w:val="auto"/>
              </w:rPr>
              <w:t>2017</w:t>
            </w:r>
          </w:p>
        </w:tc>
        <w:tc>
          <w:tcPr>
            <w:tcW w:w="120" w:type="dxa"/>
            <w:vAlign w:val="bottom"/>
            <w:tcBorders>
              <w:right w:val="single" w:sz="8" w:color="auto"/>
            </w:tcBorders>
          </w:tcPr>
          <w:p>
            <w:pPr>
              <w:spacing w:after="0"/>
              <w:rPr>
                <w:sz w:val="11"/>
                <w:szCs w:val="11"/>
                <w:color w:val="auto"/>
              </w:rPr>
            </w:pPr>
          </w:p>
        </w:tc>
        <w:tc>
          <w:tcPr>
            <w:tcW w:w="3640" w:type="dxa"/>
            <w:vAlign w:val="bottom"/>
            <w:tcBorders>
              <w:right w:val="single" w:sz="8" w:color="auto"/>
            </w:tcBorders>
            <w:vMerge w:val="restart"/>
          </w:tcPr>
          <w:p>
            <w:pPr>
              <w:ind w:left="1560"/>
              <w:spacing w:after="0"/>
              <w:rPr>
                <w:sz w:val="20"/>
                <w:szCs w:val="20"/>
                <w:color w:val="auto"/>
              </w:rPr>
            </w:pPr>
            <w:r>
              <w:rPr>
                <w:rFonts w:ascii="Arial" w:cs="Arial" w:eastAsia="Arial" w:hAnsi="Arial"/>
                <w:sz w:val="16"/>
                <w:szCs w:val="16"/>
                <w:b w:val="1"/>
                <w:bCs w:val="1"/>
                <w:color w:val="auto"/>
              </w:rPr>
              <w:t>Source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80" w:type="dxa"/>
            <w:vAlign w:val="bottom"/>
            <w:tcBorders>
              <w:left w:val="single" w:sz="8" w:color="auto"/>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right w:val="single" w:sz="8" w:color="auto"/>
            </w:tcBorders>
            <w:vMerge w:val="restart"/>
          </w:tcPr>
          <w:p>
            <w:pPr>
              <w:jc w:val="right"/>
              <w:ind w:right="300"/>
              <w:spacing w:after="0" w:line="181" w:lineRule="exact"/>
              <w:rPr>
                <w:sz w:val="20"/>
                <w:szCs w:val="20"/>
                <w:color w:val="auto"/>
              </w:rPr>
            </w:pPr>
            <w:r>
              <w:rPr>
                <w:rFonts w:ascii="Arial" w:cs="Arial" w:eastAsia="Arial" w:hAnsi="Arial"/>
                <w:sz w:val="16"/>
                <w:szCs w:val="16"/>
                <w:b w:val="1"/>
                <w:bCs w:val="1"/>
                <w:color w:val="auto"/>
              </w:rPr>
              <w:t>(Forecast)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Borders>
              <w:right w:val="single" w:sz="8" w:color="auto"/>
            </w:tcBorders>
            <w:gridSpan w:val="2"/>
            <w:vMerge w:val="restart"/>
          </w:tcPr>
          <w:p>
            <w:pPr>
              <w:jc w:val="right"/>
              <w:ind w:right="300"/>
              <w:spacing w:after="0" w:line="181" w:lineRule="exact"/>
              <w:rPr>
                <w:sz w:val="20"/>
                <w:szCs w:val="20"/>
                <w:color w:val="auto"/>
              </w:rPr>
            </w:pPr>
            <w:r>
              <w:rPr>
                <w:rFonts w:ascii="Arial" w:cs="Arial" w:eastAsia="Arial" w:hAnsi="Arial"/>
                <w:sz w:val="16"/>
                <w:szCs w:val="16"/>
                <w:b w:val="1"/>
                <w:bCs w:val="1"/>
                <w:color w:val="auto"/>
                <w:w w:val="96"/>
              </w:rPr>
              <w:t>(Estimated)</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Borders>
              <w:right w:val="single" w:sz="8" w:color="auto"/>
            </w:tcBorders>
            <w:gridSpan w:val="2"/>
            <w:vMerge w:val="restart"/>
          </w:tcPr>
          <w:p>
            <w:pPr>
              <w:ind w:left="100"/>
              <w:spacing w:after="0" w:line="181" w:lineRule="exact"/>
              <w:rPr>
                <w:sz w:val="20"/>
                <w:szCs w:val="20"/>
                <w:color w:val="auto"/>
              </w:rPr>
            </w:pPr>
            <w:r>
              <w:rPr>
                <w:rFonts w:ascii="Arial" w:cs="Arial" w:eastAsia="Arial" w:hAnsi="Arial"/>
                <w:sz w:val="16"/>
                <w:szCs w:val="16"/>
                <w:b w:val="1"/>
                <w:bCs w:val="1"/>
                <w:color w:val="auto"/>
              </w:rPr>
              <w:t>(Actual)</w:t>
            </w:r>
          </w:p>
        </w:tc>
        <w:tc>
          <w:tcPr>
            <w:tcW w:w="3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8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right w:val="single" w:sz="8" w:color="auto"/>
            </w:tcBorders>
            <w:gridSpan w:val="2"/>
            <w:vMerge w:val="continue"/>
          </w:tcPr>
          <w:p>
            <w:pPr>
              <w:spacing w:after="0"/>
              <w:rPr>
                <w:sz w:val="5"/>
                <w:szCs w:val="5"/>
                <w:color w:val="auto"/>
              </w:rPr>
            </w:pPr>
          </w:p>
        </w:tc>
        <w:tc>
          <w:tcPr>
            <w:tcW w:w="36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Borders>
              <w:left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 xml:space="preserve">80.0 </w:t>
            </w:r>
            <w:r>
              <w:rPr>
                <w:rFonts w:ascii="Arial" w:cs="Arial" w:eastAsia="Arial" w:hAnsi="Arial"/>
                <w:sz w:val="16"/>
                <w:szCs w:val="16"/>
                <w:b w:val="1"/>
                <w:bCs w:val="1"/>
                <w:u w:val="single" w:color="auto"/>
                <w:color w:val="auto"/>
              </w:rPr>
              <w:t>to$</w:t>
            </w:r>
            <w:r>
              <w:rPr>
                <w:rFonts w:ascii="Arial" w:cs="Arial" w:eastAsia="Arial" w:hAnsi="Arial"/>
                <w:sz w:val="16"/>
                <w:szCs w:val="16"/>
                <w:b w:val="1"/>
                <w:bCs w:val="1"/>
                <w:color w:val="auto"/>
              </w:rPr>
              <w:t>110.0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11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60.</w:t>
            </w:r>
            <w:r>
              <w:rPr>
                <w:rFonts w:ascii="Arial" w:cs="Arial" w:eastAsia="Arial" w:hAnsi="Arial"/>
                <w:sz w:val="16"/>
                <w:szCs w:val="16"/>
                <w:b w:val="1"/>
                <w:bCs w:val="1"/>
                <w:u w:val="single" w:color="auto"/>
                <w:color w:val="auto"/>
              </w:rPr>
              <w:t>0 to$</w:t>
            </w:r>
            <w:r>
              <w:rPr>
                <w:rFonts w:ascii="Arial" w:cs="Arial" w:eastAsia="Arial" w:hAnsi="Arial"/>
                <w:sz w:val="16"/>
                <w:szCs w:val="16"/>
                <w:b w:val="1"/>
                <w:bCs w:val="1"/>
                <w:color w:val="auto"/>
              </w:rPr>
              <w:t>64.0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82.6</w:t>
            </w:r>
          </w:p>
        </w:tc>
        <w:tc>
          <w:tcPr>
            <w:tcW w:w="36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680" w:type="dxa"/>
            <w:vAlign w:val="bottom"/>
            <w:tcBorders>
              <w:left w:val="single" w:sz="8" w:color="auto"/>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364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680" w:type="dxa"/>
            <w:vAlign w:val="bottom"/>
            <w:tcBorders>
              <w:bottom w:val="single" w:sz="8" w:color="auto"/>
            </w:tcBorders>
          </w:tcPr>
          <w:p>
            <w:pPr>
              <w:spacing w:after="0" w:line="156" w:lineRule="exact"/>
              <w:rPr>
                <w:sz w:val="20"/>
                <w:szCs w:val="20"/>
                <w:color w:val="auto"/>
              </w:rPr>
            </w:pPr>
            <w:r>
              <w:rPr>
                <w:rFonts w:ascii="Arial" w:cs="Arial" w:eastAsia="Arial" w:hAnsi="Arial"/>
                <w:sz w:val="16"/>
                <w:szCs w:val="16"/>
                <w:color w:val="auto"/>
              </w:rPr>
              <w:t>Adjustments:</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Borders>
              <w:left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 Depreciation &amp; Amortization</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40.8</w:t>
            </w:r>
          </w:p>
        </w:tc>
        <w:tc>
          <w:tcPr>
            <w:tcW w:w="36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COGS, SG&amp;A, R&amp;D</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80" w:type="dxa"/>
            <w:vAlign w:val="bottom"/>
            <w:tcBorders>
              <w:left w:val="single" w:sz="8" w:color="auto"/>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364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 Provision for Income Taxes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36.0</w:t>
            </w:r>
          </w:p>
        </w:tc>
        <w:tc>
          <w:tcPr>
            <w:tcW w:w="36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Income Taxes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Borders>
              <w:left w:val="single" w:sz="8" w:color="auto"/>
              <w:right w:val="single" w:sz="8" w:color="auto"/>
            </w:tcBorders>
            <w:vMerge w:val="restart"/>
            <w:shd w:val="clear" w:color="auto" w:fill="CCEEFF"/>
          </w:tcPr>
          <w:p>
            <w:pPr>
              <w:ind w:left="220"/>
              <w:spacing w:after="0"/>
              <w:rPr>
                <w:sz w:val="20"/>
                <w:szCs w:val="20"/>
                <w:color w:val="auto"/>
              </w:rPr>
            </w:pPr>
            <w:r>
              <w:rPr>
                <w:rFonts w:ascii="Arial" w:cs="Arial" w:eastAsia="Arial" w:hAnsi="Arial"/>
                <w:sz w:val="16"/>
                <w:szCs w:val="16"/>
                <w:color w:val="auto"/>
              </w:rPr>
              <w:t>+ Total Interest Expense</w:t>
            </w: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640" w:type="dxa"/>
            <w:vAlign w:val="bottom"/>
            <w:tcBorders>
              <w:right w:val="single" w:sz="8" w:color="auto"/>
            </w:tcBorders>
            <w:shd w:val="clear" w:color="auto" w:fill="CCEEFF"/>
          </w:tcPr>
          <w:p>
            <w:pPr>
              <w:ind w:left="140"/>
              <w:spacing w:after="0" w:line="132" w:lineRule="exact"/>
              <w:rPr>
                <w:sz w:val="20"/>
                <w:szCs w:val="20"/>
                <w:color w:val="auto"/>
              </w:rPr>
            </w:pPr>
            <w:r>
              <w:rPr>
                <w:rFonts w:ascii="Arial" w:cs="Arial" w:eastAsia="Arial" w:hAnsi="Arial"/>
                <w:sz w:val="15"/>
                <w:szCs w:val="15"/>
                <w:color w:val="auto"/>
              </w:rPr>
              <w:t>Other Expense/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8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tcBorders>
              <w:right w:val="single" w:sz="8" w:color="auto"/>
            </w:tcBorders>
            <w:vMerge w:val="restart"/>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line="181" w:lineRule="exact"/>
              <w:rPr>
                <w:sz w:val="20"/>
                <w:szCs w:val="20"/>
                <w:color w:val="auto"/>
              </w:rPr>
            </w:pPr>
            <w:r>
              <w:rPr>
                <w:rFonts w:ascii="Arial" w:cs="Arial" w:eastAsia="Arial" w:hAnsi="Arial"/>
                <w:sz w:val="16"/>
                <w:szCs w:val="16"/>
                <w:color w:val="auto"/>
              </w:rPr>
              <w:t>9.0</w:t>
            </w: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line="181" w:lineRule="exact"/>
              <w:rPr>
                <w:sz w:val="20"/>
                <w:szCs w:val="20"/>
                <w:color w:val="auto"/>
              </w:rPr>
            </w:pPr>
            <w:r>
              <w:rPr>
                <w:rFonts w:ascii="Arial" w:cs="Arial" w:eastAsia="Arial" w:hAnsi="Arial"/>
                <w:sz w:val="16"/>
                <w:szCs w:val="16"/>
                <w:color w:val="auto"/>
              </w:rPr>
              <w:t>6.6</w:t>
            </w:r>
          </w:p>
        </w:tc>
        <w:tc>
          <w:tcPr>
            <w:tcW w:w="120" w:type="dxa"/>
            <w:vAlign w:val="bottom"/>
            <w:tcBorders>
              <w:right w:val="single" w:sz="8" w:color="auto"/>
            </w:tcBorders>
            <w:shd w:val="clear" w:color="auto" w:fill="CCEEFF"/>
          </w:tcPr>
          <w:p>
            <w:pPr>
              <w:spacing w:after="0"/>
              <w:rPr>
                <w:sz w:val="10"/>
                <w:szCs w:val="10"/>
                <w:color w:val="auto"/>
              </w:rPr>
            </w:pPr>
          </w:p>
        </w:tc>
        <w:tc>
          <w:tcPr>
            <w:tcW w:w="3640" w:type="dxa"/>
            <w:vAlign w:val="bottom"/>
            <w:tcBorders>
              <w:right w:val="single" w:sz="8" w:color="auto"/>
            </w:tcBorders>
            <w:vMerge w:val="restart"/>
            <w:shd w:val="clear" w:color="auto" w:fill="CCEEFF"/>
          </w:tcPr>
          <w:p>
            <w:pPr>
              <w:ind w:left="140"/>
              <w:spacing w:after="0" w:line="181" w:lineRule="exact"/>
              <w:rPr>
                <w:sz w:val="20"/>
                <w:szCs w:val="20"/>
                <w:color w:val="auto"/>
              </w:rPr>
            </w:pPr>
            <w:r>
              <w:rPr>
                <w:rFonts w:ascii="Arial" w:cs="Arial" w:eastAsia="Arial" w:hAnsi="Arial"/>
                <w:sz w:val="16"/>
                <w:szCs w:val="16"/>
                <w:color w:val="auto"/>
              </w:rPr>
              <w:t>(Income)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80" w:type="dxa"/>
            <w:vAlign w:val="bottom"/>
            <w:tcBorders>
              <w:left w:val="single" w:sz="8" w:color="auto"/>
              <w:bottom w:val="single" w:sz="8" w:color="CCEEFF"/>
              <w:right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right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right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right w:val="single" w:sz="8" w:color="auto"/>
            </w:tcBorders>
            <w:shd w:val="clear" w:color="auto" w:fill="CCEEFF"/>
          </w:tcPr>
          <w:p>
            <w:pPr>
              <w:spacing w:after="0"/>
              <w:rPr>
                <w:sz w:val="5"/>
                <w:szCs w:val="5"/>
                <w:color w:val="auto"/>
              </w:rPr>
            </w:pPr>
          </w:p>
        </w:tc>
        <w:tc>
          <w:tcPr>
            <w:tcW w:w="3640" w:type="dxa"/>
            <w:vAlign w:val="bottom"/>
            <w:tcBorders>
              <w:bottom w:val="single" w:sz="8" w:color="CCEEFF"/>
              <w:right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b w:val="1"/>
                <w:bCs w:val="1"/>
                <w:color w:val="auto"/>
              </w:rPr>
              <w:t>Total Adjustments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92.0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83.4</w:t>
            </w:r>
          </w:p>
        </w:tc>
        <w:tc>
          <w:tcPr>
            <w:tcW w:w="36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680" w:type="dxa"/>
            <w:vAlign w:val="bottom"/>
            <w:tcBorders>
              <w:left w:val="single" w:sz="8" w:color="auto"/>
              <w:right w:val="single" w:sz="8" w:color="auto"/>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EBITDA</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auto"/>
            </w:tcBorders>
            <w:shd w:val="clear" w:color="auto" w:fill="CCEEFF"/>
          </w:tcPr>
          <w:p>
            <w:pPr>
              <w:jc w:val="right"/>
              <w:ind w:right="60"/>
              <w:spacing w:after="0" w:line="181" w:lineRule="exact"/>
              <w:rPr>
                <w:sz w:val="20"/>
                <w:szCs w:val="20"/>
                <w:color w:val="auto"/>
              </w:rPr>
            </w:pPr>
            <w:r>
              <w:rPr>
                <w:rFonts w:ascii="Arial" w:cs="Arial" w:eastAsia="Arial" w:hAnsi="Arial"/>
                <w:sz w:val="16"/>
                <w:szCs w:val="16"/>
                <w:b w:val="1"/>
                <w:bCs w:val="1"/>
                <w:color w:val="auto"/>
                <w:w w:val="93"/>
              </w:rPr>
              <w:t xml:space="preserve">255.0 </w:t>
            </w:r>
            <w:r>
              <w:rPr>
                <w:rFonts w:ascii="Arial" w:cs="Arial" w:eastAsia="Arial" w:hAnsi="Arial"/>
                <w:sz w:val="16"/>
                <w:szCs w:val="16"/>
                <w:b w:val="1"/>
                <w:bCs w:val="1"/>
                <w:u w:val="single" w:color="auto"/>
                <w:color w:val="auto"/>
                <w:w w:val="93"/>
              </w:rPr>
              <w:t>to$</w:t>
            </w:r>
            <w:r>
              <w:rPr>
                <w:rFonts w:ascii="Arial" w:cs="Arial" w:eastAsia="Arial" w:hAnsi="Arial"/>
                <w:sz w:val="16"/>
                <w:szCs w:val="16"/>
                <w:b w:val="1"/>
                <w:bCs w:val="1"/>
                <w:color w:val="auto"/>
                <w:w w:val="93"/>
              </w:rPr>
              <w:t>285.0</w:t>
            </w:r>
          </w:p>
        </w:tc>
        <w:tc>
          <w:tcPr>
            <w:tcW w:w="2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b w:val="1"/>
                <w:bCs w:val="1"/>
                <w:color w:val="auto"/>
              </w:rPr>
              <w:t>$</w:t>
            </w:r>
          </w:p>
        </w:tc>
        <w:tc>
          <w:tcPr>
            <w:tcW w:w="1160" w:type="dxa"/>
            <w:vAlign w:val="bottom"/>
            <w:tcBorders>
              <w:right w:val="single" w:sz="8" w:color="auto"/>
            </w:tcBorders>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b w:val="1"/>
                <w:bCs w:val="1"/>
                <w:color w:val="auto"/>
                <w:w w:val="92"/>
              </w:rPr>
              <w:t xml:space="preserve">152.0 </w:t>
            </w:r>
            <w:r>
              <w:rPr>
                <w:rFonts w:ascii="Arial" w:cs="Arial" w:eastAsia="Arial" w:hAnsi="Arial"/>
                <w:sz w:val="16"/>
                <w:szCs w:val="16"/>
                <w:b w:val="1"/>
                <w:bCs w:val="1"/>
                <w:u w:val="single" w:color="auto"/>
                <w:color w:val="auto"/>
                <w:w w:val="92"/>
              </w:rPr>
              <w:t>to$</w:t>
            </w:r>
            <w:r>
              <w:rPr>
                <w:rFonts w:ascii="Arial" w:cs="Arial" w:eastAsia="Arial" w:hAnsi="Arial"/>
                <w:sz w:val="16"/>
                <w:szCs w:val="16"/>
                <w:b w:val="1"/>
                <w:bCs w:val="1"/>
                <w:color w:val="auto"/>
                <w:w w:val="92"/>
              </w:rPr>
              <w:t>156.0</w:t>
            </w:r>
          </w:p>
        </w:tc>
        <w:tc>
          <w:tcPr>
            <w:tcW w:w="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166.0</w:t>
            </w:r>
          </w:p>
        </w:tc>
        <w:tc>
          <w:tcPr>
            <w:tcW w:w="120" w:type="dxa"/>
            <w:vAlign w:val="bottom"/>
            <w:tcBorders>
              <w:right w:val="single" w:sz="8" w:color="auto"/>
            </w:tcBorders>
            <w:shd w:val="clear" w:color="auto" w:fill="CCEEFF"/>
          </w:tcPr>
          <w:p>
            <w:pPr>
              <w:spacing w:after="0"/>
              <w:rPr>
                <w:sz w:val="17"/>
                <w:szCs w:val="17"/>
                <w:color w:val="auto"/>
              </w:rPr>
            </w:pPr>
          </w:p>
        </w:tc>
        <w:tc>
          <w:tcPr>
            <w:tcW w:w="3640" w:type="dxa"/>
            <w:vAlign w:val="bottom"/>
            <w:tcBorders>
              <w:right w:val="single" w:sz="8" w:color="auto"/>
            </w:tcBorders>
            <w:shd w:val="clear" w:color="auto" w:fill="CCEEFF"/>
          </w:tcPr>
          <w:p>
            <w:pPr>
              <w:ind w:left="140"/>
              <w:spacing w:after="0" w:line="181"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Borders>
              <w:top w:val="single" w:sz="8" w:color="CCEEFF"/>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6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3680" w:type="dxa"/>
            <w:vAlign w:val="bottom"/>
            <w:tcBorders>
              <w:bottom w:val="single" w:sz="8" w:color="auto"/>
            </w:tcBorders>
          </w:tcPr>
          <w:p>
            <w:pPr>
              <w:spacing w:after="0" w:line="145" w:lineRule="exact"/>
              <w:rPr>
                <w:sz w:val="20"/>
                <w:szCs w:val="20"/>
                <w:color w:val="auto"/>
              </w:rPr>
            </w:pPr>
            <w:r>
              <w:rPr>
                <w:rFonts w:ascii="Arial" w:cs="Arial" w:eastAsia="Arial" w:hAnsi="Arial"/>
                <w:sz w:val="16"/>
                <w:szCs w:val="16"/>
                <w:color w:val="auto"/>
              </w:rPr>
              <w:t>Additional Adjustments:</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Borders>
              <w:left w:val="single" w:sz="8" w:color="auto"/>
              <w:right w:val="single" w:sz="8" w:color="auto"/>
            </w:tcBorders>
            <w:shd w:val="clear" w:color="auto" w:fill="CCEEFF"/>
          </w:tcPr>
          <w:p>
            <w:pPr>
              <w:ind w:left="220"/>
              <w:spacing w:after="0" w:line="132" w:lineRule="exact"/>
              <w:rPr>
                <w:sz w:val="20"/>
                <w:szCs w:val="20"/>
                <w:color w:val="auto"/>
              </w:rPr>
            </w:pPr>
            <w:r>
              <w:rPr>
                <w:rFonts w:ascii="Arial" w:cs="Arial" w:eastAsia="Arial" w:hAnsi="Arial"/>
                <w:sz w:val="15"/>
                <w:szCs w:val="15"/>
                <w:color w:val="auto"/>
              </w:rPr>
              <w:t>+ Acquisition-related costs (transaction &amp;</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640" w:type="dxa"/>
            <w:vAlign w:val="bottom"/>
            <w:tcBorders>
              <w:right w:val="single" w:sz="8" w:color="auto"/>
            </w:tcBorders>
            <w:vMerge w:val="restart"/>
            <w:shd w:val="clear" w:color="auto" w:fill="CCEEFF"/>
          </w:tcPr>
          <w:p>
            <w:pPr>
              <w:ind w:left="140"/>
              <w:spacing w:after="0"/>
              <w:rPr>
                <w:sz w:val="20"/>
                <w:szCs w:val="20"/>
                <w:color w:val="auto"/>
              </w:rPr>
            </w:pPr>
            <w:r>
              <w:rPr>
                <w:rFonts w:ascii="Arial" w:cs="Arial" w:eastAsia="Arial" w:hAnsi="Arial"/>
                <w:sz w:val="16"/>
                <w:szCs w:val="16"/>
                <w:color w:val="auto"/>
              </w:rPr>
              <w:t>SG&amp;A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80" w:type="dxa"/>
            <w:vAlign w:val="bottom"/>
            <w:tcBorders>
              <w:left w:val="single" w:sz="8" w:color="auto"/>
              <w:right w:val="single" w:sz="8" w:color="auto"/>
            </w:tcBorders>
            <w:vMerge w:val="restart"/>
            <w:shd w:val="clear" w:color="auto" w:fill="CCEEFF"/>
          </w:tcPr>
          <w:p>
            <w:pPr>
              <w:ind w:left="220"/>
              <w:spacing w:after="0" w:line="181" w:lineRule="exact"/>
              <w:rPr>
                <w:sz w:val="20"/>
                <w:szCs w:val="20"/>
                <w:color w:val="auto"/>
              </w:rPr>
            </w:pPr>
            <w:r>
              <w:rPr>
                <w:rFonts w:ascii="Arial" w:cs="Arial" w:eastAsia="Arial" w:hAnsi="Arial"/>
                <w:sz w:val="16"/>
                <w:szCs w:val="16"/>
                <w:color w:val="auto"/>
              </w:rPr>
              <w:t>integration)</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tcBorders>
              <w:right w:val="single" w:sz="8" w:color="auto"/>
            </w:tcBorders>
            <w:vMerge w:val="restart"/>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tcBorders>
              <w:right w:val="single" w:sz="8" w:color="auto"/>
            </w:tcBorders>
            <w:gridSpan w:val="2"/>
            <w:vMerge w:val="restart"/>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line="181" w:lineRule="exact"/>
              <w:rPr>
                <w:sz w:val="20"/>
                <w:szCs w:val="20"/>
                <w:color w:val="auto"/>
              </w:rPr>
            </w:pPr>
            <w:r>
              <w:rPr>
                <w:rFonts w:ascii="Arial" w:cs="Arial" w:eastAsia="Arial" w:hAnsi="Arial"/>
                <w:sz w:val="16"/>
                <w:szCs w:val="16"/>
                <w:color w:val="auto"/>
              </w:rPr>
              <w:t>5.6</w:t>
            </w:r>
          </w:p>
        </w:tc>
        <w:tc>
          <w:tcPr>
            <w:tcW w:w="120" w:type="dxa"/>
            <w:vAlign w:val="bottom"/>
            <w:tcBorders>
              <w:right w:val="single" w:sz="8" w:color="auto"/>
            </w:tcBorders>
            <w:shd w:val="clear" w:color="auto" w:fill="CCEEFF"/>
          </w:tcPr>
          <w:p>
            <w:pPr>
              <w:spacing w:after="0"/>
              <w:rPr>
                <w:sz w:val="10"/>
                <w:szCs w:val="10"/>
                <w:color w:val="auto"/>
              </w:rPr>
            </w:pPr>
          </w:p>
        </w:tc>
        <w:tc>
          <w:tcPr>
            <w:tcW w:w="364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8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80" w:type="dxa"/>
            <w:vAlign w:val="bottom"/>
            <w:tcBorders>
              <w:right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tcBorders>
              <w:right w:val="single" w:sz="8" w:color="auto"/>
            </w:tcBorders>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tcBorders>
              <w:right w:val="single" w:sz="8" w:color="auto"/>
            </w:tcBorders>
            <w:shd w:val="clear" w:color="auto" w:fill="CCEEFF"/>
          </w:tcPr>
          <w:p>
            <w:pPr>
              <w:spacing w:after="0"/>
              <w:rPr>
                <w:sz w:val="5"/>
                <w:szCs w:val="5"/>
                <w:color w:val="auto"/>
              </w:rPr>
            </w:pPr>
          </w:p>
        </w:tc>
        <w:tc>
          <w:tcPr>
            <w:tcW w:w="364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left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 Exit and disposal costs</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40" w:type="dxa"/>
            <w:vAlign w:val="bottom"/>
            <w:tcBorders>
              <w:top w:val="single" w:sz="8" w:color="CCEEFF"/>
              <w:right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top w:val="single" w:sz="8" w:color="CCEEFF"/>
              <w:right w:val="single" w:sz="8" w:color="auto"/>
            </w:tcBorders>
          </w:tcPr>
          <w:p>
            <w:pPr>
              <w:spacing w:after="0"/>
              <w:rPr>
                <w:sz w:val="17"/>
                <w:szCs w:val="17"/>
                <w:color w:val="auto"/>
              </w:rPr>
            </w:pPr>
          </w:p>
        </w:tc>
        <w:tc>
          <w:tcPr>
            <w:tcW w:w="3640" w:type="dxa"/>
            <w:vAlign w:val="bottom"/>
            <w:tcBorders>
              <w:top w:val="single" w:sz="8" w:color="CCEEFF"/>
              <w:right w:val="single" w:sz="8" w:color="auto"/>
            </w:tcBorders>
          </w:tcPr>
          <w:p>
            <w:pPr>
              <w:ind w:left="140"/>
              <w:spacing w:after="0"/>
              <w:rPr>
                <w:sz w:val="20"/>
                <w:szCs w:val="20"/>
                <w:color w:val="auto"/>
              </w:rPr>
            </w:pPr>
            <w:r>
              <w:rPr>
                <w:rFonts w:ascii="Arial" w:cs="Arial" w:eastAsia="Arial" w:hAnsi="Arial"/>
                <w:sz w:val="16"/>
                <w:szCs w:val="16"/>
                <w:color w:val="auto"/>
              </w:rPr>
              <w:t>SG&amp;A</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Borders>
              <w:left w:val="single" w:sz="8" w:color="auto"/>
              <w:right w:val="single" w:sz="8" w:color="auto"/>
            </w:tcBorders>
            <w:shd w:val="clear" w:color="auto" w:fill="CCEEFF"/>
          </w:tcPr>
          <w:p>
            <w:pPr>
              <w:ind w:left="220"/>
              <w:spacing w:after="0" w:line="132" w:lineRule="exact"/>
              <w:rPr>
                <w:sz w:val="20"/>
                <w:szCs w:val="20"/>
                <w:color w:val="auto"/>
              </w:rPr>
            </w:pPr>
            <w:r>
              <w:rPr>
                <w:rFonts w:ascii="Arial" w:cs="Arial" w:eastAsia="Arial" w:hAnsi="Arial"/>
                <w:sz w:val="15"/>
                <w:szCs w:val="15"/>
                <w:color w:val="auto"/>
              </w:rPr>
              <w:t>+ Impact of purchase accounting on inventory step-</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640" w:type="dxa"/>
            <w:vAlign w:val="bottom"/>
            <w:tcBorders>
              <w:right w:val="single" w:sz="8" w:color="auto"/>
            </w:tcBorders>
            <w:vMerge w:val="restart"/>
            <w:shd w:val="clear" w:color="auto" w:fill="CCEEFF"/>
          </w:tcPr>
          <w:p>
            <w:pPr>
              <w:ind w:left="140"/>
              <w:spacing w:after="0"/>
              <w:rPr>
                <w:sz w:val="20"/>
                <w:szCs w:val="20"/>
                <w:color w:val="auto"/>
              </w:rPr>
            </w:pPr>
            <w:r>
              <w:rPr>
                <w:rFonts w:ascii="Arial" w:cs="Arial" w:eastAsia="Arial" w:hAnsi="Arial"/>
                <w:sz w:val="16"/>
                <w:szCs w:val="16"/>
                <w:color w:val="auto"/>
              </w:rPr>
              <w:t>COGS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80" w:type="dxa"/>
            <w:vAlign w:val="bottom"/>
            <w:tcBorders>
              <w:left w:val="single" w:sz="8" w:color="auto"/>
              <w:right w:val="single" w:sz="8" w:color="auto"/>
            </w:tcBorders>
            <w:vMerge w:val="restart"/>
            <w:shd w:val="clear" w:color="auto" w:fill="CCEEFF"/>
          </w:tcPr>
          <w:p>
            <w:pPr>
              <w:ind w:left="220"/>
              <w:spacing w:after="0" w:line="181" w:lineRule="exact"/>
              <w:rPr>
                <w:sz w:val="20"/>
                <w:szCs w:val="20"/>
                <w:color w:val="auto"/>
              </w:rPr>
            </w:pPr>
            <w:r>
              <w:rPr>
                <w:rFonts w:ascii="Arial" w:cs="Arial" w:eastAsia="Arial" w:hAnsi="Arial"/>
                <w:sz w:val="16"/>
                <w:szCs w:val="16"/>
                <w:color w:val="auto"/>
              </w:rPr>
              <w:t>up</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tcBorders>
              <w:right w:val="single" w:sz="8" w:color="auto"/>
            </w:tcBorders>
            <w:vMerge w:val="restart"/>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tcBorders>
              <w:right w:val="single" w:sz="8" w:color="auto"/>
            </w:tcBorders>
            <w:gridSpan w:val="2"/>
            <w:vMerge w:val="restart"/>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line="181" w:lineRule="exact"/>
              <w:rPr>
                <w:sz w:val="20"/>
                <w:szCs w:val="20"/>
                <w:color w:val="auto"/>
              </w:rPr>
            </w:pPr>
            <w:r>
              <w:rPr>
                <w:rFonts w:ascii="Arial" w:cs="Arial" w:eastAsia="Arial" w:hAnsi="Arial"/>
                <w:sz w:val="16"/>
                <w:szCs w:val="16"/>
                <w:color w:val="auto"/>
              </w:rPr>
              <w:t>2.6</w:t>
            </w:r>
          </w:p>
        </w:tc>
        <w:tc>
          <w:tcPr>
            <w:tcW w:w="120" w:type="dxa"/>
            <w:vAlign w:val="bottom"/>
            <w:tcBorders>
              <w:right w:val="single" w:sz="8" w:color="auto"/>
            </w:tcBorders>
            <w:shd w:val="clear" w:color="auto" w:fill="CCEEFF"/>
          </w:tcPr>
          <w:p>
            <w:pPr>
              <w:spacing w:after="0"/>
              <w:rPr>
                <w:sz w:val="10"/>
                <w:szCs w:val="10"/>
                <w:color w:val="auto"/>
              </w:rPr>
            </w:pPr>
          </w:p>
        </w:tc>
        <w:tc>
          <w:tcPr>
            <w:tcW w:w="364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68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80" w:type="dxa"/>
            <w:vAlign w:val="bottom"/>
            <w:tcBorders>
              <w:right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tcBorders>
              <w:right w:val="single" w:sz="8" w:color="auto"/>
            </w:tcBorders>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tcBorders>
              <w:right w:val="single" w:sz="8" w:color="auto"/>
            </w:tcBorders>
            <w:shd w:val="clear" w:color="auto" w:fill="CCEEFF"/>
          </w:tcPr>
          <w:p>
            <w:pPr>
              <w:spacing w:after="0"/>
              <w:rPr>
                <w:sz w:val="5"/>
                <w:szCs w:val="5"/>
                <w:color w:val="auto"/>
              </w:rPr>
            </w:pPr>
          </w:p>
        </w:tc>
        <w:tc>
          <w:tcPr>
            <w:tcW w:w="364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80" w:type="dxa"/>
            <w:vAlign w:val="bottom"/>
            <w:tcBorders>
              <w:left w:val="single" w:sz="8" w:color="auto"/>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364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b w:val="1"/>
                <w:bCs w:val="1"/>
                <w:color w:val="auto"/>
              </w:rPr>
              <w:t>Total Additional Adjustments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46.0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680" w:type="dxa"/>
            <w:vAlign w:val="bottom"/>
            <w:tcBorders>
              <w:left w:val="single" w:sz="8" w:color="auto"/>
              <w:right w:val="single" w:sz="8" w:color="auto"/>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Adjusted EBITDA</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auto"/>
            </w:tcBorders>
            <w:shd w:val="clear" w:color="auto" w:fill="CCEEFF"/>
          </w:tcPr>
          <w:p>
            <w:pPr>
              <w:jc w:val="right"/>
              <w:ind w:right="60"/>
              <w:spacing w:after="0" w:line="181" w:lineRule="exact"/>
              <w:rPr>
                <w:sz w:val="20"/>
                <w:szCs w:val="20"/>
                <w:color w:val="auto"/>
              </w:rPr>
            </w:pPr>
            <w:r>
              <w:rPr>
                <w:rFonts w:ascii="Arial" w:cs="Arial" w:eastAsia="Arial" w:hAnsi="Arial"/>
                <w:sz w:val="16"/>
                <w:szCs w:val="16"/>
                <w:b w:val="1"/>
                <w:bCs w:val="1"/>
                <w:color w:val="auto"/>
                <w:w w:val="93"/>
              </w:rPr>
              <w:t xml:space="preserve">280.0 </w:t>
            </w:r>
            <w:r>
              <w:rPr>
                <w:rFonts w:ascii="Arial" w:cs="Arial" w:eastAsia="Arial" w:hAnsi="Arial"/>
                <w:sz w:val="16"/>
                <w:szCs w:val="16"/>
                <w:b w:val="1"/>
                <w:bCs w:val="1"/>
                <w:u w:val="single" w:color="auto"/>
                <w:color w:val="auto"/>
                <w:w w:val="93"/>
              </w:rPr>
              <w:t>to$</w:t>
            </w:r>
            <w:r>
              <w:rPr>
                <w:rFonts w:ascii="Arial" w:cs="Arial" w:eastAsia="Arial" w:hAnsi="Arial"/>
                <w:sz w:val="16"/>
                <w:szCs w:val="16"/>
                <w:b w:val="1"/>
                <w:bCs w:val="1"/>
                <w:color w:val="auto"/>
                <w:w w:val="93"/>
              </w:rPr>
              <w:t>310.0</w:t>
            </w:r>
          </w:p>
        </w:tc>
        <w:tc>
          <w:tcPr>
            <w:tcW w:w="2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b w:val="1"/>
                <w:bCs w:val="1"/>
                <w:color w:val="auto"/>
              </w:rPr>
              <w:t>$</w:t>
            </w:r>
          </w:p>
        </w:tc>
        <w:tc>
          <w:tcPr>
            <w:tcW w:w="1160" w:type="dxa"/>
            <w:vAlign w:val="bottom"/>
            <w:tcBorders>
              <w:right w:val="single" w:sz="8" w:color="auto"/>
            </w:tcBorders>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b w:val="1"/>
                <w:bCs w:val="1"/>
                <w:color w:val="auto"/>
                <w:w w:val="92"/>
              </w:rPr>
              <w:t xml:space="preserve">198.0 </w:t>
            </w:r>
            <w:r>
              <w:rPr>
                <w:rFonts w:ascii="Arial" w:cs="Arial" w:eastAsia="Arial" w:hAnsi="Arial"/>
                <w:sz w:val="16"/>
                <w:szCs w:val="16"/>
                <w:b w:val="1"/>
                <w:bCs w:val="1"/>
                <w:u w:val="single" w:color="auto"/>
                <w:color w:val="auto"/>
                <w:w w:val="92"/>
              </w:rPr>
              <w:t>to$</w:t>
            </w:r>
            <w:r>
              <w:rPr>
                <w:rFonts w:ascii="Arial" w:cs="Arial" w:eastAsia="Arial" w:hAnsi="Arial"/>
                <w:sz w:val="16"/>
                <w:szCs w:val="16"/>
                <w:b w:val="1"/>
                <w:bCs w:val="1"/>
                <w:color w:val="auto"/>
                <w:w w:val="92"/>
              </w:rPr>
              <w:t>202.0</w:t>
            </w:r>
          </w:p>
        </w:tc>
        <w:tc>
          <w:tcPr>
            <w:tcW w:w="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175.7</w:t>
            </w:r>
          </w:p>
        </w:tc>
        <w:tc>
          <w:tcPr>
            <w:tcW w:w="120" w:type="dxa"/>
            <w:vAlign w:val="bottom"/>
            <w:tcBorders>
              <w:right w:val="single" w:sz="8" w:color="auto"/>
            </w:tcBorders>
            <w:shd w:val="clear" w:color="auto" w:fill="CCEEFF"/>
          </w:tcPr>
          <w:p>
            <w:pPr>
              <w:spacing w:after="0"/>
              <w:rPr>
                <w:sz w:val="17"/>
                <w:szCs w:val="17"/>
                <w:color w:val="auto"/>
              </w:rPr>
            </w:pPr>
          </w:p>
        </w:tc>
        <w:tc>
          <w:tcPr>
            <w:tcW w:w="3640" w:type="dxa"/>
            <w:vAlign w:val="bottom"/>
            <w:tcBorders>
              <w:right w:val="single" w:sz="8" w:color="auto"/>
            </w:tcBorders>
            <w:shd w:val="clear" w:color="auto" w:fill="CCEEFF"/>
          </w:tcPr>
          <w:p>
            <w:pPr>
              <w:ind w:left="140"/>
              <w:spacing w:after="0" w:line="181"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6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EMERGENT BIOSOLUTIONS INC.</w:t>
      </w:r>
    </w:p>
    <w:p>
      <w:pPr>
        <w:spacing w:after="0" w:line="96" w:lineRule="exact"/>
        <w:rPr>
          <w:sz w:val="20"/>
          <w:szCs w:val="20"/>
          <w:color w:val="auto"/>
        </w:rPr>
      </w:pPr>
    </w:p>
    <w:p>
      <w:pPr>
        <w:ind w:right="460"/>
        <w:spacing w:after="0" w:line="244" w:lineRule="auto"/>
        <w:rPr>
          <w:sz w:val="20"/>
          <w:szCs w:val="20"/>
          <w:color w:val="auto"/>
        </w:rPr>
      </w:pPr>
      <w:r>
        <w:rPr>
          <w:rFonts w:ascii="Arial" w:cs="Arial" w:eastAsia="Arial" w:hAnsi="Arial"/>
          <w:sz w:val="16"/>
          <w:szCs w:val="16"/>
          <w:color w:val="auto"/>
        </w:rPr>
        <w:t>Emergent BioSolutions Inc. is a global life sciences company seeking to protect and enhance life by focusing on providing specialty products for civilian and military populations that address accidental, deliberate, and naturally occurring public health threats. We aspire to be a Fortune 500 company recognized for protecting and enhancing life, driving innovation, and living our values. Additional information about the company may be found at www.emergentbiosolutions.com. Find us on LinkedIn and follow us on Twitter @emergentbiosolu and Instagram @life_at_emergent.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This press release includes forward-looking statements within the meaning of the Private Securities Litigation Reform Act of 1995. Any statements, other than statements of historical fact, including, without limitation, our financial guidance and related projections and statements regarding our ability to meet such projections in the anticipated timeframe, if at all, and statements regarding the expected financial implications of our acquisitions of PaxVax and Adapt and any other statements containing the words “will,” “believes,” “expects,” “anticipates,” “intends,” “plans,” “targets,” “forecasts,” “estimates” and similar expressions in conjunction with, among other things, discussions of the company's outlook, financial performance or financial condition, product sales, government development or procurement contracts or awards, including entering into a follow-on procurement contract related to ACAM2000, organic business growth, profitability increases, product portfolio expansion, future deliveries of BioThrax® (Anthrax Vaccine Adsorbed), Emergency Use Authorization (EUA) approval and commencement of deliveries of NuThrax™ (anthrax vaccine adsorbed with CPG 7909 adjuvant), and future deliveries of raxibacumab.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152" w:lineRule="exact"/>
        <w:rPr>
          <w:sz w:val="20"/>
          <w:szCs w:val="20"/>
          <w:color w:val="auto"/>
        </w:rPr>
      </w:pPr>
    </w:p>
    <w:p>
      <w:pPr>
        <w:jc w:val="both"/>
        <w:ind w:right="60"/>
        <w:spacing w:after="0" w:line="301" w:lineRule="auto"/>
        <w:rPr>
          <w:sz w:val="20"/>
          <w:szCs w:val="20"/>
          <w:color w:val="auto"/>
        </w:rPr>
      </w:pPr>
      <w:r>
        <w:rPr>
          <w:rFonts w:ascii="Arial" w:cs="Arial" w:eastAsia="Arial" w:hAnsi="Arial"/>
          <w:sz w:val="14"/>
          <w:szCs w:val="14"/>
          <w:color w:val="auto"/>
        </w:rPr>
        <w:t>There are a number of important factors that could cause the company's actual results to differ materially from those indicated by such forward-looking statements, including the availability of funding and the exercise of options under our BioThrax and NuThrax contracts; appropriations for the procurement of our products; our ability to secure EUA pre-approval and licensure of NuThrax from the U.S. Food and Drug Administration within the anticipated timeframe, if at all; availability of funding for our U.S. government grants</w:t>
      </w:r>
    </w:p>
    <w:p>
      <w:pPr>
        <w:sectPr>
          <w:pgSz w:w="11900" w:h="16910" w:orient="portrait"/>
          <w:cols w:equalWidth="0" w:num="1">
            <w:col w:w="11440"/>
          </w:cols>
          <w:pgMar w:left="240" w:top="127" w:right="219" w:bottom="0" w:gutter="0" w:footer="0" w:header="0"/>
        </w:sectPr>
      </w:pPr>
    </w:p>
    <w:bookmarkStart w:id="5" w:name="page6"/>
    <w:bookmarkEnd w:id="5"/>
    <w:p>
      <w:pPr>
        <w:spacing w:after="0" w:line="277" w:lineRule="auto"/>
        <w:rPr>
          <w:sz w:val="20"/>
          <w:szCs w:val="20"/>
          <w:color w:val="auto"/>
        </w:rPr>
      </w:pPr>
      <w:r>
        <w:rPr>
          <w:rFonts w:ascii="Arial" w:cs="Arial" w:eastAsia="Arial" w:hAnsi="Arial"/>
          <w:sz w:val="14"/>
          <w:szCs w:val="14"/>
          <w:color w:val="auto"/>
        </w:rPr>
        <w:t>and contracts; our ability to successfully integrate and develop the operations, products, product candidates, programs, and personnel from our recently completed acquisitions of PaxVax and Adapt; our ability and the ability of our collaborators to protect our intellectual property rights; whether anticipated synergies and benefits from an acquisition or in-license will be realized within expected time periods, if at all; our ability to utilize our manufacturing facilities and expand our capabilities; our ability to accurately forecast demand for our products and our suppliers to maintain an adequate supply of the materials needed to produce them; our ability and the ability of our contractors and suppliers to maintain compliance with current Good Manufacturing Practices and other regulatory obligations; the timing and results of clinical trials; the timing of and our ability to obtain and maintain regulatory approvals for our product candidates; and our commercialization, marketing and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Securities and Exchange Commission, when evaluating our forward-looking statements.</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360"/>
          </w:cols>
          <w:pgMar w:left="240" w:top="127" w:right="29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Robert Burrows</w:t>
      </w:r>
    </w:p>
    <w:p>
      <w:pPr>
        <w:spacing w:after="0"/>
        <w:rPr>
          <w:sz w:val="20"/>
          <w:szCs w:val="20"/>
          <w:color w:val="auto"/>
        </w:rPr>
      </w:pPr>
      <w:r>
        <w:rPr>
          <w:rFonts w:ascii="Arial" w:cs="Arial" w:eastAsia="Arial" w:hAnsi="Arial"/>
          <w:sz w:val="15"/>
          <w:szCs w:val="15"/>
          <w:color w:val="auto"/>
        </w:rPr>
        <w:t>Vice President, 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(o) 240/631-3280; (m) 240/413-1917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burrowsr@ebsi.com</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Lynn Kieffer</w:t>
      </w:r>
    </w:p>
    <w:p>
      <w:pPr>
        <w:spacing w:after="0"/>
        <w:rPr>
          <w:sz w:val="20"/>
          <w:szCs w:val="20"/>
          <w:color w:val="auto"/>
        </w:rPr>
      </w:pPr>
      <w:r>
        <w:rPr>
          <w:rFonts w:ascii="Arial" w:cs="Arial" w:eastAsia="Arial" w:hAnsi="Arial"/>
          <w:sz w:val="14"/>
          <w:szCs w:val="14"/>
          <w:color w:val="auto"/>
        </w:rPr>
        <w:t>Vice President, Corporate Communications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 240/631-3391</w:t>
      </w:r>
    </w:p>
    <w:p>
      <w:pPr>
        <w:spacing w:after="0"/>
        <w:rPr>
          <w:sz w:val="20"/>
          <w:szCs w:val="20"/>
          <w:color w:val="auto"/>
        </w:rPr>
      </w:pPr>
      <w:r>
        <w:rPr>
          <w:rFonts w:ascii="Arial" w:cs="Arial" w:eastAsia="Arial" w:hAnsi="Arial"/>
          <w:sz w:val="16"/>
          <w:szCs w:val="16"/>
          <w:color w:val="auto"/>
        </w:rPr>
        <w:t>kiefferl@ebsi.com</w:t>
      </w:r>
    </w:p>
    <w:p>
      <w:pPr>
        <w:sectPr>
          <w:pgSz w:w="11900" w:h="16838" w:orient="portrait"/>
          <w:cols w:equalWidth="0" w:num="2">
            <w:col w:w="5000" w:space="720"/>
            <w:col w:w="5640"/>
          </w:cols>
          <w:pgMar w:left="240" w:top="127" w:right="299" w:bottom="1440" w:gutter="0" w:footer="0" w:header="0"/>
          <w:type w:val="continuous"/>
        </w:sectPr>
      </w:pPr>
    </w:p>
    <w:bookmarkStart w:id="6" w:name="page7"/>
    <w:bookmarkEnd w:id="6"/>
    <w:p>
      <w:pPr>
        <w:ind w:left="902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151130</wp:posOffset>
            </wp:positionV>
            <wp:extent cx="7317740" cy="4378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0" w:num="1">
            <w:col w:w="10240"/>
          </w:cols>
          <w:pgMar w:left="1440" w:top="116" w:right="21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408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93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7740" cy="439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78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119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41192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2019-12-28T17:11:36Z</dcterms:created>
  <dcterms:modified xsi:type="dcterms:W3CDTF">2019-12-28T17:11:36Z</dcterms:modified>
</cp:coreProperties>
</file>