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315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Strei Katherine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80"/>
        <w:spacing w:after="0" w:line="317"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6"/>
        <w:spacing w:after="0"/>
        <w:rPr>
          <w:sz w:val="20"/>
          <w:szCs w:val="20"/>
          <w:color w:val="auto"/>
        </w:rPr>
      </w:pPr>
      <w:r>
        <w:rPr>
          <w:rFonts w:ascii="Arial" w:cs="Arial" w:eastAsia="Arial" w:hAnsi="Arial"/>
          <w:sz w:val="17"/>
          <w:szCs w:val="17"/>
          <w:color w:val="0000FF"/>
        </w:rPr>
        <w:t>EVP, Chief HR Officer</w:t>
      </w:r>
    </w:p>
    <w:p>
      <w:pPr>
        <w:spacing w:after="0" w:line="456"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20" w:type="dxa"/>
            <w:vAlign w:val="bottom"/>
            <w:gridSpan w:val="9"/>
          </w:tcPr>
          <w:p>
            <w:pPr>
              <w:jc w:val="center"/>
              <w:ind w:right="22"/>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GAITHERSBURG MD</w:t>
            </w:r>
          </w:p>
        </w:tc>
        <w:tc>
          <w:tcPr>
            <w:tcW w:w="1180" w:type="dxa"/>
            <w:vAlign w:val="bottom"/>
            <w:vMerge w:val="restart"/>
          </w:tcPr>
          <w:p>
            <w:pPr>
              <w:ind w:left="100"/>
              <w:spacing w:after="0"/>
              <w:rPr>
                <w:sz w:val="20"/>
                <w:szCs w:val="20"/>
                <w:color w:val="auto"/>
              </w:rPr>
            </w:pPr>
            <w:r>
              <w:rPr>
                <w:rFonts w:ascii="Arial" w:cs="Arial" w:eastAsia="Arial" w:hAnsi="Arial"/>
                <w:sz w:val="17"/>
                <w:szCs w:val="17"/>
                <w:color w:val="0000FF"/>
              </w:rPr>
              <w:t>20879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7"/>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jc w:val="center"/>
              <w:ind w:left="60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3,662</w:t>
            </w:r>
            <w:r>
              <w:rPr>
                <w:rFonts w:ascii="Arial" w:cs="Arial" w:eastAsia="Arial" w:hAnsi="Arial"/>
                <w:sz w:val="22"/>
                <w:szCs w:val="22"/>
                <w:color w:val="008000"/>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25,850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02/25/2020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3,662</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16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29,512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498</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29,014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02/26/2020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381</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59.91</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28,633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(3)</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center"/>
              <w:ind w:left="626"/>
              <w:spacing w:after="0"/>
              <w:rPr>
                <w:sz w:val="20"/>
                <w:szCs w:val="20"/>
                <w:color w:val="auto"/>
              </w:rPr>
            </w:pPr>
            <w:r>
              <w:rPr>
                <w:rFonts w:ascii="Arial" w:cs="Arial" w:eastAsia="Arial" w:hAnsi="Arial"/>
                <w:sz w:val="17"/>
                <w:szCs w:val="17"/>
                <w:color w:val="0000FF"/>
                <w:w w:val="93"/>
              </w:rPr>
              <w:t>02/27/2020</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387</w:t>
            </w: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58.42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28,246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2"/>
          </w:tcPr>
          <w:p>
            <w:pPr>
              <w:jc w:val="center"/>
              <w:ind w:left="58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jc w:val="center"/>
              <w:ind w:right="459"/>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jc w:val="center"/>
              <w:ind w:right="459"/>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14,648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02/25/2020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14,648</w:t>
            </w:r>
          </w:p>
        </w:tc>
        <w:tc>
          <w:tcPr>
            <w:tcW w:w="3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02/24/2027</w:t>
            </w:r>
          </w:p>
        </w:tc>
        <w:tc>
          <w:tcPr>
            <w:tcW w:w="70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ind w:left="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61.44</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43,225</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9" w:lineRule="exact"/>
        <w:rPr>
          <w:rFonts w:ascii="Arial" w:cs="Arial" w:eastAsia="Arial" w:hAnsi="Arial"/>
          <w:sz w:val="13"/>
          <w:szCs w:val="13"/>
          <w:color w:val="008000"/>
        </w:rPr>
      </w:pPr>
    </w:p>
    <w:p>
      <w:pPr>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performance stock units granted under the Emergent BioSolutions Inc. Stock Incentive Plan. Each PSU represents a right to receive one share of common stock. The PSUs vest upon achievement with respect to adjusted EBITDA as a percentage of total GAAP revenue for the three year period 2020 - 2022 fiscal years, as certified by the Compensation Committee following the performance period.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as amended and restated.</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first anniversary of the date of grant, assuming continued service with the company.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 Scott Lieberman,</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02/27/2020</w:t>
            </w:r>
          </w:p>
        </w:tc>
        <w:tc>
          <w:tcPr>
            <w:tcW w:w="0" w:type="dxa"/>
            <w:vAlign w:val="bottom"/>
          </w:tcPr>
          <w:p>
            <w:pPr>
              <w:spacing w:after="0"/>
              <w:rPr>
                <w:sz w:val="1"/>
                <w:szCs w:val="1"/>
                <w:color w:val="auto"/>
              </w:rPr>
            </w:pPr>
          </w:p>
        </w:tc>
      </w:tr>
      <w:tr>
        <w:trPr>
          <w:trHeight w:val="92"/>
        </w:trPr>
        <w:tc>
          <w:tcPr>
            <w:tcW w:w="1140" w:type="dxa"/>
            <w:vAlign w:val="bottom"/>
            <w:vMerge w:val="restart"/>
          </w:tcPr>
          <w:p>
            <w:pPr>
              <w:spacing w:after="0"/>
              <w:rPr>
                <w:sz w:val="20"/>
                <w:szCs w:val="20"/>
                <w:color w:val="auto"/>
              </w:rPr>
            </w:pPr>
            <w:r>
              <w:rPr>
                <w:rFonts w:ascii="Arial" w:cs="Arial" w:eastAsia="Arial" w:hAnsi="Arial"/>
                <w:sz w:val="17"/>
                <w:szCs w:val="17"/>
                <w:color w:val="0000FF"/>
                <w:w w:val="97"/>
              </w:rPr>
              <w:t>Attorney-in-fact</w:t>
            </w:r>
          </w:p>
        </w:tc>
        <w:tc>
          <w:tcPr>
            <w:tcW w:w="116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9639"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2020-02-27T20:26:20Z</dcterms:created>
  <dcterms:modified xsi:type="dcterms:W3CDTF">2020-02-27T20:26:20Z</dcterms:modified>
</cp:coreProperties>
</file>