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80" w:after="283"/>
        <w:ind w:left="0" w:right="0" w:firstLine="36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8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transition period from to </w:t>
      </w:r>
    </w:p>
    <w:p>
      <w:pPr>
        <w:pStyle w:val="TextBody"/>
        <w:bidi w:val="0"/>
        <w:spacing w:lineRule="auto" w:line="288" w:before="80" w:after="283"/>
        <w:ind w:left="0" w:right="0" w:firstLine="360"/>
        <w:jc w:val="center"/>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001-33137</w:t>
      </w:r>
    </w:p>
    <w:p>
      <w:pPr>
        <w:pStyle w:val="TextBody"/>
        <w:bidi w:val="0"/>
        <w:spacing w:before="100" w:after="283"/>
        <w:jc w:val="center"/>
        <w:rPr/>
      </w:pPr>
      <w:r>
        <w:rPr/>
        <w:drawing>
          <wp:inline distT="0" distB="0" distL="0" distR="0">
            <wp:extent cx="1428750" cy="190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1905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EMERGENT BIOSOLUTIONS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4965" w:type="dxa"/>
        <w:jc w:val="center"/>
        <w:tblInd w:w="0" w:type="dxa"/>
        <w:tblLayout w:type="fixed"/>
        <w:tblCellMar>
          <w:top w:w="28" w:type="dxa"/>
          <w:left w:w="28" w:type="dxa"/>
          <w:bottom w:w="28" w:type="dxa"/>
          <w:right w:w="28" w:type="dxa"/>
        </w:tblCellMar>
      </w:tblPr>
      <w:tblGrid>
        <w:gridCol w:w="975"/>
        <w:gridCol w:w="857"/>
        <w:gridCol w:w="867"/>
        <w:gridCol w:w="200"/>
        <w:gridCol w:w="200"/>
        <w:gridCol w:w="201"/>
        <w:gridCol w:w="487"/>
        <w:gridCol w:w="487"/>
        <w:gridCol w:w="691"/>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14-1902018</w:t>
            </w:r>
          </w:p>
        </w:tc>
      </w:tr>
      <w:tr>
        <w:trPr/>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w:t>
              <w:br/>
              <w:t>Incorporation or Organization)</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w:t>
              <w:br/>
              <w:t>Identification No.)</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49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300 Professional Drive</w:t>
            </w:r>
          </w:p>
        </w:tc>
      </w:tr>
      <w:tr>
        <w:trPr/>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firstLine="90"/>
              <w:jc w:val="right"/>
              <w:rPr>
                <w:rFonts w:ascii="Times New Roman;serif" w:hAnsi="Times New Roman;serif"/>
                <w:b/>
                <w:color w:val="000000"/>
                <w:sz w:val="20"/>
              </w:rPr>
            </w:pPr>
            <w:r>
              <w:rPr>
                <w:rFonts w:ascii="Times New Roman;serif" w:hAnsi="Times New Roman;serif"/>
                <w:b/>
                <w:color w:val="000000"/>
                <w:sz w:val="20"/>
              </w:rPr>
              <w:t xml:space="preserve">Gaithersburg, </w:t>
            </w:r>
          </w:p>
        </w:tc>
        <w:tc>
          <w:tcPr>
            <w:tcW w:w="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ind w:left="0" w:right="0" w:firstLine="180"/>
              <w:jc w:val="center"/>
              <w:rPr>
                <w:rFonts w:ascii="Times New Roman;serif" w:hAnsi="Times New Roman;serif"/>
                <w:b/>
                <w:color w:val="000000"/>
                <w:sz w:val="20"/>
              </w:rPr>
            </w:pPr>
            <w:r>
              <w:rPr>
                <w:rFonts w:ascii="Times New Roman;serif" w:hAnsi="Times New Roman;serif"/>
                <w:b/>
                <w:color w:val="000000"/>
                <w:sz w:val="20"/>
              </w:rPr>
              <w:t>MD</w:t>
            </w:r>
          </w:p>
        </w:tc>
        <w:tc>
          <w:tcPr>
            <w:tcW w:w="16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20879</w:t>
            </w:r>
          </w:p>
        </w:tc>
      </w:tr>
      <w:tr>
        <w:trPr/>
        <w:tc>
          <w:tcPr>
            <w:tcW w:w="49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and zip code of Principal Executive Offices)</w:t>
            </w:r>
          </w:p>
        </w:tc>
      </w:tr>
    </w:tbl>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(240) 631-3200</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bl>
      <w:tblPr>
        <w:tblW w:w="10205" w:type="dxa"/>
        <w:jc w:val="center"/>
        <w:tblInd w:w="0" w:type="dxa"/>
        <w:tblLayout w:type="fixed"/>
        <w:tblCellMar>
          <w:top w:w="28" w:type="dxa"/>
          <w:left w:w="28" w:type="dxa"/>
          <w:bottom w:w="28" w:type="dxa"/>
          <w:right w:w="28" w:type="dxa"/>
        </w:tblCellMar>
      </w:tblPr>
      <w:tblGrid>
        <w:gridCol w:w="1301"/>
        <w:gridCol w:w="1117"/>
        <w:gridCol w:w="1108"/>
        <w:gridCol w:w="299"/>
        <w:gridCol w:w="299"/>
        <w:gridCol w:w="299"/>
        <w:gridCol w:w="457"/>
        <w:gridCol w:w="457"/>
        <w:gridCol w:w="442"/>
        <w:gridCol w:w="299"/>
        <w:gridCol w:w="299"/>
        <w:gridCol w:w="299"/>
        <w:gridCol w:w="1034"/>
        <w:gridCol w:w="1033"/>
        <w:gridCol w:w="1462"/>
      </w:tblGrid>
      <w:tr>
        <w:trPr/>
        <w:tc>
          <w:tcPr>
            <w:tcW w:w="130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Title of each class</w:t>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Trading Symbol</w:t>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Name of each exchange on which registered</w:t>
            </w:r>
          </w:p>
        </w:tc>
      </w:tr>
      <w:tr>
        <w:trPr/>
        <w:tc>
          <w:tcPr>
            <w:tcW w:w="3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 per share</w:t>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EBS</w:t>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April 23, 2026, the registrant had 51,596,296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60"/>
        <w:jc w:val="center"/>
        <w:rPr>
          <w:rFonts w:ascii="Times New Roman;serif" w:hAnsi="Times New Roman;serif"/>
          <w:b/>
          <w:color w:val="19415E"/>
          <w:sz w:val="24"/>
        </w:rPr>
      </w:pPr>
      <w:r>
        <w:rPr>
          <w:rFonts w:ascii="Times New Roman;serif" w:hAnsi="Times New Roman;serif"/>
          <w:b/>
          <w:color w:val="19415E"/>
          <w:sz w:val="24"/>
        </w:rPr>
        <w:t>Emergent BioSolutions Inc. and Subsidiaries</w:t>
      </w:r>
    </w:p>
    <w:p>
      <w:pPr>
        <w:pStyle w:val="TextBody"/>
        <w:bidi w:val="0"/>
        <w:spacing w:lineRule="auto" w:line="288" w:before="0" w:after="60"/>
        <w:jc w:val="center"/>
        <w:rPr>
          <w:rFonts w:ascii="Times New Roman;serif" w:hAnsi="Times New Roman;serif"/>
          <w:b/>
          <w:color w:val="19415E"/>
          <w:sz w:val="24"/>
        </w:rPr>
      </w:pPr>
      <w:r>
        <w:rPr>
          <w:rFonts w:ascii="Times New Roman;serif" w:hAnsi="Times New Roman;serif"/>
          <w:b/>
          <w:color w:val="19415E"/>
          <w:sz w:val="24"/>
        </w:rPr>
        <w:t>Form 10-Q</w:t>
      </w:r>
    </w:p>
    <w:p>
      <w:pPr>
        <w:pStyle w:val="TextBody"/>
        <w:bidi w:val="0"/>
        <w:spacing w:lineRule="auto" w:line="288" w:before="0" w:after="60"/>
        <w:jc w:val="center"/>
        <w:rPr>
          <w:rFonts w:ascii="Times New Roman;serif" w:hAnsi="Times New Roman;serif"/>
          <w:b/>
          <w:color w:val="19415E"/>
          <w:sz w:val="24"/>
        </w:rPr>
      </w:pPr>
      <w:r>
        <w:rPr>
          <w:rFonts w:ascii="Times New Roman;serif" w:hAnsi="Times New Roman;serif"/>
          <w:b/>
          <w:color w:val="19415E"/>
          <w:sz w:val="24"/>
        </w:rPr>
        <w:t>TABLE OF CONTENTS</w:t>
      </w:r>
    </w:p>
    <w:tbl>
      <w:tblPr>
        <w:tblW w:w="10205" w:type="dxa"/>
        <w:jc w:val="left"/>
        <w:tblInd w:w="0" w:type="dxa"/>
        <w:tblLayout w:type="fixed"/>
        <w:tblCellMar>
          <w:top w:w="28" w:type="dxa"/>
          <w:left w:w="28" w:type="dxa"/>
          <w:bottom w:w="28" w:type="dxa"/>
          <w:right w:w="28" w:type="dxa"/>
        </w:tblCellMar>
      </w:tblPr>
      <w:tblGrid>
        <w:gridCol w:w="287"/>
        <w:gridCol w:w="229"/>
        <w:gridCol w:w="229"/>
        <w:gridCol w:w="2860"/>
        <w:gridCol w:w="2749"/>
        <w:gridCol w:w="2759"/>
        <w:gridCol w:w="318"/>
        <w:gridCol w:w="318"/>
        <w:gridCol w:w="456"/>
      </w:tblGrid>
      <w:tr>
        <w:trPr/>
        <w:tc>
          <w:tcPr>
            <w:tcW w:w="28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19415E"/>
                <w:sz w:val="20"/>
                <w:u w:val="single"/>
              </w:rPr>
            </w:pPr>
            <w:r>
              <w:rPr>
                <w:rFonts w:ascii="Times New Roman;serif" w:hAnsi="Times New Roman;serif"/>
                <w:b/>
                <w:color w:val="19415E"/>
                <w:sz w:val="20"/>
                <w:u w:val="single"/>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d0293c6f32e64116a9938b90381723e7_10">
              <w:r>
                <w:rPr>
                  <w:rStyle w:val="InternetLink"/>
                  <w:rFonts w:ascii="Times New Roman;serif" w:hAnsi="Times New Roman;serif"/>
                  <w:b/>
                  <w:color w:val="19415E"/>
                  <w:sz w:val="20"/>
                  <w:u w:val="single"/>
                </w:rPr>
                <w:t>Part I. Financial Information</w:t>
              </w:r>
            </w:hyperlink>
          </w:p>
        </w:tc>
      </w:tr>
      <w:tr>
        <w:trPr/>
        <w:tc>
          <w:tcPr>
            <w:tcW w:w="7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293c6f32e64116a9938b90381723e7_13">
              <w:r>
                <w:rPr>
                  <w:rStyle w:val="InternetLink"/>
                  <w:rFonts w:ascii="Times New Roman;serif" w:hAnsi="Times New Roman;serif"/>
                  <w:b w:val="false"/>
                  <w:color w:val="19415E"/>
                  <w:sz w:val="20"/>
                  <w:u w:val="single"/>
                </w:rPr>
                <w:t>Item 1.</w:t>
              </w:r>
            </w:hyperlink>
          </w:p>
        </w:tc>
        <w:tc>
          <w:tcPr>
            <w:tcW w:w="836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0293c6f32e64116a9938b90381723e7_13">
              <w:r>
                <w:rPr>
                  <w:rStyle w:val="InternetLink"/>
                  <w:rFonts w:ascii="Times New Roman;serif" w:hAnsi="Times New Roman;serif"/>
                  <w:b w:val="false"/>
                  <w:color w:val="19415E"/>
                  <w:sz w:val="20"/>
                  <w:u w:val="single"/>
                </w:rPr>
                <w:t>Financial Statements</w:t>
              </w:r>
            </w:hyperlink>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0293c6f32e64116a9938b90381723e7_13">
              <w:r>
                <w:rPr>
                  <w:rStyle w:val="InternetLink"/>
                  <w:rFonts w:ascii="Times New Roman;serif" w:hAnsi="Times New Roman;serif"/>
                  <w:b w:val="false"/>
                  <w:strike w:val="false"/>
                  <w:dstrike w:val="false"/>
                  <w:color w:val="19415E"/>
                  <w:sz w:val="20"/>
                  <w:u w:val="none"/>
                  <w:effect w:val="none"/>
                </w:rPr>
                <w:t>5</w:t>
              </w:r>
            </w:hyperlink>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19415E"/>
              </w:rPr>
            </w:pPr>
            <w:r>
              <w:rPr>
                <w:color w:val="19415E"/>
              </w:rPr>
              <w:t> </w:t>
            </w:r>
          </w:p>
        </w:tc>
        <w:tc>
          <w:tcPr>
            <w:tcW w:w="836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0293c6f32e64116a9938b90381723e7_16">
              <w:r>
                <w:rPr>
                  <w:rStyle w:val="InternetLink"/>
                  <w:rFonts w:ascii="Times New Roman;serif" w:hAnsi="Times New Roman;serif"/>
                  <w:b w:val="false"/>
                  <w:color w:val="000080"/>
                  <w:sz w:val="20"/>
                  <w:u w:val="single"/>
                </w:rPr>
                <w:t>Condensed Consolidated Balance Sheets—</w:t>
              </w:r>
            </w:hyperlink>
            <w:hyperlink w:anchor="id0293c6f32e64116a9938b90381723e7_16">
              <w:r>
                <w:rPr>
                  <w:rStyle w:val="InternetLink"/>
                  <w:rFonts w:ascii="Times New Roman;serif" w:hAnsi="Times New Roman;serif"/>
                  <w:b w:val="false"/>
                  <w:color w:val="000080"/>
                  <w:sz w:val="20"/>
                  <w:u w:val="single"/>
                </w:rPr>
                <w:t>March 31</w:t>
              </w:r>
            </w:hyperlink>
            <w:hyperlink w:anchor="id0293c6f32e64116a9938b90381723e7_16">
              <w:r>
                <w:rPr>
                  <w:rStyle w:val="InternetLink"/>
                  <w:rFonts w:ascii="Times New Roman;serif" w:hAnsi="Times New Roman;serif"/>
                  <w:b w:val="false"/>
                  <w:color w:val="000080"/>
                  <w:sz w:val="20"/>
                  <w:u w:val="single"/>
                </w:rPr>
                <w:t>, 202</w:t>
              </w:r>
            </w:hyperlink>
            <w:hyperlink w:anchor="id0293c6f32e64116a9938b90381723e7_16">
              <w:r>
                <w:rPr>
                  <w:rStyle w:val="InternetLink"/>
                  <w:rFonts w:ascii="Times New Roman;serif" w:hAnsi="Times New Roman;serif"/>
                  <w:b w:val="false"/>
                  <w:color w:val="000080"/>
                  <w:sz w:val="20"/>
                  <w:u w:val="single"/>
                </w:rPr>
                <w:t>6</w:t>
              </w:r>
            </w:hyperlink>
            <w:hyperlink w:anchor="id0293c6f32e64116a9938b90381723e7_16">
              <w:r>
                <w:rPr>
                  <w:rStyle w:val="InternetLink"/>
                  <w:rFonts w:ascii="Times New Roman;serif" w:hAnsi="Times New Roman;serif"/>
                  <w:b w:val="false"/>
                  <w:color w:val="000080"/>
                  <w:sz w:val="20"/>
                  <w:u w:val="single"/>
                </w:rPr>
                <w:t xml:space="preserve"> and December 31, 20</w:t>
              </w:r>
            </w:hyperlink>
            <w:hyperlink w:anchor="id0293c6f32e64116a9938b90381723e7_16">
              <w:r>
                <w:rPr>
                  <w:rStyle w:val="InternetLink"/>
                  <w:rFonts w:ascii="Times New Roman;serif" w:hAnsi="Times New Roman;serif"/>
                  <w:b w:val="false"/>
                  <w:color w:val="000080"/>
                  <w:sz w:val="20"/>
                  <w:u w:val="single"/>
                </w:rPr>
                <w:t>25</w:t>
              </w:r>
            </w:hyperlink>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0293c6f32e64116a9938b90381723e7_16">
              <w:r>
                <w:rPr>
                  <w:rStyle w:val="InternetLink"/>
                  <w:rFonts w:ascii="Times New Roman;serif" w:hAnsi="Times New Roman;serif"/>
                  <w:b w:val="false"/>
                  <w:strike w:val="false"/>
                  <w:dstrike w:val="false"/>
                  <w:color w:val="19415E"/>
                  <w:sz w:val="20"/>
                  <w:u w:val="none"/>
                  <w:effect w:val="none"/>
                </w:rPr>
                <w:t>5</w:t>
              </w:r>
            </w:hyperlink>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19415E"/>
              </w:rPr>
            </w:pPr>
            <w:r>
              <w:rPr>
                <w:color w:val="19415E"/>
              </w:rPr>
              <w:t> </w:t>
            </w:r>
          </w:p>
        </w:tc>
        <w:tc>
          <w:tcPr>
            <w:tcW w:w="83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293c6f32e64116a9938b90381723e7_19">
              <w:r>
                <w:rPr>
                  <w:rStyle w:val="InternetLink"/>
                  <w:rFonts w:ascii="Times New Roman;serif" w:hAnsi="Times New Roman;serif"/>
                  <w:b w:val="false"/>
                  <w:color w:val="000080"/>
                  <w:sz w:val="20"/>
                  <w:u w:val="single"/>
                </w:rPr>
                <w:t xml:space="preserve">Condensed Consolidated Statements of Operations—Three </w:t>
              </w:r>
            </w:hyperlink>
            <w:hyperlink w:anchor="id0293c6f32e64116a9938b90381723e7_19">
              <w:r>
                <w:rPr>
                  <w:rStyle w:val="InternetLink"/>
                  <w:rFonts w:ascii="Times New Roman;serif" w:hAnsi="Times New Roman;serif"/>
                  <w:b w:val="false"/>
                  <w:color w:val="000080"/>
                  <w:sz w:val="20"/>
                  <w:u w:val="single"/>
                </w:rPr>
                <w:t xml:space="preserve">Months Ended </w:t>
              </w:r>
            </w:hyperlink>
            <w:hyperlink w:anchor="id0293c6f32e64116a9938b90381723e7_19">
              <w:r>
                <w:rPr>
                  <w:rStyle w:val="InternetLink"/>
                  <w:rFonts w:ascii="Times New Roman;serif" w:hAnsi="Times New Roman;serif"/>
                  <w:b w:val="false"/>
                  <w:color w:val="000080"/>
                  <w:sz w:val="20"/>
                  <w:u w:val="single"/>
                </w:rPr>
                <w:t>March 31</w:t>
              </w:r>
            </w:hyperlink>
            <w:hyperlink w:anchor="id0293c6f32e64116a9938b90381723e7_19">
              <w:r>
                <w:rPr>
                  <w:rStyle w:val="InternetLink"/>
                  <w:rFonts w:ascii="Times New Roman;serif" w:hAnsi="Times New Roman;serif"/>
                  <w:b w:val="false"/>
                  <w:color w:val="000080"/>
                  <w:sz w:val="20"/>
                  <w:u w:val="single"/>
                </w:rPr>
                <w:t>, 2026</w:t>
              </w:r>
            </w:hyperlink>
            <w:hyperlink w:anchor="id0293c6f32e64116a9938b90381723e7_19">
              <w:r>
                <w:rPr>
                  <w:rStyle w:val="InternetLink"/>
                  <w:rFonts w:ascii="Times New Roman;serif" w:hAnsi="Times New Roman;serif"/>
                  <w:b w:val="false"/>
                  <w:color w:val="000080"/>
                  <w:sz w:val="20"/>
                  <w:u w:val="single"/>
                </w:rPr>
                <w:t xml:space="preserve"> and 20</w:t>
              </w:r>
            </w:hyperlink>
            <w:hyperlink w:anchor="id0293c6f32e64116a9938b90381723e7_19">
              <w:r>
                <w:rPr>
                  <w:rStyle w:val="InternetLink"/>
                  <w:rFonts w:ascii="Times New Roman;serif" w:hAnsi="Times New Roman;serif"/>
                  <w:b w:val="false"/>
                  <w:color w:val="000080"/>
                  <w:sz w:val="20"/>
                  <w:u w:val="single"/>
                </w:rPr>
                <w:t>25</w:t>
              </w:r>
            </w:hyperlink>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0293c6f32e64116a9938b90381723e7_19">
              <w:r>
                <w:rPr>
                  <w:rStyle w:val="InternetLink"/>
                  <w:rFonts w:ascii="Times New Roman;serif" w:hAnsi="Times New Roman;serif"/>
                  <w:b w:val="false"/>
                  <w:strike w:val="false"/>
                  <w:dstrike w:val="false"/>
                  <w:color w:val="19415E"/>
                  <w:sz w:val="20"/>
                  <w:u w:val="none"/>
                  <w:effect w:val="none"/>
                </w:rPr>
                <w:t>6</w:t>
              </w:r>
            </w:hyperlink>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19415E"/>
              </w:rPr>
            </w:pPr>
            <w:r>
              <w:rPr>
                <w:color w:val="19415E"/>
              </w:rPr>
              <w:t> </w:t>
            </w:r>
          </w:p>
        </w:tc>
        <w:tc>
          <w:tcPr>
            <w:tcW w:w="83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293c6f32e64116a9938b90381723e7_22">
              <w:r>
                <w:rPr>
                  <w:rStyle w:val="InternetLink"/>
                  <w:rFonts w:ascii="Times New Roman;serif" w:hAnsi="Times New Roman;serif"/>
                  <w:b w:val="false"/>
                  <w:color w:val="000080"/>
                  <w:sz w:val="20"/>
                  <w:u w:val="single"/>
                </w:rPr>
                <w:t xml:space="preserve">Condensed Consolidated Statements of Comprehensive Income </w:t>
              </w:r>
            </w:hyperlink>
            <w:hyperlink w:anchor="id0293c6f32e64116a9938b90381723e7_22">
              <w:r>
                <w:rPr>
                  <w:rStyle w:val="InternetLink"/>
                  <w:rFonts w:ascii="Times New Roman;serif" w:hAnsi="Times New Roman;serif"/>
                  <w:b w:val="false"/>
                  <w:color w:val="000080"/>
                  <w:sz w:val="20"/>
                  <w:u w:val="single"/>
                </w:rPr>
                <w:t>—</w:t>
              </w:r>
            </w:hyperlink>
            <w:hyperlink w:anchor="id0293c6f32e64116a9938b90381723e7_19">
              <w:r>
                <w:rPr>
                  <w:rStyle w:val="InternetLink"/>
                  <w:rFonts w:ascii="Times New Roman;serif" w:hAnsi="Times New Roman;serif"/>
                  <w:b w:val="false"/>
                  <w:color w:val="000080"/>
                  <w:sz w:val="20"/>
                  <w:u w:val="single"/>
                </w:rPr>
                <w:t>Three</w:t>
              </w:r>
            </w:hyperlink>
            <w:hyperlink w:anchor="id0293c6f32e64116a9938b90381723e7_19">
              <w:r>
                <w:rPr>
                  <w:rStyle w:val="InternetLink"/>
                  <w:rFonts w:ascii="Times New Roman;serif" w:hAnsi="Times New Roman;serif"/>
                  <w:b w:val="false"/>
                  <w:color w:val="000080"/>
                  <w:sz w:val="20"/>
                  <w:u w:val="single"/>
                </w:rPr>
                <w:t xml:space="preserve"> Months Ended </w:t>
              </w:r>
            </w:hyperlink>
            <w:hyperlink w:anchor="id0293c6f32e64116a9938b90381723e7_19">
              <w:r>
                <w:rPr>
                  <w:rStyle w:val="InternetLink"/>
                  <w:rFonts w:ascii="Times New Roman;serif" w:hAnsi="Times New Roman;serif"/>
                  <w:b w:val="false"/>
                  <w:color w:val="000080"/>
                  <w:sz w:val="20"/>
                  <w:u w:val="single"/>
                </w:rPr>
                <w:t>March 31, 2026</w:t>
              </w:r>
            </w:hyperlink>
            <w:hyperlink w:anchor="id0293c6f32e64116a9938b90381723e7_19">
              <w:r>
                <w:rPr>
                  <w:rStyle w:val="InternetLink"/>
                  <w:rFonts w:ascii="Times New Roman;serif" w:hAnsi="Times New Roman;serif"/>
                  <w:b w:val="false"/>
                  <w:color w:val="000080"/>
                  <w:sz w:val="20"/>
                  <w:u w:val="single"/>
                </w:rPr>
                <w:t xml:space="preserve"> </w:t>
              </w:r>
            </w:hyperlink>
            <w:hyperlink w:anchor="id0293c6f32e64116a9938b90381723e7_19">
              <w:r>
                <w:rPr>
                  <w:rStyle w:val="InternetLink"/>
                  <w:rFonts w:ascii="Times New Roman;serif" w:hAnsi="Times New Roman;serif"/>
                  <w:b w:val="false"/>
                  <w:color w:val="000080"/>
                  <w:sz w:val="20"/>
                  <w:u w:val="single"/>
                </w:rPr>
                <w:t>and 202</w:t>
              </w:r>
            </w:hyperlink>
            <w:hyperlink w:anchor="id0293c6f32e64116a9938b90381723e7_19">
              <w:r>
                <w:rPr>
                  <w:rStyle w:val="InternetLink"/>
                  <w:rFonts w:ascii="Times New Roman;serif" w:hAnsi="Times New Roman;serif"/>
                  <w:b w:val="false"/>
                  <w:color w:val="000080"/>
                  <w:sz w:val="20"/>
                  <w:u w:val="single"/>
                </w:rPr>
                <w:t>5</w:t>
              </w:r>
            </w:hyperlink>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0293c6f32e64116a9938b90381723e7_22">
              <w:r>
                <w:rPr>
                  <w:rStyle w:val="InternetLink"/>
                  <w:rFonts w:ascii="Times New Roman;serif" w:hAnsi="Times New Roman;serif"/>
                  <w:b w:val="false"/>
                  <w:strike w:val="false"/>
                  <w:dstrike w:val="false"/>
                  <w:color w:val="19415E"/>
                  <w:sz w:val="20"/>
                  <w:u w:val="none"/>
                  <w:effect w:val="none"/>
                </w:rPr>
                <w:t>7</w:t>
              </w:r>
            </w:hyperlink>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19415E"/>
              </w:rPr>
            </w:pPr>
            <w:r>
              <w:rPr>
                <w:color w:val="19415E"/>
              </w:rPr>
              <w:t> </w:t>
            </w:r>
          </w:p>
        </w:tc>
        <w:tc>
          <w:tcPr>
            <w:tcW w:w="836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0293c6f32e64116a9938b90381723e7_25">
              <w:r>
                <w:rPr>
                  <w:rStyle w:val="InternetLink"/>
                  <w:rFonts w:ascii="Times New Roman;serif" w:hAnsi="Times New Roman;serif"/>
                  <w:b w:val="false"/>
                  <w:color w:val="000080"/>
                  <w:sz w:val="20"/>
                  <w:u w:val="single"/>
                </w:rPr>
                <w:t>Condensed Consolidated Statements of Cash Flows—</w:t>
              </w:r>
            </w:hyperlink>
            <w:hyperlink w:anchor="id0293c6f32e64116a9938b90381723e7_25">
              <w:r>
                <w:rPr>
                  <w:rStyle w:val="InternetLink"/>
                  <w:rFonts w:ascii="Times New Roman;serif" w:hAnsi="Times New Roman;serif"/>
                  <w:b w:val="false"/>
                  <w:color w:val="000080"/>
                  <w:sz w:val="20"/>
                  <w:u w:val="single"/>
                </w:rPr>
                <w:t>Three</w:t>
              </w:r>
            </w:hyperlink>
            <w:hyperlink w:anchor="id0293c6f32e64116a9938b90381723e7_25">
              <w:r>
                <w:rPr>
                  <w:rStyle w:val="InternetLink"/>
                  <w:rFonts w:ascii="Times New Roman;serif" w:hAnsi="Times New Roman;serif"/>
                  <w:b w:val="false"/>
                  <w:color w:val="000080"/>
                  <w:sz w:val="20"/>
                  <w:u w:val="single"/>
                </w:rPr>
                <w:t xml:space="preserve"> Months Ended </w:t>
              </w:r>
            </w:hyperlink>
            <w:hyperlink w:anchor="id0293c6f32e64116a9938b90381723e7_25">
              <w:r>
                <w:rPr>
                  <w:rStyle w:val="InternetLink"/>
                  <w:rFonts w:ascii="Times New Roman;serif" w:hAnsi="Times New Roman;serif"/>
                  <w:b w:val="false"/>
                  <w:color w:val="000080"/>
                  <w:sz w:val="20"/>
                  <w:u w:val="single"/>
                </w:rPr>
                <w:t>March 31, 2026</w:t>
              </w:r>
            </w:hyperlink>
            <w:hyperlink w:anchor="id0293c6f32e64116a9938b90381723e7_25">
              <w:r>
                <w:rPr>
                  <w:rStyle w:val="InternetLink"/>
                  <w:rFonts w:ascii="Times New Roman;serif" w:hAnsi="Times New Roman;serif"/>
                  <w:b w:val="false"/>
                  <w:color w:val="000080"/>
                  <w:sz w:val="20"/>
                  <w:u w:val="single"/>
                </w:rPr>
                <w:t xml:space="preserve"> and 202</w:t>
              </w:r>
            </w:hyperlink>
            <w:hyperlink w:anchor="id0293c6f32e64116a9938b90381723e7_25">
              <w:r>
                <w:rPr>
                  <w:rStyle w:val="InternetLink"/>
                  <w:rFonts w:ascii="Times New Roman;serif" w:hAnsi="Times New Roman;serif"/>
                  <w:b w:val="false"/>
                  <w:color w:val="000080"/>
                  <w:sz w:val="20"/>
                  <w:u w:val="single"/>
                </w:rPr>
                <w:t>5</w:t>
              </w:r>
            </w:hyperlink>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0293c6f32e64116a9938b90381723e7_25">
              <w:r>
                <w:rPr>
                  <w:rStyle w:val="InternetLink"/>
                  <w:rFonts w:ascii="Times New Roman;serif" w:hAnsi="Times New Roman;serif"/>
                  <w:b w:val="false"/>
                  <w:strike w:val="false"/>
                  <w:dstrike w:val="false"/>
                  <w:color w:val="19415E"/>
                  <w:sz w:val="20"/>
                  <w:u w:val="none"/>
                  <w:effect w:val="none"/>
                </w:rPr>
                <w:t>8</w:t>
              </w:r>
            </w:hyperlink>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19415E"/>
              </w:rPr>
            </w:pPr>
            <w:r>
              <w:rPr>
                <w:color w:val="19415E"/>
              </w:rPr>
              <w:t> </w:t>
            </w:r>
          </w:p>
        </w:tc>
        <w:tc>
          <w:tcPr>
            <w:tcW w:w="83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293c6f32e64116a9938b90381723e7_28">
              <w:r>
                <w:rPr>
                  <w:rStyle w:val="InternetLink"/>
                  <w:rFonts w:ascii="Times New Roman;serif" w:hAnsi="Times New Roman;serif"/>
                  <w:b w:val="false"/>
                  <w:color w:val="000080"/>
                  <w:sz w:val="20"/>
                  <w:u w:val="single"/>
                </w:rPr>
                <w:t>Condensed Consolidated Statements of Changes in Stockholders' Equity—</w:t>
              </w:r>
            </w:hyperlink>
            <w:hyperlink w:anchor="id0293c6f32e64116a9938b90381723e7_19">
              <w:r>
                <w:rPr>
                  <w:rStyle w:val="InternetLink"/>
                  <w:rFonts w:ascii="Times New Roman;serif" w:hAnsi="Times New Roman;serif"/>
                  <w:b w:val="false"/>
                  <w:color w:val="000080"/>
                  <w:sz w:val="20"/>
                  <w:u w:val="single"/>
                </w:rPr>
                <w:t xml:space="preserve">Three </w:t>
              </w:r>
            </w:hyperlink>
            <w:hyperlink w:anchor="id0293c6f32e64116a9938b90381723e7_19">
              <w:r>
                <w:rPr>
                  <w:rStyle w:val="InternetLink"/>
                  <w:rFonts w:ascii="Times New Roman;serif" w:hAnsi="Times New Roman;serif"/>
                  <w:b w:val="false"/>
                  <w:color w:val="000080"/>
                  <w:sz w:val="20"/>
                  <w:u w:val="single"/>
                </w:rPr>
                <w:t>Months Ended</w:t>
              </w:r>
            </w:hyperlink>
            <w:hyperlink w:anchor="id0293c6f32e64116a9938b90381723e7_19">
              <w:r>
                <w:rPr>
                  <w:rStyle w:val="InternetLink"/>
                  <w:rFonts w:ascii="Times New Roman;serif" w:hAnsi="Times New Roman;serif"/>
                  <w:b w:val="false"/>
                  <w:color w:val="000080"/>
                  <w:sz w:val="20"/>
                  <w:u w:val="single"/>
                </w:rPr>
                <w:t xml:space="preserve"> Mar</w:t>
              </w:r>
            </w:hyperlink>
            <w:hyperlink w:anchor="id0293c6f32e64116a9938b90381723e7_19">
              <w:r>
                <w:rPr>
                  <w:rStyle w:val="InternetLink"/>
                  <w:rFonts w:ascii="Times New Roman;serif" w:hAnsi="Times New Roman;serif"/>
                  <w:b w:val="false"/>
                  <w:color w:val="000080"/>
                  <w:sz w:val="20"/>
                  <w:u w:val="single"/>
                </w:rPr>
                <w:t>ch 31, 2026</w:t>
              </w:r>
            </w:hyperlink>
            <w:hyperlink w:anchor="id0293c6f32e64116a9938b90381723e7_19">
              <w:r>
                <w:rPr>
                  <w:rStyle w:val="InternetLink"/>
                  <w:rFonts w:ascii="Times New Roman;serif" w:hAnsi="Times New Roman;serif"/>
                  <w:b w:val="false"/>
                  <w:color w:val="000080"/>
                  <w:sz w:val="20"/>
                  <w:u w:val="single"/>
                </w:rPr>
                <w:t xml:space="preserve"> and 202</w:t>
              </w:r>
            </w:hyperlink>
            <w:hyperlink w:anchor="id0293c6f32e64116a9938b90381723e7_19">
              <w:r>
                <w:rPr>
                  <w:rStyle w:val="InternetLink"/>
                  <w:rFonts w:ascii="Times New Roman;serif" w:hAnsi="Times New Roman;serif"/>
                  <w:b w:val="false"/>
                  <w:color w:val="000080"/>
                  <w:sz w:val="20"/>
                  <w:u w:val="single"/>
                </w:rPr>
                <w:t>5</w:t>
              </w:r>
            </w:hyperlink>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0293c6f32e64116a9938b90381723e7_28">
              <w:r>
                <w:rPr>
                  <w:rStyle w:val="InternetLink"/>
                  <w:rFonts w:ascii="Times New Roman;serif" w:hAnsi="Times New Roman;serif"/>
                  <w:b w:val="false"/>
                  <w:strike w:val="false"/>
                  <w:dstrike w:val="false"/>
                  <w:color w:val="19415E"/>
                  <w:sz w:val="20"/>
                  <w:u w:val="none"/>
                  <w:effect w:val="none"/>
                </w:rPr>
                <w:t>9</w:t>
              </w:r>
            </w:hyperlink>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19415E"/>
              </w:rPr>
            </w:pPr>
            <w:r>
              <w:rPr>
                <w:color w:val="19415E"/>
              </w:rPr>
              <w:t> </w:t>
            </w:r>
          </w:p>
        </w:tc>
        <w:tc>
          <w:tcPr>
            <w:tcW w:w="836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0293c6f32e64116a9938b90381723e7_31">
              <w:r>
                <w:rPr>
                  <w:rStyle w:val="InternetLink"/>
                  <w:rFonts w:ascii="Times New Roman;serif" w:hAnsi="Times New Roman;serif"/>
                  <w:b w:val="false"/>
                  <w:color w:val="19415E"/>
                  <w:sz w:val="20"/>
                  <w:u w:val="single"/>
                </w:rPr>
                <w:t>Notes to Condensed Consolidated Financial Statements</w:t>
              </w:r>
            </w:hyperlink>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0293c6f32e64116a9938b90381723e7_31">
              <w:r>
                <w:rPr>
                  <w:rStyle w:val="InternetLink"/>
                  <w:rFonts w:ascii="Times New Roman;serif" w:hAnsi="Times New Roman;serif"/>
                  <w:b w:val="false"/>
                  <w:strike w:val="false"/>
                  <w:dstrike w:val="false"/>
                  <w:color w:val="19415E"/>
                  <w:sz w:val="20"/>
                  <w:u w:val="none"/>
                  <w:effect w:val="none"/>
                </w:rPr>
                <w:t>10</w:t>
              </w:r>
            </w:hyperlink>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293c6f32e64116a9938b90381723e7_97">
              <w:r>
                <w:rPr>
                  <w:rStyle w:val="InternetLink"/>
                  <w:rFonts w:ascii="Times New Roman;serif" w:hAnsi="Times New Roman;serif"/>
                  <w:b w:val="false"/>
                  <w:color w:val="19415E"/>
                  <w:sz w:val="20"/>
                  <w:u w:val="single"/>
                </w:rPr>
                <w:t>Item 2.</w:t>
              </w:r>
            </w:hyperlink>
          </w:p>
        </w:tc>
        <w:tc>
          <w:tcPr>
            <w:tcW w:w="836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0293c6f32e64116a9938b90381723e7_97">
              <w:r>
                <w:rPr>
                  <w:rStyle w:val="InternetLink"/>
                  <w:rFonts w:ascii="Times New Roman;serif" w:hAnsi="Times New Roman;serif"/>
                  <w:b w:val="false"/>
                  <w:color w:val="19415E"/>
                  <w:sz w:val="20"/>
                  <w:u w:val="single"/>
                </w:rPr>
                <w:t>Management's Discussion and Analysis of Financial Condition and Results of Operations</w:t>
              </w:r>
            </w:hyperlink>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0293c6f32e64116a9938b90381723e7_97">
              <w:r>
                <w:rPr>
                  <w:rStyle w:val="InternetLink"/>
                  <w:rFonts w:ascii="Times New Roman;serif" w:hAnsi="Times New Roman;serif"/>
                  <w:b w:val="false"/>
                  <w:strike w:val="false"/>
                  <w:dstrike w:val="false"/>
                  <w:color w:val="19415E"/>
                  <w:sz w:val="20"/>
                  <w:u w:val="none"/>
                  <w:effect w:val="none"/>
                </w:rPr>
                <w:t>26</w:t>
              </w:r>
            </w:hyperlink>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293c6f32e64116a9938b90381723e7_115">
              <w:r>
                <w:rPr>
                  <w:rStyle w:val="InternetLink"/>
                  <w:rFonts w:ascii="Times New Roman;serif" w:hAnsi="Times New Roman;serif"/>
                  <w:b w:val="false"/>
                  <w:color w:val="19415E"/>
                  <w:sz w:val="20"/>
                  <w:u w:val="single"/>
                </w:rPr>
                <w:t>Item 3.</w:t>
              </w:r>
            </w:hyperlink>
          </w:p>
        </w:tc>
        <w:tc>
          <w:tcPr>
            <w:tcW w:w="836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0293c6f32e64116a9938b90381723e7_115">
              <w:r>
                <w:rPr>
                  <w:rStyle w:val="InternetLink"/>
                  <w:rFonts w:ascii="Times New Roman;serif" w:hAnsi="Times New Roman;serif"/>
                  <w:b w:val="false"/>
                  <w:color w:val="19415E"/>
                  <w:sz w:val="20"/>
                  <w:u w:val="single"/>
                </w:rPr>
                <w:t>Quantitative and Qualitative Disclosures About Market Risk</w:t>
              </w:r>
            </w:hyperlink>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0293c6f32e64116a9938b90381723e7_115">
              <w:r>
                <w:rPr>
                  <w:rStyle w:val="InternetLink"/>
                  <w:rFonts w:ascii="Times New Roman;serif" w:hAnsi="Times New Roman;serif"/>
                  <w:b w:val="false"/>
                  <w:strike w:val="false"/>
                  <w:dstrike w:val="false"/>
                  <w:color w:val="19415E"/>
                  <w:sz w:val="20"/>
                  <w:u w:val="none"/>
                  <w:effect w:val="none"/>
                </w:rPr>
                <w:t>40</w:t>
              </w:r>
            </w:hyperlink>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293c6f32e64116a9938b90381723e7_118">
              <w:r>
                <w:rPr>
                  <w:rStyle w:val="InternetLink"/>
                  <w:rFonts w:ascii="Times New Roman;serif" w:hAnsi="Times New Roman;serif"/>
                  <w:b w:val="false"/>
                  <w:color w:val="19415E"/>
                  <w:sz w:val="20"/>
                  <w:u w:val="single"/>
                </w:rPr>
                <w:t>Item 4.</w:t>
              </w:r>
            </w:hyperlink>
          </w:p>
        </w:tc>
        <w:tc>
          <w:tcPr>
            <w:tcW w:w="836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0293c6f32e64116a9938b90381723e7_118">
              <w:r>
                <w:rPr>
                  <w:rStyle w:val="InternetLink"/>
                  <w:rFonts w:ascii="Times New Roman;serif" w:hAnsi="Times New Roman;serif"/>
                  <w:b w:val="false"/>
                  <w:color w:val="19415E"/>
                  <w:sz w:val="20"/>
                  <w:u w:val="single"/>
                </w:rPr>
                <w:t>Controls and Procedures</w:t>
              </w:r>
            </w:hyperlink>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0293c6f32e64116a9938b90381723e7_118">
              <w:r>
                <w:rPr>
                  <w:rStyle w:val="InternetLink"/>
                  <w:rFonts w:ascii="Times New Roman;serif" w:hAnsi="Times New Roman;serif"/>
                  <w:b w:val="false"/>
                  <w:strike w:val="false"/>
                  <w:dstrike w:val="false"/>
                  <w:color w:val="19415E"/>
                  <w:sz w:val="20"/>
                  <w:u w:val="none"/>
                  <w:effect w:val="none"/>
                </w:rPr>
                <w:t>40</w:t>
              </w:r>
            </w:hyperlink>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d0293c6f32e64116a9938b90381723e7_121">
              <w:r>
                <w:rPr>
                  <w:rStyle w:val="InternetLink"/>
                  <w:rFonts w:ascii="Times New Roman;serif" w:hAnsi="Times New Roman;serif"/>
                  <w:b/>
                  <w:color w:val="19415E"/>
                  <w:sz w:val="20"/>
                  <w:u w:val="single"/>
                </w:rPr>
                <w:t>Part II. Other Information</w:t>
              </w:r>
            </w:hyperlink>
          </w:p>
        </w:tc>
      </w:tr>
      <w:tr>
        <w:trPr/>
        <w:tc>
          <w:tcPr>
            <w:tcW w:w="7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293c6f32e64116a9938b90381723e7_124">
              <w:r>
                <w:rPr>
                  <w:rStyle w:val="InternetLink"/>
                  <w:rFonts w:ascii="Times New Roman;serif" w:hAnsi="Times New Roman;serif"/>
                  <w:b w:val="false"/>
                  <w:color w:val="19415E"/>
                  <w:sz w:val="20"/>
                  <w:u w:val="single"/>
                </w:rPr>
                <w:t>Item 1.</w:t>
              </w:r>
            </w:hyperlink>
          </w:p>
        </w:tc>
        <w:tc>
          <w:tcPr>
            <w:tcW w:w="836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0293c6f32e64116a9938b90381723e7_124">
              <w:r>
                <w:rPr>
                  <w:rStyle w:val="InternetLink"/>
                  <w:rFonts w:ascii="Times New Roman;serif" w:hAnsi="Times New Roman;serif"/>
                  <w:b w:val="false"/>
                  <w:color w:val="19415E"/>
                  <w:sz w:val="20"/>
                  <w:u w:val="single"/>
                </w:rPr>
                <w:t>Legal Proceedings</w:t>
              </w:r>
            </w:hyperlink>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0293c6f32e64116a9938b90381723e7_124">
              <w:r>
                <w:rPr>
                  <w:rStyle w:val="InternetLink"/>
                  <w:rFonts w:ascii="Times New Roman;serif" w:hAnsi="Times New Roman;serif"/>
                  <w:b w:val="false"/>
                  <w:strike w:val="false"/>
                  <w:dstrike w:val="false"/>
                  <w:color w:val="19415E"/>
                  <w:sz w:val="20"/>
                  <w:u w:val="none"/>
                  <w:effect w:val="none"/>
                </w:rPr>
                <w:t>41</w:t>
              </w:r>
            </w:hyperlink>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293c6f32e64116a9938b90381723e7_127">
              <w:r>
                <w:rPr>
                  <w:rStyle w:val="InternetLink"/>
                  <w:rFonts w:ascii="Times New Roman;serif" w:hAnsi="Times New Roman;serif"/>
                  <w:b w:val="false"/>
                  <w:color w:val="19415E"/>
                  <w:sz w:val="20"/>
                  <w:u w:val="single"/>
                </w:rPr>
                <w:t>Item 1A.</w:t>
              </w:r>
            </w:hyperlink>
          </w:p>
        </w:tc>
        <w:tc>
          <w:tcPr>
            <w:tcW w:w="836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0293c6f32e64116a9938b90381723e7_127">
              <w:r>
                <w:rPr>
                  <w:rStyle w:val="InternetLink"/>
                  <w:rFonts w:ascii="Times New Roman;serif" w:hAnsi="Times New Roman;serif"/>
                  <w:b w:val="false"/>
                  <w:color w:val="19415E"/>
                  <w:sz w:val="20"/>
                  <w:u w:val="single"/>
                </w:rPr>
                <w:t>Risk Factors</w:t>
              </w:r>
            </w:hyperlink>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0293c6f32e64116a9938b90381723e7_127">
              <w:r>
                <w:rPr>
                  <w:rStyle w:val="InternetLink"/>
                  <w:rFonts w:ascii="Times New Roman;serif" w:hAnsi="Times New Roman;serif"/>
                  <w:b w:val="false"/>
                  <w:strike w:val="false"/>
                  <w:dstrike w:val="false"/>
                  <w:color w:val="19415E"/>
                  <w:sz w:val="20"/>
                  <w:u w:val="none"/>
                  <w:effect w:val="none"/>
                </w:rPr>
                <w:t>42</w:t>
              </w:r>
            </w:hyperlink>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293c6f32e64116a9938b90381723e7_130">
              <w:r>
                <w:rPr>
                  <w:rStyle w:val="InternetLink"/>
                  <w:rFonts w:ascii="Times New Roman;serif" w:hAnsi="Times New Roman;serif"/>
                  <w:b w:val="false"/>
                  <w:color w:val="19415E"/>
                  <w:sz w:val="20"/>
                  <w:u w:val="single"/>
                </w:rPr>
                <w:t>Item 2.</w:t>
              </w:r>
            </w:hyperlink>
          </w:p>
        </w:tc>
        <w:tc>
          <w:tcPr>
            <w:tcW w:w="836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0293c6f32e64116a9938b90381723e7_130">
              <w:r>
                <w:rPr>
                  <w:rStyle w:val="InternetLink"/>
                  <w:rFonts w:ascii="Times New Roman;serif" w:hAnsi="Times New Roman;serif"/>
                  <w:b w:val="false"/>
                  <w:color w:val="19415E"/>
                  <w:sz w:val="20"/>
                  <w:u w:val="single"/>
                </w:rPr>
                <w:t>Unregistered Sales of Equity Securities and Use of Proceeds</w:t>
              </w:r>
            </w:hyperlink>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0293c6f32e64116a9938b90381723e7_130">
              <w:r>
                <w:rPr>
                  <w:rStyle w:val="InternetLink"/>
                  <w:rFonts w:ascii="Times New Roman;serif" w:hAnsi="Times New Roman;serif"/>
                  <w:b w:val="false"/>
                  <w:strike w:val="false"/>
                  <w:dstrike w:val="false"/>
                  <w:color w:val="19415E"/>
                  <w:sz w:val="20"/>
                  <w:u w:val="none"/>
                  <w:effect w:val="none"/>
                </w:rPr>
                <w:t>43</w:t>
              </w:r>
            </w:hyperlink>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293c6f32e64116a9938b90381723e7_133">
              <w:r>
                <w:rPr>
                  <w:rStyle w:val="InternetLink"/>
                  <w:rFonts w:ascii="Times New Roman;serif" w:hAnsi="Times New Roman;serif"/>
                  <w:b w:val="false"/>
                  <w:color w:val="19415E"/>
                  <w:sz w:val="20"/>
                  <w:u w:val="single"/>
                </w:rPr>
                <w:t>Item 3.</w:t>
              </w:r>
            </w:hyperlink>
          </w:p>
        </w:tc>
        <w:tc>
          <w:tcPr>
            <w:tcW w:w="836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0293c6f32e64116a9938b90381723e7_133">
              <w:r>
                <w:rPr>
                  <w:rStyle w:val="InternetLink"/>
                  <w:rFonts w:ascii="Times New Roman;serif" w:hAnsi="Times New Roman;serif"/>
                  <w:b w:val="false"/>
                  <w:color w:val="19415E"/>
                  <w:sz w:val="20"/>
                  <w:u w:val="single"/>
                </w:rPr>
                <w:t>Defaults Upon Senior Securities</w:t>
              </w:r>
            </w:hyperlink>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0293c6f32e64116a9938b90381723e7_133">
              <w:r>
                <w:rPr>
                  <w:rStyle w:val="InternetLink"/>
                  <w:rFonts w:ascii="Times New Roman;serif" w:hAnsi="Times New Roman;serif"/>
                  <w:b w:val="false"/>
                  <w:strike w:val="false"/>
                  <w:dstrike w:val="false"/>
                  <w:color w:val="19415E"/>
                  <w:sz w:val="20"/>
                  <w:u w:val="none"/>
                  <w:effect w:val="none"/>
                </w:rPr>
                <w:t>43</w:t>
              </w:r>
            </w:hyperlink>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293c6f32e64116a9938b90381723e7_136">
              <w:r>
                <w:rPr>
                  <w:rStyle w:val="InternetLink"/>
                  <w:rFonts w:ascii="Times New Roman;serif" w:hAnsi="Times New Roman;serif"/>
                  <w:b w:val="false"/>
                  <w:color w:val="19415E"/>
                  <w:sz w:val="20"/>
                  <w:u w:val="single"/>
                </w:rPr>
                <w:t>Item 4.</w:t>
              </w:r>
            </w:hyperlink>
          </w:p>
        </w:tc>
        <w:tc>
          <w:tcPr>
            <w:tcW w:w="836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0293c6f32e64116a9938b90381723e7_136">
              <w:r>
                <w:rPr>
                  <w:rStyle w:val="InternetLink"/>
                  <w:rFonts w:ascii="Times New Roman;serif" w:hAnsi="Times New Roman;serif"/>
                  <w:b w:val="false"/>
                  <w:color w:val="19415E"/>
                  <w:sz w:val="20"/>
                  <w:u w:val="single"/>
                </w:rPr>
                <w:t>Mine Safety Disclosures</w:t>
              </w:r>
            </w:hyperlink>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0293c6f32e64116a9938b90381723e7_136">
              <w:r>
                <w:rPr>
                  <w:rStyle w:val="InternetLink"/>
                  <w:rFonts w:ascii="Times New Roman;serif" w:hAnsi="Times New Roman;serif"/>
                  <w:b w:val="false"/>
                  <w:strike w:val="false"/>
                  <w:dstrike w:val="false"/>
                  <w:color w:val="19415E"/>
                  <w:sz w:val="20"/>
                  <w:u w:val="none"/>
                  <w:effect w:val="none"/>
                </w:rPr>
                <w:t>43</w:t>
              </w:r>
            </w:hyperlink>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293c6f32e64116a9938b90381723e7_139">
              <w:r>
                <w:rPr>
                  <w:rStyle w:val="InternetLink"/>
                  <w:rFonts w:ascii="Times New Roman;serif" w:hAnsi="Times New Roman;serif"/>
                  <w:b w:val="false"/>
                  <w:color w:val="19415E"/>
                  <w:sz w:val="20"/>
                  <w:u w:val="single"/>
                </w:rPr>
                <w:t>Item 5.</w:t>
              </w:r>
            </w:hyperlink>
          </w:p>
        </w:tc>
        <w:tc>
          <w:tcPr>
            <w:tcW w:w="836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0293c6f32e64116a9938b90381723e7_139">
              <w:r>
                <w:rPr>
                  <w:rStyle w:val="InternetLink"/>
                  <w:rFonts w:ascii="Times New Roman;serif" w:hAnsi="Times New Roman;serif"/>
                  <w:b w:val="false"/>
                  <w:color w:val="19415E"/>
                  <w:sz w:val="20"/>
                  <w:u w:val="single"/>
                </w:rPr>
                <w:t>Other Information</w:t>
              </w:r>
            </w:hyperlink>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0293c6f32e64116a9938b90381723e7_139">
              <w:r>
                <w:rPr>
                  <w:rStyle w:val="InternetLink"/>
                  <w:rFonts w:ascii="Times New Roman;serif" w:hAnsi="Times New Roman;serif"/>
                  <w:b w:val="false"/>
                  <w:strike w:val="false"/>
                  <w:dstrike w:val="false"/>
                  <w:color w:val="19415E"/>
                  <w:sz w:val="20"/>
                  <w:u w:val="none"/>
                  <w:effect w:val="none"/>
                </w:rPr>
                <w:t>43</w:t>
              </w:r>
            </w:hyperlink>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293c6f32e64116a9938b90381723e7_145">
              <w:r>
                <w:rPr>
                  <w:rStyle w:val="InternetLink"/>
                  <w:rFonts w:ascii="Times New Roman;serif" w:hAnsi="Times New Roman;serif"/>
                  <w:b w:val="false"/>
                  <w:color w:val="19415E"/>
                  <w:sz w:val="20"/>
                  <w:u w:val="single"/>
                </w:rPr>
                <w:t>Item 6.</w:t>
              </w:r>
            </w:hyperlink>
          </w:p>
        </w:tc>
        <w:tc>
          <w:tcPr>
            <w:tcW w:w="836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0293c6f32e64116a9938b90381723e7_145">
              <w:r>
                <w:rPr>
                  <w:rStyle w:val="InternetLink"/>
                  <w:rFonts w:ascii="Times New Roman;serif" w:hAnsi="Times New Roman;serif"/>
                  <w:b w:val="false"/>
                  <w:color w:val="19415E"/>
                  <w:sz w:val="20"/>
                  <w:u w:val="single"/>
                </w:rPr>
                <w:t>Exhibits</w:t>
              </w:r>
            </w:hyperlink>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0293c6f32e64116a9938b90381723e7_145">
              <w:r>
                <w:rPr>
                  <w:rStyle w:val="InternetLink"/>
                  <w:rFonts w:ascii="Times New Roman;serif" w:hAnsi="Times New Roman;serif"/>
                  <w:b w:val="false"/>
                  <w:strike w:val="false"/>
                  <w:dstrike w:val="false"/>
                  <w:color w:val="19415E"/>
                  <w:sz w:val="20"/>
                  <w:u w:val="none"/>
                  <w:effect w:val="none"/>
                </w:rPr>
                <w:t>43</w:t>
              </w:r>
            </w:hyperlink>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19415E"/>
              </w:rPr>
            </w:pPr>
            <w:r>
              <w:rPr>
                <w:color w:val="19415E"/>
              </w:rPr>
              <w:t> </w:t>
            </w:r>
          </w:p>
        </w:tc>
        <w:tc>
          <w:tcPr>
            <w:tcW w:w="836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0293c6f32e64116a9938b90381723e7_151">
              <w:r>
                <w:rPr>
                  <w:rStyle w:val="InternetLink"/>
                  <w:rFonts w:ascii="Times New Roman;serif" w:hAnsi="Times New Roman;serif"/>
                  <w:b w:val="false"/>
                  <w:color w:val="19415E"/>
                  <w:sz w:val="20"/>
                  <w:u w:val="single"/>
                </w:rPr>
                <w:t>Signatures</w:t>
              </w:r>
            </w:hyperlink>
          </w:p>
        </w:tc>
        <w:tc>
          <w:tcPr>
            <w:tcW w:w="109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0293c6f32e64116a9938b90381723e7_151">
              <w:r>
                <w:rPr>
                  <w:rStyle w:val="InternetLink"/>
                  <w:rFonts w:ascii="Times New Roman;serif" w:hAnsi="Times New Roman;serif"/>
                  <w:b w:val="false"/>
                  <w:strike w:val="false"/>
                  <w:dstrike w:val="false"/>
                  <w:color w:val="19415E"/>
                  <w:sz w:val="20"/>
                  <w:u w:val="none"/>
                  <w:effect w:val="non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19415E"/>
          <w:sz w:val="24"/>
        </w:rPr>
      </w:pPr>
      <w:r>
        <w:rPr>
          <w:rFonts w:ascii="Times New Roman;serif" w:hAnsi="Times New Roman;serif"/>
          <w:b/>
          <w:color w:val="19415E"/>
          <w:sz w:val="24"/>
        </w:rPr>
        <w:t>EMERGENT BIOSOLUTIONS INC.</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PART I. FINANCIAL INFORMATION</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CAUTIONARY NOTE REGARDING FORWARD-LOOKING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and the documents we incorporate by reference include forward-looking statements within the meaning of the Private Securities Litigation Reform Act of 1995. All statements, other than statements of historical fact, including statements regarding the future performance of Emergent BioSolutions Inc. or any of our businesses, our business strategy, future operations, future financial position, future revenues and earnings, our ability to achieve the objectives of our restructuring initiatives, acquisitions and divestitures, including our future results, projected costs, prospects, plans and objectives of management, are forward-looking statements. We generally identify forward-looking statements by using words like “anticipate,” “believe,” “continue,” “could,” “estimate,” “expect,” “forecast,” “future,” “goal,” “intend,” “may,” “plan,” “position,” “possible,” “potential,” “predict,” “project,” “should,” “target,” “will,” “would,” and similar expressions or variations thereof, or the negative thereof, but these terms are not the exclusive means of identifying such statements. These forward-looking statements are based on our current intentions, beliefs, assumptions and expectations regarding future events based on information that is currently available. You should realize that if underlying assumptions prove inaccurate or unknown risks or uncertainties materialize, actual results could differ materially from our expectations. You are, therefore, cautioned not to place undue reliance on any forward-looking statement contained herein. Any such forward-looking statement speaks only as of the date on which such statement is made and, except as required by law, we do not undertake any obligation to update any forward-looking statement to reflect new information, events or circumstances.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a number of important factors that could cause our actual results to differ materially from those indicated by such forward-looking statements, including, among others:</w:t>
      </w:r>
    </w:p>
    <w:p>
      <w:pPr>
        <w:pStyle w:val="TextBody"/>
        <w:bidi w:val="0"/>
        <w:spacing w:lineRule="auto" w:line="288" w:before="0" w:after="40"/>
        <w:ind w:left="0" w:right="0" w:hanging="360"/>
        <w:jc w:val="both"/>
        <w:rPr/>
      </w:pPr>
      <w:r>
        <w:rPr>
          <w:color w:val="19415E"/>
        </w:rPr>
        <w:t>•</w:t>
      </w:r>
      <w:r>
        <w:rPr>
          <w:rFonts w:ascii="Times New Roman;serif" w:hAnsi="Times New Roman;serif"/>
          <w:b w:val="false"/>
          <w:color w:val="000000"/>
          <w:sz w:val="20"/>
        </w:rPr>
        <w:t>the availability of U.S. government (“USG”) funding for contracts related to procurement of our medical countermeasures (“MCM”) products, including CYFENDUS</w:t>
      </w:r>
      <w:r>
        <w:rPr>
          <w:rFonts w:ascii="Times New Roman;serif" w:hAnsi="Times New Roman;serif"/>
          <w:b w:val="false"/>
          <w:color w:val="000000"/>
          <w:sz w:val="13"/>
        </w:rPr>
        <w:t xml:space="preserve">® </w:t>
      </w:r>
      <w:r>
        <w:rPr>
          <w:rFonts w:ascii="Times New Roman;serif" w:hAnsi="Times New Roman;serif"/>
          <w:b w:val="false"/>
          <w:color w:val="000000"/>
          <w:sz w:val="20"/>
        </w:rPr>
        <w:t>(Anthrax Vaccine Adsorbed (AVA), Adjuvanted),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(Smallpox (Vaccinia) Vaccine, Live), 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(Vaccinia Immune Globulin Intravenous, Human (VIGIV)), BAT</w:t>
      </w:r>
      <w:r>
        <w:rPr>
          <w:rFonts w:ascii="Times New Roman;serif" w:hAnsi="Times New Roman;serif"/>
          <w:b w:val="false"/>
          <w:color w:val="000000"/>
          <w:sz w:val="13"/>
        </w:rPr>
        <w:t xml:space="preserve">® </w:t>
      </w:r>
      <w:r>
        <w:rPr>
          <w:rFonts w:ascii="Times New Roman;serif" w:hAnsi="Times New Roman;serif"/>
          <w:b w:val="false"/>
          <w:color w:val="000000"/>
          <w:sz w:val="20"/>
        </w:rPr>
        <w:t>(Botulism Antitoxin Heptavalent (A,B,C,D,E,F,G)-(Equine)),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Vaccine Adsorbed), Ebanga</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(ansuvimab-zykl) and/or TEMBEXA</w:t>
      </w:r>
      <w:r>
        <w:rPr>
          <w:rFonts w:ascii="Times New Roman;serif" w:hAnsi="Times New Roman;serif"/>
          <w:b w:val="false"/>
          <w:color w:val="000000"/>
          <w:sz w:val="13"/>
        </w:rPr>
        <w:t xml:space="preserve">® </w:t>
      </w:r>
      <w:r>
        <w:rPr>
          <w:rFonts w:ascii="Times New Roman;serif" w:hAnsi="Times New Roman;serif"/>
          <w:b w:val="false"/>
          <w:color w:val="000000"/>
          <w:sz w:val="20"/>
        </w:rPr>
        <w:t xml:space="preserve">among others, as well as contracts related to development of medical countermeasures; </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meet our commitments to quality and compliance in all of our manufacturing operations;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negotiate additional USG procurement or follow-on contracts for our MCM products that have expired or will be expiring;</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the commercial availability and impact of a generic and competitive marketplace on future sales of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Nasal Spray and over-the-counter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and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shd w:fill="FFFFFF" w:val="clear"/>
        </w:rPr>
        <w:t>our ability to perform under our contracts with the USG, including the tim</w:t>
      </w:r>
      <w:r>
        <w:rPr>
          <w:rFonts w:ascii="Times New Roman;serif" w:hAnsi="Times New Roman;serif"/>
          <w:b w:val="false"/>
          <w:color w:val="000000"/>
          <w:sz w:val="20"/>
        </w:rPr>
        <w:t>ing of and specifications relating to deliveries;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the ability of our contractors and suppliers to maintain compliance with current good manufacturing practices and other regulatory obligations;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collect reimbursement for raw materials and payment of service fees from our Bioservices customers;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the results of pending government investigations and their potential impact on our business;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satisfy the conditions of our litigation settlement agreements, and the potential impact of such agreements, including the funds to resolve related litigation, on our business;</w:t>
      </w:r>
    </w:p>
    <w:p>
      <w:pPr>
        <w:pStyle w:val="TextBody"/>
        <w:bidi w:val="0"/>
        <w:spacing w:lineRule="auto" w:line="288" w:before="0" w:after="0"/>
        <w:ind w:left="0" w:right="0" w:hanging="360"/>
        <w:jc w:val="left"/>
        <w:rPr/>
      </w:pPr>
      <w:r>
        <w:rPr>
          <w:color w:val="19415E"/>
        </w:rPr>
        <w:t>•</w:t>
      </w:r>
      <w:r>
        <w:rPr>
          <w:rFonts w:ascii="Times New Roman;serif" w:hAnsi="Times New Roman;serif"/>
          <w:b w:val="false"/>
          <w:color w:val="000000"/>
          <w:sz w:val="20"/>
        </w:rPr>
        <w:t>our ability to comply with the operating and financial covenants required by (i) the Credit Agreement, dated April 16, 2026 (the “Term Loan Agreement”), by and among the Company, the lenders from time to time party thereto, and OrbiMed Royalty &amp; Credit Opportunities V, LP, as administrative agent, (ii) our revolving credit facility (the “Revolving Credit Facility”) under a credit agreement, dated September 30, 2024, among the Company, certain subsidiary borrowers, the lenders from time to time party thereto and Wells Fargo, National Association, as Agent, and (iii) our 3.875% Senior Unsecured Notes due 2028 (the “Senior Unsecured Notes”);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maintain adequate internal control over financial reporting and to prepare accurate financial statements in a timely manner;</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maintain sufficient cash flow from our operations to pay our substantial debt, both now and in the future;</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invest in our business operations as a result of our current indebtedness;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the impact of our share and debt repurchase programs;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the procurement of our product candidates by USG entities under regulatory authorities that permit government procurement of certain medical products prior to United States (“U.S.”) Food and Drug Administration (“FDA”) marketing authorization, and corresponding procurement by government entities outside the United States;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the success of our commercialization, marketing and manufacturing capabilities and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19415E"/>
          <w:sz w:val="24"/>
        </w:rPr>
      </w:pPr>
      <w:r>
        <w:rPr>
          <w:rFonts w:ascii="Times New Roman;serif" w:hAnsi="Times New Roman;serif"/>
          <w:b/>
          <w:color w:val="19415E"/>
          <w:sz w:val="24"/>
        </w:rPr>
        <w:t>EMERGENT BIOSOLUTIONS INC.</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identify and acquire companies, businesses, products or product candidates that satisfy our selection criteria;</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attract and retain qualified personnel;</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our ability to adequately secure and protect our intellectual property rights;</w:t>
      </w:r>
    </w:p>
    <w:p>
      <w:pPr>
        <w:pStyle w:val="TextBody"/>
        <w:bidi w:val="0"/>
        <w:spacing w:lineRule="auto" w:line="288" w:before="0" w:after="0"/>
        <w:ind w:left="0" w:right="0" w:hanging="360"/>
        <w:jc w:val="both"/>
        <w:rPr/>
      </w:pPr>
      <w:r>
        <w:rPr>
          <w:color w:val="19415E"/>
        </w:rPr>
        <w:t>•</w:t>
      </w:r>
      <w:r>
        <w:rPr>
          <w:rFonts w:ascii="Times New Roman;serif" w:hAnsi="Times New Roman;serif"/>
          <w:b w:val="false"/>
          <w:color w:val="000000"/>
          <w:sz w:val="20"/>
        </w:rPr>
        <w:t>the impact of cybersecurity incidents, including the risks from the unauthorized access, interruption, failure or compromise of our information systems or those of our business partners, collaborators or other third parties;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the accuracy of our estimates regarding future revenues, expenses, capital requirements and need for additional financing.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sets forth many, but not all, of the factors that could cause actual results to differ from our expectations in any forward-looking statement. When evaluating our forward-looking statements, you should consider this cautionary statement along with the sections entitled “Risk Factors,” “Management’s Discussion and Analysis of Financial Condition and Results of Operations” and “Quantitative and Qualitative Disclosures About Market Risk” in this Quarterly Report on Form 10-Q, as well as the risks identified in our other reports filed with the U.S. Securities and Exchange Commission (the “SEC”). New factors may emerge from time to time, and it is not possible for management to predict all such factors, nor can it assess the impact of any such factor on the business or the extent to which any factor, or combination of factors, may cause results to differ materially from those contained in any forward-looking statement. </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NOTE REGARDING COMPANY REFERENCES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References in this report to “Emergent,” the “Company,” “we,” “us,” and “our” refer to Emergent BioSolutions Inc. and its consolidated subsidiaries.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NOTE REGARDING TRADE NAMES</w:t>
      </w:r>
    </w:p>
    <w:p>
      <w:pPr>
        <w:pStyle w:val="TextBody"/>
        <w:bidi w:val="0"/>
        <w:spacing w:lineRule="auto" w:line="288" w:before="0" w:after="0"/>
        <w:ind w:left="0" w:right="0" w:firstLine="360"/>
        <w:jc w:val="both"/>
        <w:rPr/>
      </w:pPr>
      <w:r>
        <w:rPr>
          <w:rFonts w:ascii="Times New Roman;serif" w:hAnsi="Times New Roman;serif"/>
          <w:b w:val="false"/>
          <w:color w:val="000000"/>
          <w:sz w:val="20"/>
        </w:rPr>
        <w:t>Emergent</w:t>
      </w:r>
      <w:r>
        <w:rPr>
          <w:rFonts w:ascii="Times New Roman;serif" w:hAnsi="Times New Roman;serif"/>
          <w:b w:val="false"/>
          <w:color w:val="000000"/>
          <w:sz w:val="13"/>
        </w:rPr>
        <w:t>®</w:t>
      </w:r>
      <w:r>
        <w:rPr>
          <w:rFonts w:ascii="Times New Roman;serif" w:hAnsi="Times New Roman;serif"/>
          <w:b w:val="false"/>
          <w:color w:val="000000"/>
          <w:sz w:val="20"/>
        </w:rPr>
        <w:t>, BioThrax</w:t>
      </w:r>
      <w:r>
        <w:rPr>
          <w:rFonts w:ascii="Times New Roman;serif" w:hAnsi="Times New Roman;serif"/>
          <w:b w:val="false"/>
          <w:color w:val="000000"/>
          <w:sz w:val="13"/>
        </w:rPr>
        <w:t>®</w:t>
      </w:r>
      <w:r>
        <w:rPr>
          <w:rFonts w:ascii="Times New Roman;serif" w:hAnsi="Times New Roman;serif"/>
          <w:b w:val="false"/>
          <w:color w:val="000000"/>
          <w:sz w:val="20"/>
        </w:rPr>
        <w:t>, BaciThrax</w:t>
      </w:r>
      <w:r>
        <w:rPr>
          <w:rFonts w:ascii="Times New Roman;serif" w:hAnsi="Times New Roman;serif"/>
          <w:b w:val="false"/>
          <w:color w:val="000000"/>
          <w:sz w:val="13"/>
        </w:rPr>
        <w:t>®</w:t>
      </w:r>
      <w:r>
        <w:rPr>
          <w:rFonts w:ascii="Times New Roman;serif" w:hAnsi="Times New Roman;serif"/>
          <w:b w:val="false"/>
          <w:color w:val="000000"/>
          <w:sz w:val="20"/>
        </w:rPr>
        <w:t>, BAT</w:t>
      </w:r>
      <w:r>
        <w:rPr>
          <w:rFonts w:ascii="Times New Roman;serif" w:hAnsi="Times New Roman;serif"/>
          <w:b w:val="false"/>
          <w:color w:val="000000"/>
          <w:sz w:val="13"/>
        </w:rPr>
        <w:t>®</w:t>
      </w:r>
      <w:r>
        <w:rPr>
          <w:rFonts w:ascii="Times New Roman;serif" w:hAnsi="Times New Roman;serif"/>
          <w:b w:val="false"/>
          <w:color w:val="000000"/>
          <w:sz w:val="20"/>
        </w:rPr>
        <w:t>, ANTHRASIL</w:t>
      </w:r>
      <w:r>
        <w:rPr>
          <w:rFonts w:ascii="Times New Roman;serif" w:hAnsi="Times New Roman;serif"/>
          <w:b w:val="false"/>
          <w:color w:val="000000"/>
          <w:sz w:val="13"/>
        </w:rPr>
        <w:t>®</w:t>
      </w:r>
      <w:r>
        <w:rPr>
          <w:rFonts w:ascii="Times New Roman;serif" w:hAnsi="Times New Roman;serif"/>
          <w:b w:val="false"/>
          <w:color w:val="000000"/>
          <w:sz w:val="20"/>
        </w:rPr>
        <w:t>, CNJ-016</w:t>
      </w:r>
      <w:r>
        <w:rPr>
          <w:rFonts w:ascii="Times New Roman;serif" w:hAnsi="Times New Roman;serif"/>
          <w:b w:val="false"/>
          <w:color w:val="000000"/>
          <w:sz w:val="13"/>
        </w:rPr>
        <w:t>®</w:t>
      </w:r>
      <w:r>
        <w:rPr>
          <w:rFonts w:ascii="Times New Roman;serif" w:hAnsi="Times New Roman;serif"/>
          <w:b w:val="false"/>
          <w:color w:val="000000"/>
          <w:sz w:val="20"/>
        </w:rPr>
        <w:t>, ACAM2000</w:t>
      </w:r>
      <w:r>
        <w:rPr>
          <w:rFonts w:ascii="Times New Roman;serif" w:hAnsi="Times New Roman;serif"/>
          <w:b w:val="false"/>
          <w:color w:val="000000"/>
          <w:sz w:val="13"/>
        </w:rPr>
        <w:t>®</w:t>
      </w:r>
      <w:r>
        <w:rPr>
          <w:rFonts w:ascii="Times New Roman;serif" w:hAnsi="Times New Roman;serif"/>
          <w:b w:val="false"/>
          <w:color w:val="000000"/>
          <w:sz w:val="20"/>
        </w:rPr>
        <w:t>, NARCAN</w:t>
      </w:r>
      <w:r>
        <w:rPr>
          <w:rFonts w:ascii="Times New Roman;serif" w:hAnsi="Times New Roman;serif"/>
          <w:b w:val="false"/>
          <w:color w:val="000000"/>
          <w:sz w:val="13"/>
        </w:rPr>
        <w:t>®</w:t>
      </w:r>
      <w:r>
        <w:rPr>
          <w:rFonts w:ascii="Times New Roman;serif" w:hAnsi="Times New Roman;serif"/>
          <w:b w:val="false"/>
          <w:color w:val="000000"/>
          <w:sz w:val="20"/>
        </w:rPr>
        <w:t>, CYFENDUS</w:t>
      </w:r>
      <w:r>
        <w:rPr>
          <w:rFonts w:ascii="Times New Roman;serif" w:hAnsi="Times New Roman;serif"/>
          <w:b w:val="false"/>
          <w:color w:val="000000"/>
          <w:sz w:val="13"/>
        </w:rPr>
        <w:t>®</w:t>
      </w:r>
      <w:r>
        <w:rPr>
          <w:rFonts w:ascii="Times New Roman;serif" w:hAnsi="Times New Roman;serif"/>
          <w:b w:val="false"/>
          <w:color w:val="000000"/>
          <w:sz w:val="20"/>
        </w:rPr>
        <w:t>, TEMBEXA</w:t>
      </w:r>
      <w:r>
        <w:rPr>
          <w:rFonts w:ascii="Times New Roman;serif" w:hAnsi="Times New Roman;serif"/>
          <w:b w:val="false"/>
          <w:color w:val="000000"/>
          <w:sz w:val="13"/>
        </w:rPr>
        <w:t xml:space="preserve">® </w:t>
      </w:r>
      <w:r>
        <w:rPr>
          <w:rFonts w:ascii="Times New Roman;serif" w:hAnsi="Times New Roman;serif"/>
          <w:b w:val="false"/>
          <w:color w:val="000000"/>
          <w:sz w:val="20"/>
        </w:rPr>
        <w:t>and any and all Emergent BioSolutions Inc. brands, products, services and feature names, logos and slogans are trademarks or registered trademarks of Emergent BioSolutions Inc. or its subsidiaries in the United States or other countries. All other brands, products, services and feature names or trademarks are the property of their respective owners, including KLOXXADO</w:t>
      </w:r>
      <w:r>
        <w:rPr>
          <w:rFonts w:ascii="Times New Roman;serif" w:hAnsi="Times New Roman;serif"/>
          <w:b w:val="false"/>
          <w:color w:val="000000"/>
          <w:sz w:val="13"/>
        </w:rPr>
        <w:t>®</w:t>
      </w:r>
      <w:r>
        <w:rPr>
          <w:rFonts w:ascii="Times New Roman;serif" w:hAnsi="Times New Roman;serif"/>
          <w:b w:val="false"/>
          <w:color w:val="000000"/>
          <w:sz w:val="20"/>
        </w:rPr>
        <w:t>, which is a registered trademark of Hikma Pharmaceuticals USA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19415E"/>
          <w:sz w:val="20"/>
        </w:rPr>
      </w:pPr>
      <w:r>
        <w:rPr>
          <w:rFonts w:ascii="Times New Roman;serif" w:hAnsi="Times New Roman;serif"/>
          <w:b/>
          <w:color w:val="19415E"/>
          <w:sz w:val="20"/>
        </w:rPr>
        <w:t>ITEM 1. FINANCIAL STATEMENTS</w: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Emergent BioSolutions Inc. and Subsidiaries</w: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Condensed Consolidated Balance Sheets</w:t>
      </w:r>
    </w:p>
    <w:p>
      <w:pPr>
        <w:pStyle w:val="TextBody"/>
        <w:bidi w:val="0"/>
        <w:spacing w:lineRule="auto" w:line="288" w:before="0" w:after="0"/>
        <w:jc w:val="center"/>
        <w:rPr>
          <w:rFonts w:ascii="Times New Roman;serif" w:hAnsi="Times New Roman;serif"/>
          <w:b w:val="false"/>
          <w:color w:val="19415E"/>
          <w:sz w:val="20"/>
        </w:rPr>
      </w:pPr>
      <w:r>
        <w:rPr>
          <w:rFonts w:ascii="Times New Roman;serif" w:hAnsi="Times New Roman;serif"/>
          <w:b w:val="false"/>
          <w:color w:val="19415E"/>
          <w:sz w:val="20"/>
        </w:rPr>
        <w:t>(in millions, except per share amounts)</w:t>
      </w:r>
    </w:p>
    <w:tbl>
      <w:tblPr>
        <w:tblW w:w="10205" w:type="dxa"/>
        <w:jc w:val="left"/>
        <w:tblInd w:w="0" w:type="dxa"/>
        <w:tblLayout w:type="fixed"/>
        <w:tblCellMar>
          <w:top w:w="28" w:type="dxa"/>
          <w:left w:w="28" w:type="dxa"/>
          <w:bottom w:w="28" w:type="dxa"/>
          <w:right w:w="28" w:type="dxa"/>
        </w:tblCellMar>
      </w:tblPr>
      <w:tblGrid>
        <w:gridCol w:w="2885"/>
        <w:gridCol w:w="2214"/>
        <w:gridCol w:w="2195"/>
        <w:gridCol w:w="232"/>
        <w:gridCol w:w="845"/>
        <w:gridCol w:w="120"/>
        <w:gridCol w:w="109"/>
        <w:gridCol w:w="109"/>
        <w:gridCol w:w="109"/>
        <w:gridCol w:w="257"/>
        <w:gridCol w:w="937"/>
        <w:gridCol w:w="193"/>
      </w:tblGrid>
      <w:tr>
        <w:trPr/>
        <w:tc>
          <w:tcPr>
            <w:tcW w:w="2885"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294"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left"/>
              <w:rPr>
                <w:color w:val="FFFFFF"/>
              </w:rPr>
            </w:pPr>
            <w:r>
              <w:rPr>
                <w:color w:val="FFFFFF"/>
              </w:rPr>
              <w:t> </w:t>
            </w:r>
          </w:p>
        </w:tc>
        <w:tc>
          <w:tcPr>
            <w:tcW w:w="1197"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March 31, 2026</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December 31, 2025</w:t>
            </w:r>
          </w:p>
        </w:tc>
      </w:tr>
      <w:tr>
        <w:trPr/>
        <w:tc>
          <w:tcPr>
            <w:tcW w:w="7294"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(unaudited)</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B51BF"/>
              </w:rPr>
            </w:pPr>
            <w:r>
              <w:rPr>
                <w:color w:val="1B51BF"/>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662.5 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acquisition obligation</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 liability</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9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per share; 15.0 shares authorized, no shares issued or outstanding</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 200.0 shares authorized, 61.4 and 60.9 shares issued; 51.8 and 52.1 shares outstanding, respectively</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9.6 and 8.7 common shares, respectively</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522.6 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1,318.6 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0" w:after="18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Emergent BioSolutions Inc. and Subsidiaries</w: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Condensed Consolidated Statements of Operations</w:t>
      </w:r>
    </w:p>
    <w:p>
      <w:pPr>
        <w:pStyle w:val="TextBody"/>
        <w:bidi w:val="0"/>
        <w:spacing w:lineRule="auto" w:line="288" w:before="0" w:after="180"/>
        <w:jc w:val="center"/>
        <w:rPr>
          <w:rFonts w:ascii="Times New Roman;serif" w:hAnsi="Times New Roman;serif"/>
          <w:b w:val="false"/>
          <w:color w:val="19415E"/>
          <w:sz w:val="20"/>
        </w:rPr>
      </w:pPr>
      <w:r>
        <w:rPr>
          <w:rFonts w:ascii="Times New Roman;serif" w:hAnsi="Times New Roman;serif"/>
          <w:b w:val="false"/>
          <w:color w:val="19415E"/>
          <w:sz w:val="20"/>
        </w:rPr>
        <w:t>(unaudited, in millions, except per share amounts)</w:t>
      </w:r>
    </w:p>
    <w:tbl>
      <w:tblPr>
        <w:tblW w:w="6461" w:type="dxa"/>
        <w:jc w:val="left"/>
        <w:tblInd w:w="0" w:type="dxa"/>
        <w:tblLayout w:type="fixed"/>
        <w:tblCellMar>
          <w:top w:w="28" w:type="dxa"/>
          <w:left w:w="28" w:type="dxa"/>
          <w:bottom w:w="28" w:type="dxa"/>
          <w:right w:w="28" w:type="dxa"/>
        </w:tblCellMar>
      </w:tblPr>
      <w:tblGrid>
        <w:gridCol w:w="1233"/>
        <w:gridCol w:w="1082"/>
        <w:gridCol w:w="1090"/>
        <w:gridCol w:w="247"/>
        <w:gridCol w:w="723"/>
        <w:gridCol w:w="127"/>
        <w:gridCol w:w="127"/>
        <w:gridCol w:w="127"/>
        <w:gridCol w:w="127"/>
        <w:gridCol w:w="247"/>
        <w:gridCol w:w="723"/>
        <w:gridCol w:w="127"/>
        <w:gridCol w:w="109"/>
        <w:gridCol w:w="109"/>
        <w:gridCol w:w="109"/>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19415E" w:val="clear"/>
            <w:tcMar>
              <w:top w:w="0" w:type="dxa"/>
              <w:left w:w="0" w:type="dxa"/>
              <w:bottom w:w="0" w:type="dxa"/>
              <w:right w:w="0" w:type="dxa"/>
            </w:tcMar>
            <w:vAlign w:val="center"/>
          </w:tcPr>
          <w:p>
            <w:pPr>
              <w:pStyle w:val="TableContents"/>
              <w:bidi w:val="0"/>
              <w:spacing w:lineRule="auto" w:line="288" w:before="0" w:after="0"/>
              <w:jc w:val="left"/>
              <w:rPr>
                <w:color w:val="FFFFFF"/>
              </w:rPr>
            </w:pPr>
            <w:r>
              <w:rPr>
                <w:color w:val="FFFFFF"/>
              </w:rPr>
              <w:t> </w:t>
            </w:r>
          </w:p>
        </w:tc>
        <w:tc>
          <w:tcPr>
            <w:tcW w:w="2575"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05" w:type="dxa"/>
            <w:gridSpan w:val="3"/>
            <w:tcBorders/>
            <w:shd w:fill="19415E" w:val="clear"/>
            <w:tcMar>
              <w:top w:w="0" w:type="dxa"/>
              <w:left w:w="0" w:type="dxa"/>
              <w:bottom w:w="0" w:type="dxa"/>
              <w:right w:w="0" w:type="dxa"/>
            </w:tcMar>
            <w:vAlign w:val="center"/>
          </w:tcPr>
          <w:p>
            <w:pPr>
              <w:pStyle w:val="TableContents"/>
              <w:bidi w:val="0"/>
              <w:spacing w:lineRule="auto" w:line="288" w:before="0" w:after="0"/>
              <w:jc w:val="left"/>
              <w:rPr>
                <w:color w:val="FFFFFF"/>
              </w:rPr>
            </w:pPr>
            <w:r>
              <w:rPr>
                <w:color w:val="FFFFFF"/>
              </w:rPr>
              <w:t> </w:t>
            </w:r>
          </w:p>
        </w:tc>
        <w:tc>
          <w:tcPr>
            <w:tcW w:w="1097"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381"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1B51BF"/>
              </w:rPr>
            </w:pPr>
            <w:r>
              <w:rPr>
                <w:color w:val="1B51BF"/>
              </w:rPr>
              <w:t>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services sales, net</w:t>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and grants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Total revenues</w:t>
            </w:r>
          </w:p>
        </w:tc>
        <w:tc>
          <w:tcPr>
            <w:tcW w:w="9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1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erif" w:hAnsi="Times New Roman;serif"/>
                <w:b w:val="false"/>
                <w:color w:val="000000"/>
                <w:sz w:val="20"/>
              </w:rPr>
              <w:t xml:space="preserve">Cost of product and services sales, net </w:t>
            </w:r>
            <w:r>
              <w:rPr>
                <w:rFonts w:ascii="Times New Roman;serif" w:hAnsi="Times New Roman;serif"/>
                <w:b w:val="false"/>
                <w:color w:val="000000"/>
                <w:sz w:val="13"/>
              </w:rPr>
              <w:t>(1)</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assets held for sale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97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tax provision</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0" w:type="dxa"/>
            <w:gridSpan w:val="1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Exclusive of intangible asset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Emergent BioSolutions Inc. and Subsidiaries</w: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Condensed Consolidated Statements of Comprehensive Income</w:t>
      </w:r>
    </w:p>
    <w:p>
      <w:pPr>
        <w:pStyle w:val="TextBody"/>
        <w:bidi w:val="0"/>
        <w:spacing w:lineRule="auto" w:line="288" w:before="0" w:after="180"/>
        <w:jc w:val="center"/>
        <w:rPr>
          <w:rFonts w:ascii="Times New Roman;serif" w:hAnsi="Times New Roman;serif"/>
          <w:b w:val="false"/>
          <w:color w:val="19415E"/>
          <w:sz w:val="20"/>
        </w:rPr>
      </w:pPr>
      <w:r>
        <w:rPr>
          <w:rFonts w:ascii="Times New Roman;serif" w:hAnsi="Times New Roman;serif"/>
          <w:b w:val="false"/>
          <w:color w:val="19415E"/>
          <w:sz w:val="20"/>
        </w:rPr>
        <w:t>(unaudited, in millions)</w:t>
      </w:r>
    </w:p>
    <w:tbl>
      <w:tblPr>
        <w:tblW w:w="7335" w:type="dxa"/>
        <w:jc w:val="left"/>
        <w:tblInd w:w="0" w:type="dxa"/>
        <w:tblLayout w:type="fixed"/>
        <w:tblCellMar>
          <w:top w:w="28" w:type="dxa"/>
          <w:left w:w="28" w:type="dxa"/>
          <w:bottom w:w="28" w:type="dxa"/>
          <w:right w:w="28" w:type="dxa"/>
        </w:tblCellMar>
      </w:tblPr>
      <w:tblGrid>
        <w:gridCol w:w="1543"/>
        <w:gridCol w:w="1357"/>
        <w:gridCol w:w="1375"/>
        <w:gridCol w:w="289"/>
        <w:gridCol w:w="556"/>
        <w:gridCol w:w="149"/>
        <w:gridCol w:w="149"/>
        <w:gridCol w:w="149"/>
        <w:gridCol w:w="149"/>
        <w:gridCol w:w="289"/>
        <w:gridCol w:w="700"/>
        <w:gridCol w:w="149"/>
        <w:gridCol w:w="109"/>
        <w:gridCol w:w="109"/>
        <w:gridCol w:w="109"/>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7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44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 net of tax</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Emergent BioSolutions Inc. and Subsidiaries</w: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Condensed Consolidated Statements of Cash Flows</w:t>
      </w:r>
    </w:p>
    <w:p>
      <w:pPr>
        <w:pStyle w:val="TextBody"/>
        <w:bidi w:val="0"/>
        <w:spacing w:lineRule="auto" w:line="288" w:before="0" w:after="0"/>
        <w:jc w:val="center"/>
        <w:rPr>
          <w:rFonts w:ascii="Times New Roman;serif" w:hAnsi="Times New Roman;serif"/>
          <w:b w:val="false"/>
          <w:color w:val="19415E"/>
          <w:sz w:val="20"/>
        </w:rPr>
      </w:pPr>
      <w:r>
        <w:rPr>
          <w:rFonts w:ascii="Times New Roman;serif" w:hAnsi="Times New Roman;serif"/>
          <w:b w:val="false"/>
          <w:color w:val="19415E"/>
          <w:sz w:val="20"/>
        </w:rPr>
        <w:t>(unaudited, in millions)</w:t>
      </w:r>
    </w:p>
    <w:tbl>
      <w:tblPr>
        <w:tblW w:w="8950" w:type="dxa"/>
        <w:jc w:val="left"/>
        <w:tblInd w:w="0" w:type="dxa"/>
        <w:tblLayout w:type="fixed"/>
        <w:tblCellMar>
          <w:top w:w="28" w:type="dxa"/>
          <w:left w:w="28" w:type="dxa"/>
          <w:bottom w:w="28" w:type="dxa"/>
          <w:right w:w="28" w:type="dxa"/>
        </w:tblCellMar>
      </w:tblPr>
      <w:tblGrid>
        <w:gridCol w:w="2293"/>
        <w:gridCol w:w="2013"/>
        <w:gridCol w:w="2024"/>
        <w:gridCol w:w="246"/>
        <w:gridCol w:w="720"/>
        <w:gridCol w:w="127"/>
        <w:gridCol w:w="127"/>
        <w:gridCol w:w="127"/>
        <w:gridCol w:w="127"/>
        <w:gridCol w:w="246"/>
        <w:gridCol w:w="720"/>
        <w:gridCol w:w="180"/>
      </w:tblGrid>
      <w:tr>
        <w:trPr/>
        <w:tc>
          <w:tcPr>
            <w:tcW w:w="2293"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19415E" w:val="clear"/>
            <w:tcMar>
              <w:top w:w="0" w:type="dxa"/>
              <w:left w:w="0" w:type="dxa"/>
              <w:bottom w:w="0" w:type="dxa"/>
              <w:right w:w="0" w:type="dxa"/>
            </w:tcMar>
            <w:vAlign w:val="center"/>
          </w:tcPr>
          <w:p>
            <w:pPr>
              <w:pStyle w:val="TableContents"/>
              <w:bidi w:val="0"/>
              <w:spacing w:lineRule="auto" w:line="288" w:before="0" w:after="0"/>
              <w:jc w:val="left"/>
              <w:rPr>
                <w:color w:val="FFFFFF"/>
              </w:rPr>
            </w:pPr>
            <w:r>
              <w:rPr>
                <w:color w:val="FFFFFF"/>
              </w:rPr>
              <w:t> </w:t>
            </w:r>
          </w:p>
        </w:tc>
        <w:tc>
          <w:tcPr>
            <w:tcW w:w="2620"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March 31,</w:t>
            </w:r>
          </w:p>
        </w:tc>
      </w:tr>
      <w:tr>
        <w:trPr/>
        <w:tc>
          <w:tcPr>
            <w:tcW w:w="633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381"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r>
      <w:tr>
        <w:trPr/>
        <w:tc>
          <w:tcPr>
            <w:tcW w:w="6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used in operating activities:</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loss on assets held for sale</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Changes in operating assets and liabilities:</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plan accrual</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 and payable,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 payments from prior asset divestiture</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convertible note receivable</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investing activities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upon exercise of stock options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treasury stock</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stock-based compensation activity</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for stock-based compensation activity</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cash flow disclosures:</w:t>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 unpaid at period end</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Excise tax liability accrued for treasury stock purchases</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cash and cash equivalents and restricted cash:</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Emergent BioSolutions Inc. and Subsidiaries</w: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Condensed Consolidated Statements of Changes in Stockholders' Equity</w:t>
      </w:r>
    </w:p>
    <w:p>
      <w:pPr>
        <w:pStyle w:val="TextBody"/>
        <w:bidi w:val="0"/>
        <w:spacing w:lineRule="auto" w:line="288" w:before="0" w:after="180"/>
        <w:jc w:val="center"/>
        <w:rPr>
          <w:rFonts w:ascii="Times New Roman;serif" w:hAnsi="Times New Roman;serif"/>
          <w:b w:val="false"/>
          <w:color w:val="19415E"/>
          <w:sz w:val="20"/>
        </w:rPr>
      </w:pPr>
      <w:r>
        <w:rPr>
          <w:rFonts w:ascii="Times New Roman;serif" w:hAnsi="Times New Roman;serif"/>
          <w:b w:val="false"/>
          <w:color w:val="19415E"/>
          <w:sz w:val="20"/>
        </w:rPr>
        <w:t>(unaudited, in millions)</w:t>
      </w:r>
    </w:p>
    <w:tbl>
      <w:tblPr>
        <w:tblW w:w="11592" w:type="dxa"/>
        <w:jc w:val="left"/>
        <w:tblInd w:w="0" w:type="dxa"/>
        <w:tblLayout w:type="fixed"/>
        <w:tblCellMar>
          <w:top w:w="28" w:type="dxa"/>
          <w:left w:w="28" w:type="dxa"/>
          <w:bottom w:w="28" w:type="dxa"/>
          <w:right w:w="28" w:type="dxa"/>
        </w:tblCellMar>
      </w:tblPr>
      <w:tblGrid>
        <w:gridCol w:w="728"/>
        <w:gridCol w:w="311"/>
        <w:gridCol w:w="312"/>
        <w:gridCol w:w="109"/>
        <w:gridCol w:w="109"/>
        <w:gridCol w:w="109"/>
        <w:gridCol w:w="255"/>
        <w:gridCol w:w="256"/>
        <w:gridCol w:w="211"/>
        <w:gridCol w:w="109"/>
        <w:gridCol w:w="109"/>
        <w:gridCol w:w="109"/>
        <w:gridCol w:w="222"/>
        <w:gridCol w:w="420"/>
        <w:gridCol w:w="109"/>
        <w:gridCol w:w="109"/>
        <w:gridCol w:w="109"/>
        <w:gridCol w:w="109"/>
        <w:gridCol w:w="210"/>
        <w:gridCol w:w="211"/>
        <w:gridCol w:w="211"/>
        <w:gridCol w:w="109"/>
        <w:gridCol w:w="109"/>
        <w:gridCol w:w="109"/>
        <w:gridCol w:w="211"/>
        <w:gridCol w:w="631"/>
        <w:gridCol w:w="109"/>
        <w:gridCol w:w="109"/>
        <w:gridCol w:w="109"/>
        <w:gridCol w:w="109"/>
        <w:gridCol w:w="211"/>
        <w:gridCol w:w="616"/>
        <w:gridCol w:w="109"/>
        <w:gridCol w:w="109"/>
        <w:gridCol w:w="109"/>
        <w:gridCol w:w="109"/>
        <w:gridCol w:w="371"/>
        <w:gridCol w:w="742"/>
        <w:gridCol w:w="193"/>
        <w:gridCol w:w="109"/>
        <w:gridCol w:w="109"/>
        <w:gridCol w:w="109"/>
        <w:gridCol w:w="249"/>
        <w:gridCol w:w="747"/>
        <w:gridCol w:w="130"/>
        <w:gridCol w:w="109"/>
        <w:gridCol w:w="109"/>
        <w:gridCol w:w="109"/>
        <w:gridCol w:w="258"/>
        <w:gridCol w:w="754"/>
        <w:gridCol w:w="189"/>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19415E" w:val="clear"/>
            <w:tcMar>
              <w:top w:w="0" w:type="dxa"/>
              <w:left w:w="0" w:type="dxa"/>
              <w:bottom w:w="0" w:type="dxa"/>
              <w:right w:w="0" w:type="dxa"/>
            </w:tcMar>
            <w:vAlign w:val="center"/>
          </w:tcPr>
          <w:p>
            <w:pPr>
              <w:pStyle w:val="TableContents"/>
              <w:bidi w:val="0"/>
              <w:spacing w:lineRule="auto" w:line="288" w:before="0" w:after="0"/>
              <w:jc w:val="left"/>
              <w:rPr>
                <w:color w:val="FFFFFF"/>
              </w:rPr>
            </w:pPr>
            <w:r>
              <w:rPr>
                <w:color w:val="FFFFFF"/>
              </w:rPr>
              <w:t> </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9"/>
            <w:tcBorders/>
            <w:shd w:fill="19415E"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9"/>
              </w:rPr>
            </w:pPr>
            <w:r>
              <w:rPr>
                <w:rFonts w:ascii="Times New Roman;serif" w:hAnsi="Times New Roman;serif"/>
                <w:b/>
                <w:color w:val="FFFFFF"/>
                <w:sz w:val="19"/>
              </w:rPr>
              <w:t xml:space="preserve">$0.001 Par Value </w:t>
            </w:r>
          </w:p>
          <w:p>
            <w:pPr>
              <w:pStyle w:val="TableContents"/>
              <w:bidi w:val="0"/>
              <w:spacing w:lineRule="auto" w:line="288" w:before="0" w:after="0"/>
              <w:jc w:val="center"/>
              <w:rPr>
                <w:rFonts w:ascii="Times New Roman;serif" w:hAnsi="Times New Roman;serif"/>
                <w:b/>
                <w:color w:val="FFFFFF"/>
                <w:sz w:val="19"/>
              </w:rPr>
            </w:pPr>
            <w:r>
              <w:rPr>
                <w:rFonts w:ascii="Times New Roman;serif" w:hAnsi="Times New Roman;serif"/>
                <w:b/>
                <w:color w:val="FFFFFF"/>
                <w:sz w:val="19"/>
              </w:rPr>
              <w:t>Common Stock</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shd w:fill="19415E"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9"/>
              </w:rPr>
            </w:pPr>
            <w:r>
              <w:rPr>
                <w:rFonts w:ascii="Times New Roman;serif" w:hAnsi="Times New Roman;serif"/>
                <w:b/>
                <w:color w:val="FFFFFF"/>
                <w:sz w:val="19"/>
              </w:rPr>
              <w:t>Treasury Stock</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Additional Paid-In Capital</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Accumulated Other Comprehensive Loss</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Accumulated Deficit</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Total Stockholders' Equity</w:t>
            </w:r>
          </w:p>
        </w:tc>
      </w:tr>
      <w:tr>
        <w:trPr/>
        <w:tc>
          <w:tcPr>
            <w:tcW w:w="1351"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Shares</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Amount</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Shares</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Amount</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201"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r>
      <w:tr>
        <w:trPr/>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522.6 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8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8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8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(153.0)</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523.1 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tbl>
      <w:tblPr>
        <w:tblW w:w="11592" w:type="dxa"/>
        <w:jc w:val="left"/>
        <w:tblInd w:w="0" w:type="dxa"/>
        <w:tblLayout w:type="fixed"/>
        <w:tblCellMar>
          <w:top w:w="28" w:type="dxa"/>
          <w:left w:w="28" w:type="dxa"/>
          <w:bottom w:w="28" w:type="dxa"/>
          <w:right w:w="28" w:type="dxa"/>
        </w:tblCellMar>
      </w:tblPr>
      <w:tblGrid>
        <w:gridCol w:w="728"/>
        <w:gridCol w:w="311"/>
        <w:gridCol w:w="312"/>
        <w:gridCol w:w="109"/>
        <w:gridCol w:w="109"/>
        <w:gridCol w:w="109"/>
        <w:gridCol w:w="255"/>
        <w:gridCol w:w="256"/>
        <w:gridCol w:w="211"/>
        <w:gridCol w:w="109"/>
        <w:gridCol w:w="109"/>
        <w:gridCol w:w="109"/>
        <w:gridCol w:w="222"/>
        <w:gridCol w:w="420"/>
        <w:gridCol w:w="109"/>
        <w:gridCol w:w="109"/>
        <w:gridCol w:w="109"/>
        <w:gridCol w:w="109"/>
        <w:gridCol w:w="210"/>
        <w:gridCol w:w="211"/>
        <w:gridCol w:w="211"/>
        <w:gridCol w:w="109"/>
        <w:gridCol w:w="109"/>
        <w:gridCol w:w="109"/>
        <w:gridCol w:w="211"/>
        <w:gridCol w:w="631"/>
        <w:gridCol w:w="109"/>
        <w:gridCol w:w="109"/>
        <w:gridCol w:w="109"/>
        <w:gridCol w:w="109"/>
        <w:gridCol w:w="211"/>
        <w:gridCol w:w="616"/>
        <w:gridCol w:w="109"/>
        <w:gridCol w:w="109"/>
        <w:gridCol w:w="109"/>
        <w:gridCol w:w="109"/>
        <w:gridCol w:w="371"/>
        <w:gridCol w:w="742"/>
        <w:gridCol w:w="193"/>
        <w:gridCol w:w="109"/>
        <w:gridCol w:w="109"/>
        <w:gridCol w:w="109"/>
        <w:gridCol w:w="249"/>
        <w:gridCol w:w="747"/>
        <w:gridCol w:w="130"/>
        <w:gridCol w:w="109"/>
        <w:gridCol w:w="109"/>
        <w:gridCol w:w="109"/>
        <w:gridCol w:w="258"/>
        <w:gridCol w:w="754"/>
        <w:gridCol w:w="189"/>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19415E" w:val="clear"/>
            <w:tcMar>
              <w:top w:w="0" w:type="dxa"/>
              <w:left w:w="0" w:type="dxa"/>
              <w:bottom w:w="0" w:type="dxa"/>
              <w:right w:w="0" w:type="dxa"/>
            </w:tcMar>
            <w:vAlign w:val="center"/>
          </w:tcPr>
          <w:p>
            <w:pPr>
              <w:pStyle w:val="TableContents"/>
              <w:bidi w:val="0"/>
              <w:spacing w:lineRule="auto" w:line="288" w:before="0" w:after="0"/>
              <w:jc w:val="left"/>
              <w:rPr>
                <w:color w:val="FFFFFF"/>
              </w:rPr>
            </w:pPr>
            <w:r>
              <w:rPr>
                <w:color w:val="FFFFFF"/>
              </w:rPr>
              <w:t> </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9"/>
            <w:tcBorders/>
            <w:shd w:fill="19415E"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9"/>
              </w:rPr>
            </w:pPr>
            <w:r>
              <w:rPr>
                <w:rFonts w:ascii="Times New Roman;serif" w:hAnsi="Times New Roman;serif"/>
                <w:b/>
                <w:color w:val="FFFFFF"/>
                <w:sz w:val="19"/>
              </w:rPr>
              <w:t xml:space="preserve">$0.001 Par Value </w:t>
            </w:r>
          </w:p>
          <w:p>
            <w:pPr>
              <w:pStyle w:val="TableContents"/>
              <w:bidi w:val="0"/>
              <w:spacing w:lineRule="auto" w:line="288" w:before="0" w:after="0"/>
              <w:jc w:val="center"/>
              <w:rPr>
                <w:rFonts w:ascii="Times New Roman;serif" w:hAnsi="Times New Roman;serif"/>
                <w:b/>
                <w:color w:val="FFFFFF"/>
                <w:sz w:val="19"/>
              </w:rPr>
            </w:pPr>
            <w:r>
              <w:rPr>
                <w:rFonts w:ascii="Times New Roman;serif" w:hAnsi="Times New Roman;serif"/>
                <w:b/>
                <w:color w:val="FFFFFF"/>
                <w:sz w:val="19"/>
              </w:rPr>
              <w:t>Common Stock</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shd w:fill="19415E"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9"/>
              </w:rPr>
            </w:pPr>
            <w:r>
              <w:rPr>
                <w:rFonts w:ascii="Times New Roman;serif" w:hAnsi="Times New Roman;serif"/>
                <w:b/>
                <w:color w:val="FFFFFF"/>
                <w:sz w:val="19"/>
              </w:rPr>
              <w:t>Treasury Stock</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Additional Paid-In Capital</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19415E"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9"/>
              </w:rPr>
            </w:pPr>
            <w:r>
              <w:rPr>
                <w:rFonts w:ascii="Times New Roman;serif" w:hAnsi="Times New Roman;serif"/>
                <w:b/>
                <w:color w:val="FFFFFF"/>
                <w:sz w:val="19"/>
              </w:rPr>
              <w:t>Accumulated Other Comprehensive Loss</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shd w:fill="19415E"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FFFFFF"/>
                <w:sz w:val="19"/>
              </w:rPr>
            </w:pPr>
            <w:r>
              <w:rPr>
                <w:rFonts w:ascii="Times New Roman;serif" w:hAnsi="Times New Roman;serif"/>
                <w:b/>
                <w:color w:val="FFFFFF"/>
                <w:sz w:val="19"/>
              </w:rPr>
              <w:t>Accumulated Deficit</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Total Stockholders' Equity</w:t>
            </w:r>
          </w:p>
        </w:tc>
      </w:tr>
      <w:tr>
        <w:trPr/>
        <w:tc>
          <w:tcPr>
            <w:tcW w:w="1351"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Shares</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Amount</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Shares</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Amount</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201"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r>
      <w:tr>
        <w:trPr/>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8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552.7 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EMERGENT BIOSOLUTIONS INC. AND SUBSIDIARIES</w: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NOTES TO CONDENSED CONSOLIDATED FINANCIAL STATEMENTS</w:t>
      </w:r>
    </w:p>
    <w:p>
      <w:pPr>
        <w:pStyle w:val="TextBody"/>
        <w:bidi w:val="0"/>
        <w:spacing w:lineRule="auto" w:line="288" w:before="0" w:after="0"/>
        <w:jc w:val="center"/>
        <w:rPr>
          <w:rFonts w:ascii="Times New Roman;serif" w:hAnsi="Times New Roman;serif"/>
          <w:b/>
          <w:color w:val="19415E"/>
          <w:sz w:val="20"/>
        </w:rPr>
      </w:pPr>
      <w:r>
        <w:rPr>
          <w:rFonts w:ascii="Times New Roman;serif" w:hAnsi="Times New Roman;serif"/>
          <w:b/>
          <w:color w:val="19415E"/>
          <w:sz w:val="20"/>
        </w:rPr>
        <w:t>(unaudited, dollar and share amounts in tables in millions, except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1.    Nature of the business and organization</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Organization and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Emergent BioSolutions Inc. (“Emergent,” the “Company,” “we,” “us,” and “our”) is a global life sciences company focused on providing innovative preparedness and response solutions addressing accidental, deliberate, and naturally occurring Public Health Threats (“PHTs”). The Company's solutions include a product portfolio, a product development portfolio, and a contract development and manufacturing (“CDMO”) services portfolio.</w:t>
      </w:r>
    </w:p>
    <w:p>
      <w:pPr>
        <w:pStyle w:val="TextBody"/>
        <w:bidi w:val="0"/>
        <w:spacing w:lineRule="auto" w:line="288" w:before="0" w:after="180"/>
        <w:ind w:left="0" w:right="0" w:firstLine="360"/>
        <w:jc w:val="both"/>
        <w:rPr/>
      </w:pPr>
      <w:r>
        <w:rPr>
          <w:rFonts w:ascii="Times New Roman;serif" w:hAnsi="Times New Roman;serif"/>
          <w:b w:val="false"/>
          <w:color w:val="000000"/>
          <w:sz w:val="20"/>
        </w:rPr>
        <w:t>As of March 31, 2026, the Company has a product portfolio of 11 products consisting of vaccines, therapeutics, and drug-device combination products, including KLOXXADO</w:t>
      </w:r>
      <w:r>
        <w:rPr>
          <w:rFonts w:ascii="Times New Roman;serif" w:hAnsi="Times New Roman;serif"/>
          <w:b w:val="false"/>
          <w:color w:val="000000"/>
          <w:sz w:val="13"/>
        </w:rPr>
        <w:t xml:space="preserve">® </w:t>
      </w:r>
      <w:r>
        <w:rPr>
          <w:rFonts w:ascii="Times New Roman;serif" w:hAnsi="Times New Roman;serif"/>
          <w:b w:val="false"/>
          <w:color w:val="000000"/>
          <w:sz w:val="20"/>
        </w:rPr>
        <w:t>Nasal Spray for which the Company obtained certain exclusive commercial rights for product sales and marketing in the United States and Canada. The revenue generated by the products comprises a substantial portion of the Company's revenue. The Company structures the business with a focus on markets and customers. As such, the key components of the business structure include the following four product and service categories: Anthrax - Medical Countermeasures (“MCM”) products, Naloxone Commercial products, Smallpox - MCM products and Emergent Bioservices (CDMO) (“Bioservices”).</w:t>
      </w:r>
    </w:p>
    <w:p>
      <w:pPr>
        <w:pStyle w:val="TextBody"/>
        <w:bidi w:val="0"/>
        <w:spacing w:lineRule="auto" w:line="288" w:before="0" w:after="180"/>
        <w:ind w:left="0" w:right="0" w:firstLine="360"/>
        <w:jc w:val="both"/>
        <w:rPr/>
      </w:pPr>
      <w:r>
        <w:rPr>
          <w:rFonts w:ascii="Times New Roman;serif" w:hAnsi="Times New Roman;serif"/>
          <w:b w:val="false"/>
          <w:color w:val="000000"/>
          <w:sz w:val="20"/>
        </w:rPr>
        <w:t>The Company manages the business with a focus on three operating segments: (1) a Commercial Products segment consisting of NARCAN</w:t>
      </w:r>
      <w:r>
        <w:rPr>
          <w:rFonts w:ascii="Times New Roman;serif" w:hAnsi="Times New Roman;serif"/>
          <w:b w:val="false"/>
          <w:color w:val="000000"/>
          <w:sz w:val="13"/>
        </w:rPr>
        <w:t xml:space="preserve">® </w:t>
      </w:r>
      <w:r>
        <w:rPr>
          <w:rFonts w:ascii="Times New Roman;serif" w:hAnsi="Times New Roman;serif"/>
          <w:b w:val="false"/>
          <w:color w:val="000000"/>
          <w:sz w:val="20"/>
        </w:rPr>
        <w:t>Nasal Spray 4 mg and KLOXXADO</w:t>
      </w:r>
      <w:r>
        <w:rPr>
          <w:rFonts w:ascii="Times New Roman;serif" w:hAnsi="Times New Roman;serif"/>
          <w:b w:val="false"/>
          <w:color w:val="000000"/>
          <w:sz w:val="13"/>
        </w:rPr>
        <w:t xml:space="preserve">® </w:t>
      </w:r>
      <w:r>
        <w:rPr>
          <w:rFonts w:ascii="Times New Roman;serif" w:hAnsi="Times New Roman;serif"/>
          <w:b w:val="false"/>
          <w:color w:val="000000"/>
          <w:sz w:val="20"/>
        </w:rPr>
        <w:t>Nasal Spray 8 mg, as described below; (2) a MCM Products segment consisting of our Anthrax - MCM, Smallpox - MCM and Other Products, described below and (3) a Services segment consisting of our Bioservices offerings. Commercial Products and MCM Products are our two reportable segments (see Note 15, “Segment information” for more information on our reportable segments).</w:t>
      </w:r>
    </w:p>
    <w:p>
      <w:pPr>
        <w:pStyle w:val="TextBody"/>
        <w:bidi w:val="0"/>
        <w:spacing w:lineRule="auto" w:line="288" w:before="0" w:after="180"/>
        <w:ind w:left="0" w:right="0" w:hanging="360"/>
        <w:jc w:val="both"/>
        <w:rPr>
          <w:rFonts w:ascii="Times New Roman;serif" w:hAnsi="Times New Roman;serif"/>
          <w:b/>
          <w:color w:val="19415E"/>
          <w:sz w:val="20"/>
        </w:rPr>
      </w:pPr>
      <w:r>
        <w:rPr>
          <w:rFonts w:ascii="Times New Roman;serif" w:hAnsi="Times New Roman;serif"/>
          <w:b/>
          <w:color w:val="19415E"/>
          <w:sz w:val="20"/>
        </w:rPr>
        <w:t>The Company's products and services include:</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Commercial Products Segment:</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Naloxone Products</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Nasal Spray 4 mg is an intranasal formulation of naloxone approved as an over-the-counter (“OTC”) medicine by the United States Food and Drug Administration (“FDA”) and Health Canada for the emergency treatment of known or suspected opioid overdose as manifested by respiratory and/or central nervous system depression;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KLOXXADO</w:t>
      </w:r>
      <w:r>
        <w:rPr>
          <w:rFonts w:ascii="Times New Roman;serif" w:hAnsi="Times New Roman;serif"/>
          <w:b w:val="false"/>
          <w:color w:val="000000"/>
          <w:sz w:val="13"/>
        </w:rPr>
        <w:t xml:space="preserve">® </w:t>
      </w:r>
      <w:r>
        <w:rPr>
          <w:rFonts w:ascii="Times New Roman;serif" w:hAnsi="Times New Roman;serif"/>
          <w:b w:val="false"/>
          <w:color w:val="000000"/>
          <w:sz w:val="20"/>
        </w:rPr>
        <w:t>(naloxone HCl) Nasal Spray 8 mg is a prescription medicine. In January 2025, the Company announced an agreement with Hikma Pharmaceuticals Inc. (“Hikma”) in which the Company obtained exclusive commercial rights for product sales and marketing in the United States and Canada of Hikma’s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Nasal Spray. </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MCM Products Segment:</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Anthrax - MCM Products</w:t>
      </w:r>
    </w:p>
    <w:p>
      <w:pPr>
        <w:pStyle w:val="TextBody"/>
        <w:bidi w:val="0"/>
        <w:spacing w:lineRule="auto" w:line="288" w:before="0" w:after="180"/>
        <w:ind w:left="0" w:right="0" w:hanging="360"/>
        <w:jc w:val="both"/>
        <w:rPr/>
      </w:pPr>
      <w:r>
        <w:rPr>
          <w:color w:val="19415E"/>
          <w:shd w:fill="FFFFFF" w:val="clear"/>
        </w:rPr>
        <w:t>•</w:t>
      </w:r>
      <w:r>
        <w:rPr>
          <w:rFonts w:ascii="Times New Roman;serif" w:hAnsi="Times New Roman;serif"/>
          <w:b w:val="false"/>
          <w:color w:val="000000"/>
          <w:sz w:val="20"/>
        </w:rPr>
        <w:t>ANTHRASIL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Immune Globulin Intravenous (human)), the only polyclonal antibody therapeutic licensed by the FDA and Health Canada for the treatment of inhalational anthrax in combination with appropriate antibacterial drugs;</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Vaccine Adsorbed), the only vaccine licensed by the FDA for the general use prophylaxis and post-exposure prophylaxis of anthrax disease;</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vaccine adsorbed (AVA), adjuvanted) which was approved by the FDA in July 2023 for post-exposure prophylaxis of disease following suspected or confirmed exposure to Bacillus anthracis in persons 18 through 65 years of age when administered in conjunction with recommended antibacterial drugs. 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procured by certain authorized government buyers for their use;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Raxibacumab injection, the first fully human monoclonal antibody therapeutic licensed by the FDA for the treatment and prophylaxis of inhalational anthrax.</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Smallpox - MCM Products</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ACAM2000</w:t>
      </w:r>
      <w:r>
        <w:rPr>
          <w:rFonts w:ascii="Times New Roman;serif" w:hAnsi="Times New Roman;serif"/>
          <w:b w:val="false"/>
          <w:color w:val="000000"/>
          <w:sz w:val="13"/>
        </w:rPr>
        <w:t>®</w:t>
      </w:r>
      <w:r>
        <w:rPr>
          <w:rFonts w:ascii="Times New Roman;serif" w:hAnsi="Times New Roman;serif"/>
          <w:b w:val="false"/>
          <w:color w:val="000000"/>
          <w:sz w:val="20"/>
        </w:rPr>
        <w:t>, (Smallpox (Vaccinia) Vaccine, Live), the only single-dose smallpox vaccine licensed by the FDA for active immunization against smallpox disease for persons determined to be at high risk for smallpox infection;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(Vaccinia Immune Globulin Intravenous (Human) (VIGIV)), the only polyclonal antibody therapeutic licensed by the FDA and Health Canada to address certain complications from smallpox vaccination;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TEMBEXA</w:t>
      </w:r>
      <w:r>
        <w:rPr>
          <w:rFonts w:ascii="Times New Roman;serif" w:hAnsi="Times New Roman;serif"/>
          <w:b w:val="false"/>
          <w:color w:val="000000"/>
          <w:sz w:val="13"/>
        </w:rPr>
        <w:t>®</w:t>
      </w:r>
      <w:r>
        <w:rPr>
          <w:rFonts w:ascii="Times New Roman;serif" w:hAnsi="Times New Roman;serif"/>
          <w:b w:val="false"/>
          <w:color w:val="000000"/>
          <w:sz w:val="20"/>
        </w:rPr>
        <w:t>, an oral antiviral formulated as 100 mg tablets and 10 mg/mL oral suspension dosed once weekly for two weeks which has been approved by the FDA for the treatment of smallpox disease caused by variola virus in adult and pediatric patients, including neonates.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Other Products</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BAT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(Botulism Antitoxin Heptavalent (A,B,C,D,E,F,G)-(Equine)), the only heptavalent antitoxin licensed by the FDA and Health Canada for the treatment of symptomatic botulism;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Ebanga™ (ansuvimab-zykl), a monoclonal antibody with antiviral activity provided through a single IV infusion for the treatment of Ebola. Under the terms of a collaboration with Ridgeback Biotherapeutics (“Ridgeback”), Emergent will be responsible for the manufacturing, sale, and distribution of Ebanga™ in the U.S. and Canada, and Ridgeback will serve as the global access partner for Ebanga™.</w:t>
      </w:r>
    </w:p>
    <w:p>
      <w:pPr>
        <w:pStyle w:val="TextBody"/>
        <w:bidi w:val="0"/>
        <w:spacing w:lineRule="auto" w:line="288" w:before="0" w:after="180"/>
        <w:jc w:val="both"/>
        <w:rPr>
          <w:rFonts w:ascii="Times New Roman;serif" w:hAnsi="Times New Roman;serif"/>
          <w:b/>
          <w:color w:val="19415E"/>
          <w:sz w:val="20"/>
        </w:rPr>
      </w:pPr>
      <w:r>
        <w:rPr>
          <w:rFonts w:ascii="Times New Roman;serif" w:hAnsi="Times New Roman;serif"/>
          <w:b/>
          <w:color w:val="19415E"/>
          <w:sz w:val="20"/>
        </w:rPr>
        <w:t>Services Segment: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the first quarter of 2025, the Company’s Services operating segment no longer met the quantitative thresholds of a reportable segment and did not meet the aggregation criteria set forth in Accounting Standards Codification (“ASC”) 280, Segment Reporting, and as such is categorized within “All other revenues” along with “Contracts and Grants” within Note 15, “Segment information”. See Note 15, “Segment information” for more information about the Company’s reportable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2.    Summary of significant accounting policies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Basis of presentation and consolidation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include the accounts of Emergent and its wholly owned subsidiaries. All significant intercompany accounts and transactions have been eliminated in consolidation. The unaudited condensed consolidated financial statements included herein have been prepared in accordance with U.S. generally accepted accounting principles (“GAAP”) for interim financial information and in accordance with the instructions to Form 10-Q and Article 10 of Regulation S-X issued by the Securities and Exchange Commission (“SEC”). Certain information and footnote disclosures normally included in consolidated financial statements prepared in accordance with GAAP have been condensed or omitted pursuant to such rules and regulations. These condensed consolidated financial statements should be read in conjunction with the audited consolidated financial statements and notes thereto contained in the Company’s Annual Report on Form 10-K for the year ended December 31, 2025, as filed with the SEC on February 26, 2026.</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adjustments contained in the accompanying unaudited condensed consolidated financial statements are of a normal recurring nature and are necessary to present fairly the financial position of the Company as of March 31, 2026. Interim results are not necessarily indicative of results that may be expected for any other interim period or for an entire year.</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Significant accounting policies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significant changes to the Company's summary of significant accounting policies contained in the Company's Annual Report on Form 10-K for the year ended December 31, 2025, as filed with the SEC that have materially impacted the presentation of the Company's financial statements. </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New accounting standards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new accounting pronouncements are issued by the Financial Accounting Standards Board that the Company adopts as of the pronouncement’s specified effective date. </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Accounting Standards Not Yet Adopted</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requires a public business entity to disclose additional information about specific expense categories in the notes to financial statements on an annual and interim basis. The amendments are effective for annual periods beginning after December 15, 2026, and interim periods beginning after December 15, 2027, with early adoption permitted. A public entity should apply the amendments either prospectively to financial statements issued for reporting periods after the effective date of this ASU or retrospectively to any or all prior periods presented in the financial statements. The Company is in the process of evaluating the impact of this new guidance on its consolidated financial statements.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December 2025, the FASB issued ASU 2025-10, </w:t>
      </w:r>
      <w:r>
        <w:rPr>
          <w:rFonts w:ascii="Times New Roman;serif" w:hAnsi="Times New Roman;serif"/>
          <w:b w:val="false"/>
          <w:i/>
          <w:color w:val="000000"/>
          <w:sz w:val="20"/>
        </w:rPr>
        <w:t>Government Assistance (Topic 832): Accounting for Government Grants Received by Business Entities</w:t>
      </w:r>
      <w:r>
        <w:rPr>
          <w:rFonts w:ascii="Times New Roman;serif" w:hAnsi="Times New Roman;serif"/>
          <w:b w:val="false"/>
          <w:color w:val="000000"/>
          <w:sz w:val="20"/>
        </w:rPr>
        <w:t xml:space="preserve">. This guidance establishes authoritative requirements for recognition, measurement, presentation, and disclosure of government grants received by business entities. The ASU aligns U.S. GAAP with certain aspects of IAS 20 and requires entities to disclose the nature and terms of government grants, significant conditions, accounting policies applied, amounts recognized in the financial statements, and any repayment obligations. ASU 2025-10 is effective for public business entities for annual periods beginning after December 15, 2028, including interim periods within those fiscal years, with early adoption permitted. The Company is currently evaluating the impact of this guidance on its consolidated financial statements and related disclosures. Adoption is expected to require enhanced disclosures regarding government grants received and may affect the timing of income recognition for certain arrangements. The Company does not expect the adoption of ASU 2025-10 to have a material impact on its financial position or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3.    Divestitures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2023, 2024 and 2025, the Company completed several divestiture transactions. The significant financial statement impacts relating to these transactions were recognized in prior periods. The disclosures below summarize amounts recognized in prior</w:t>
        <w:noBreakHyphen/>
        <w:t>year comparative periods included in the accompanying Condensed Consolidated Statements of Operations as well as ongoing arrangements and contingent consideration related to these divestitures.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Transition Services Agreements (“TSAs”) Revenue</w:t>
      </w:r>
    </w:p>
    <w:p>
      <w:pPr>
        <w:pStyle w:val="TextBody"/>
        <w:bidi w:val="0"/>
        <w:spacing w:lineRule="auto" w:line="288" w:before="0" w:after="180"/>
        <w:ind w:left="0" w:right="0" w:firstLine="360"/>
        <w:jc w:val="both"/>
        <w:rPr/>
      </w:pPr>
      <w:r>
        <w:rPr>
          <w:rFonts w:ascii="Times New Roman;serif" w:hAnsi="Times New Roman;serif"/>
          <w:b w:val="false"/>
          <w:color w:val="000000"/>
          <w:sz w:val="20"/>
        </w:rPr>
        <w:t>In connection with certain divestitures, the Company entered into TSAs to support the orderly transfer of operations to the respective buyers. Income from performing services under these TSAs is recorded within the Condensed Consolidated Statements of Operations. TSA revenue from the SERB TSA (RSDL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divestiture) and Bora TSA (Baltimore-Camden facility divestiture) recognized during the three months ended March 31, 2025 was immaterial. No TSA revenue was recognized during the three months ended March 31, 2026.</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Milestones and Contingent Consideration</w:t>
      </w:r>
    </w:p>
    <w:p>
      <w:pPr>
        <w:pStyle w:val="TextBody"/>
        <w:bidi w:val="0"/>
        <w:spacing w:lineRule="auto" w:line="288" w:before="0" w:after="180"/>
        <w:ind w:left="0" w:right="0" w:firstLine="360"/>
        <w:jc w:val="both"/>
        <w:rPr>
          <w:rFonts w:ascii="Times New Roman;serif" w:hAnsi="Times New Roman;serif"/>
          <w:b w:val="false"/>
          <w:i/>
          <w:color w:val="19415E"/>
          <w:sz w:val="20"/>
          <w:u w:val="single"/>
        </w:rPr>
      </w:pPr>
      <w:r>
        <w:rPr>
          <w:rFonts w:ascii="Times New Roman;serif" w:hAnsi="Times New Roman;serif"/>
          <w:b w:val="false"/>
          <w:i/>
          <w:color w:val="19415E"/>
          <w:sz w:val="20"/>
          <w:u w:val="single"/>
        </w:rPr>
        <w:t>Travel Health Business (Bavarian Nordic)</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2023, the Company completed the sale of its travel health business to Bavarian Nordic. The Company was entitled to receive milestone payments totaling up to $80.0 million upon the achievement of specified regulatory milestones, all of which were received by the Company during 2024 and 2025.</w:t>
      </w:r>
    </w:p>
    <w:p>
      <w:pPr>
        <w:pStyle w:val="TextBody"/>
        <w:bidi w:val="0"/>
        <w:spacing w:lineRule="auto" w:line="288" w:before="0" w:after="180"/>
        <w:ind w:left="0" w:right="0" w:firstLine="360"/>
        <w:jc w:val="both"/>
        <w:rPr/>
      </w:pPr>
      <w:r>
        <w:rPr>
          <w:rFonts w:ascii="Times New Roman;serif" w:hAnsi="Times New Roman;serif"/>
          <w:b w:val="false"/>
          <w:color w:val="000000"/>
          <w:sz w:val="20"/>
        </w:rPr>
        <w:t>Milestone income of $50.0 million was recognized during the three months ended March 31, 2025, which the Company recorded within “Other, net” in the Condensed Consolidated Statement of Operations. No milestone income was recognized during the three months ended March 31, 2026. In addition, the Company may receive up to $30.0 million of earn-out payments from Bavarian Nordic based on aggregate net sales of Vaxchora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Vivotif</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calendar year 2026.</w:t>
      </w:r>
    </w:p>
    <w:p>
      <w:pPr>
        <w:pStyle w:val="TextBody"/>
        <w:bidi w:val="0"/>
        <w:spacing w:lineRule="auto" w:line="288" w:before="0" w:after="180"/>
        <w:ind w:left="0" w:right="0" w:firstLine="360"/>
        <w:jc w:val="both"/>
        <w:rPr/>
      </w:pPr>
      <w:r>
        <w:rPr>
          <w:rFonts w:ascii="Times New Roman;serif" w:hAnsi="Times New Roman;serif"/>
          <w:b w:val="false"/>
          <w:i/>
          <w:color w:val="19415E"/>
          <w:sz w:val="20"/>
          <w:u w:val="single"/>
        </w:rPr>
        <w:t>RSDL</w:t>
      </w:r>
      <w:r>
        <w:rPr>
          <w:rFonts w:ascii="Times New Roman;serif" w:hAnsi="Times New Roman;serif"/>
          <w:b w:val="false"/>
          <w:i/>
          <w:color w:val="19415E"/>
          <w:sz w:val="13"/>
          <w:u w:val="single"/>
        </w:rPr>
        <w:t xml:space="preserve">® </w:t>
      </w:r>
      <w:r>
        <w:rPr>
          <w:rFonts w:ascii="Times New Roman;serif" w:hAnsi="Times New Roman;serif"/>
          <w:b w:val="false"/>
          <w:i/>
          <w:color w:val="19415E"/>
          <w:sz w:val="20"/>
          <w:u w:val="single"/>
        </w:rPr>
        <w:t>Component Sourcing Milestone</w:t>
      </w:r>
    </w:p>
    <w:p>
      <w:pPr>
        <w:pStyle w:val="TextBody"/>
        <w:bidi w:val="0"/>
        <w:spacing w:lineRule="auto" w:line="288" w:before="0" w:after="180"/>
        <w:ind w:left="0" w:right="0" w:firstLine="360"/>
        <w:jc w:val="both"/>
        <w:rPr/>
      </w:pPr>
      <w:r>
        <w:rPr>
          <w:rFonts w:ascii="Times New Roman;serif" w:hAnsi="Times New Roman;serif"/>
          <w:b w:val="false"/>
          <w:color w:val="000000"/>
          <w:sz w:val="20"/>
        </w:rPr>
        <w:t>In connection with the July 2024 sale of RSDL</w:t>
      </w:r>
      <w:r>
        <w:rPr>
          <w:rFonts w:ascii="Times New Roman;serif" w:hAnsi="Times New Roman;serif"/>
          <w:b w:val="false"/>
          <w:color w:val="000000"/>
          <w:sz w:val="13"/>
        </w:rPr>
        <w:t>®</w:t>
      </w:r>
      <w:r>
        <w:rPr>
          <w:rFonts w:ascii="Times New Roman;serif" w:hAnsi="Times New Roman;serif"/>
          <w:b w:val="false"/>
          <w:color w:val="000000"/>
          <w:sz w:val="20"/>
        </w:rPr>
        <w:t>, the Company may receive a $5.0 million milestone payment contingent upon the achievement of a component sourcing milestone. No amounts related to this milestone were recognized during the three months ended March 31, 2026 and 2025.</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 xml:space="preserve">Sale of Baltimore-Bayview Facility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completed the sale of its Baltimore</w:t>
        <w:noBreakHyphen/>
        <w:t xml:space="preserve">Bayview facility in March 2025. As a result of the divestiture, the Company recognized a pre-tax gain of $7.9 million, net of transaction costs of $1.2 million, during the three months ended March 31, 2025, recorded within “Other, net” on the 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 xml:space="preserve">4.    Inventories, net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Inventories, net consisted of the following:</w:t>
      </w:r>
    </w:p>
    <w:tbl>
      <w:tblPr>
        <w:tblW w:w="5532" w:type="dxa"/>
        <w:jc w:val="left"/>
        <w:tblInd w:w="0" w:type="dxa"/>
        <w:tblLayout w:type="fixed"/>
        <w:tblCellMar>
          <w:top w:w="28" w:type="dxa"/>
          <w:left w:w="28" w:type="dxa"/>
          <w:bottom w:w="28" w:type="dxa"/>
          <w:right w:w="28" w:type="dxa"/>
        </w:tblCellMar>
      </w:tblPr>
      <w:tblGrid>
        <w:gridCol w:w="842"/>
        <w:gridCol w:w="739"/>
        <w:gridCol w:w="744"/>
        <w:gridCol w:w="291"/>
        <w:gridCol w:w="849"/>
        <w:gridCol w:w="150"/>
        <w:gridCol w:w="109"/>
        <w:gridCol w:w="109"/>
        <w:gridCol w:w="109"/>
        <w:gridCol w:w="342"/>
        <w:gridCol w:w="999"/>
        <w:gridCol w:w="249"/>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March 31, 2026</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December 31, 2025</w:t>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 net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 xml:space="preserve">Inventories, </w:t>
      </w:r>
      <w:r>
        <w:rPr>
          <w:rFonts w:ascii="Times New Roman;serif" w:hAnsi="Times New Roman;serif"/>
          <w:b w:val="false"/>
          <w:color w:val="000000"/>
          <w:sz w:val="20"/>
        </w:rPr>
        <w:t>net</w:t>
      </w:r>
      <w:r>
        <w:rPr>
          <w:color w:val="000000"/>
          <w:shd w:fill="FFFFFF" w:val="clear"/>
        </w:rPr>
        <w:t xml:space="preserve"> </w:t>
      </w:r>
      <w:r>
        <w:rPr>
          <w:rFonts w:ascii="Times New Roman;serif" w:hAnsi="Times New Roman;serif"/>
          <w:b w:val="false"/>
          <w:color w:val="000000"/>
          <w:sz w:val="20"/>
          <w:shd w:fill="FFFFFF" w:val="clear"/>
        </w:rPr>
        <w:t>is stated at the lower of cost or net realizable value</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5.    Property, plant and equipment, net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net consisted of the following:</w:t>
      </w:r>
    </w:p>
    <w:tbl>
      <w:tblPr>
        <w:tblW w:w="8501" w:type="dxa"/>
        <w:jc w:val="left"/>
        <w:tblInd w:w="0" w:type="dxa"/>
        <w:tblLayout w:type="fixed"/>
        <w:tblCellMar>
          <w:top w:w="28" w:type="dxa"/>
          <w:left w:w="28" w:type="dxa"/>
          <w:bottom w:w="28" w:type="dxa"/>
          <w:right w:w="28" w:type="dxa"/>
        </w:tblCellMar>
      </w:tblPr>
      <w:tblGrid>
        <w:gridCol w:w="1918"/>
        <w:gridCol w:w="1684"/>
        <w:gridCol w:w="1692"/>
        <w:gridCol w:w="291"/>
        <w:gridCol w:w="849"/>
        <w:gridCol w:w="150"/>
        <w:gridCol w:w="109"/>
        <w:gridCol w:w="109"/>
        <w:gridCol w:w="109"/>
        <w:gridCol w:w="342"/>
        <w:gridCol w:w="999"/>
        <w:gridCol w:w="249"/>
      </w:tblGrid>
      <w:tr>
        <w:trPr/>
        <w:tc>
          <w:tcPr>
            <w:tcW w:w="1918"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March 31, 2026</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December 31, 2025</w:t>
            </w:r>
          </w:p>
        </w:tc>
      </w:tr>
      <w:tr>
        <w:trPr/>
        <w:tc>
          <w:tcPr>
            <w:tcW w:w="52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building improvements and leasehold improvements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Construction-in-progress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gross</w:t>
            </w:r>
          </w:p>
        </w:tc>
        <w:tc>
          <w:tcPr>
            <w:tcW w:w="29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509.4 </w:t>
            </w:r>
          </w:p>
        </w:tc>
        <w:tc>
          <w:tcPr>
            <w:tcW w:w="1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509.5 </w:t>
            </w:r>
          </w:p>
        </w:tc>
        <w:tc>
          <w:tcPr>
            <w:tcW w:w="24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(304.1)</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24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construction-in-progress primarily included costs incurred to advance the Company’s MCM Products capabilities. Property, plant and equipment, net is stated at cost, less accumulated depreciation and amortization.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the Company recognized a non-cash impairment charge of $12.2 million related to certain Bioservices long-lived assets recorded during 2025. The impairment was recorded upon the determination that the assets met the criteria to be classified as held-for-sale and was reflected as “Loss on assets held for sale” in the Condensed Consolidated Statement of Operations. During the fourth quarter of 2025 management determined that the previously contemplated sale of the assets was no longer probable, and accordingly, the assets were reclassified back to held and used.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6.    Intangible assets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Company’s finite-lived intangible assets consist of products acquired via business combinations or asset acquisitions. During the three months ended March 31, 2026, the Company incurred a $50.4 million liability recorded in “Accrued acquisition obligation” on the Condensed Consolidated Balance Sheet as of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 payable in June 2026 to Ridgeback, from whom the Company acquired its Ebanga</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compound. This amount increases the basis of the Company's corresponding intangible assets and was recognized in the current period following resolution of a prior measurement uncertainty related to the obligation. The following table summarizes the Company’s finite-lived intangible assets:</w:t>
      </w:r>
    </w:p>
    <w:tbl>
      <w:tblPr>
        <w:tblW w:w="10205" w:type="dxa"/>
        <w:jc w:val="left"/>
        <w:tblInd w:w="0" w:type="dxa"/>
        <w:tblLayout w:type="fixed"/>
        <w:tblCellMar>
          <w:top w:w="28" w:type="dxa"/>
          <w:left w:w="28" w:type="dxa"/>
          <w:bottom w:w="28" w:type="dxa"/>
          <w:right w:w="28" w:type="dxa"/>
        </w:tblCellMar>
      </w:tblPr>
      <w:tblGrid>
        <w:gridCol w:w="362"/>
        <w:gridCol w:w="318"/>
        <w:gridCol w:w="322"/>
        <w:gridCol w:w="312"/>
        <w:gridCol w:w="312"/>
        <w:gridCol w:w="313"/>
        <w:gridCol w:w="109"/>
        <w:gridCol w:w="109"/>
        <w:gridCol w:w="109"/>
        <w:gridCol w:w="221"/>
        <w:gridCol w:w="646"/>
        <w:gridCol w:w="114"/>
        <w:gridCol w:w="109"/>
        <w:gridCol w:w="109"/>
        <w:gridCol w:w="109"/>
        <w:gridCol w:w="263"/>
        <w:gridCol w:w="771"/>
        <w:gridCol w:w="137"/>
        <w:gridCol w:w="109"/>
        <w:gridCol w:w="109"/>
        <w:gridCol w:w="109"/>
        <w:gridCol w:w="219"/>
        <w:gridCol w:w="641"/>
        <w:gridCol w:w="113"/>
        <w:gridCol w:w="109"/>
        <w:gridCol w:w="109"/>
        <w:gridCol w:w="109"/>
        <w:gridCol w:w="221"/>
        <w:gridCol w:w="646"/>
        <w:gridCol w:w="114"/>
        <w:gridCol w:w="109"/>
        <w:gridCol w:w="109"/>
        <w:gridCol w:w="109"/>
        <w:gridCol w:w="263"/>
        <w:gridCol w:w="771"/>
        <w:gridCol w:w="137"/>
        <w:gridCol w:w="109"/>
        <w:gridCol w:w="109"/>
        <w:gridCol w:w="109"/>
        <w:gridCol w:w="219"/>
        <w:gridCol w:w="639"/>
        <w:gridCol w:w="169"/>
      </w:tblGrid>
      <w:tr>
        <w:trPr/>
        <w:tc>
          <w:tcPr>
            <w:tcW w:w="36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02"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restart"/>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Weighted Average Useful Life in Years</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15"/>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March 31, 2026</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15"/>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December 31, 2025</w:t>
            </w:r>
          </w:p>
        </w:tc>
      </w:tr>
      <w:tr>
        <w:trPr/>
        <w:tc>
          <w:tcPr>
            <w:tcW w:w="1002"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Gross Carrying Amount</w:t>
            </w:r>
          </w:p>
        </w:tc>
        <w:tc>
          <w:tcPr>
            <w:tcW w:w="327" w:type="dxa"/>
            <w:gridSpan w:val="3"/>
            <w:tcBorders>
              <w:top w:val="single" w:sz="4"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Accumulated Amortization</w:t>
            </w:r>
          </w:p>
        </w:tc>
        <w:tc>
          <w:tcPr>
            <w:tcW w:w="327" w:type="dxa"/>
            <w:gridSpan w:val="3"/>
            <w:tcBorders>
              <w:top w:val="single" w:sz="4"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Net Carrying Amount</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Gross Carrying Amount</w:t>
            </w:r>
          </w:p>
        </w:tc>
        <w:tc>
          <w:tcPr>
            <w:tcW w:w="327" w:type="dxa"/>
            <w:gridSpan w:val="3"/>
            <w:tcBorders>
              <w:top w:val="single" w:sz="4"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Accumulated Amortization</w:t>
            </w:r>
          </w:p>
        </w:tc>
        <w:tc>
          <w:tcPr>
            <w:tcW w:w="327" w:type="dxa"/>
            <w:gridSpan w:val="3"/>
            <w:tcBorders>
              <w:top w:val="single" w:sz="4"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Net Carrying Amount</w:t>
            </w:r>
          </w:p>
        </w:tc>
      </w:tr>
      <w:tr>
        <w:trPr/>
        <w:tc>
          <w:tcPr>
            <w:tcW w:w="1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00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435.4 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436.5 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associated with the Company’s finite-lived intangible assets was recorded as follows:</w:t>
      </w:r>
    </w:p>
    <w:tbl>
      <w:tblPr>
        <w:tblW w:w="5863" w:type="dxa"/>
        <w:jc w:val="left"/>
        <w:tblInd w:w="0" w:type="dxa"/>
        <w:tblLayout w:type="fixed"/>
        <w:tblCellMar>
          <w:top w:w="28" w:type="dxa"/>
          <w:left w:w="28" w:type="dxa"/>
          <w:bottom w:w="28" w:type="dxa"/>
          <w:right w:w="28" w:type="dxa"/>
        </w:tblCellMar>
      </w:tblPr>
      <w:tblGrid>
        <w:gridCol w:w="1016"/>
        <w:gridCol w:w="892"/>
        <w:gridCol w:w="897"/>
        <w:gridCol w:w="273"/>
        <w:gridCol w:w="663"/>
        <w:gridCol w:w="141"/>
        <w:gridCol w:w="141"/>
        <w:gridCol w:w="141"/>
        <w:gridCol w:w="141"/>
        <w:gridCol w:w="273"/>
        <w:gridCol w:w="663"/>
        <w:gridCol w:w="141"/>
        <w:gridCol w:w="109"/>
        <w:gridCol w:w="109"/>
        <w:gridCol w:w="109"/>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0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423" w:type="dxa"/>
            <w:gridSpan w:val="3"/>
            <w:tcBorders>
              <w:top w:val="single" w:sz="4"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7.    Fair value measurements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presents information about the Company’s assets and liabilities that are regularly measured and carried at fair value and indicates the level within the fair value hierarchy of the valuation techniques the Company utilized to determine fair value:</w:t>
      </w:r>
    </w:p>
    <w:tbl>
      <w:tblPr>
        <w:tblW w:w="9090" w:type="dxa"/>
        <w:jc w:val="left"/>
        <w:tblInd w:w="0" w:type="dxa"/>
        <w:tblLayout w:type="fixed"/>
        <w:tblCellMar>
          <w:top w:w="28" w:type="dxa"/>
          <w:left w:w="28" w:type="dxa"/>
          <w:bottom w:w="28" w:type="dxa"/>
          <w:right w:w="28" w:type="dxa"/>
        </w:tblCellMar>
      </w:tblPr>
      <w:tblGrid>
        <w:gridCol w:w="746"/>
        <w:gridCol w:w="657"/>
        <w:gridCol w:w="667"/>
        <w:gridCol w:w="211"/>
        <w:gridCol w:w="511"/>
        <w:gridCol w:w="109"/>
        <w:gridCol w:w="211"/>
        <w:gridCol w:w="511"/>
        <w:gridCol w:w="109"/>
        <w:gridCol w:w="211"/>
        <w:gridCol w:w="406"/>
        <w:gridCol w:w="109"/>
        <w:gridCol w:w="211"/>
        <w:gridCol w:w="511"/>
        <w:gridCol w:w="109"/>
        <w:gridCol w:w="109"/>
        <w:gridCol w:w="109"/>
        <w:gridCol w:w="109"/>
        <w:gridCol w:w="211"/>
        <w:gridCol w:w="616"/>
        <w:gridCol w:w="109"/>
        <w:gridCol w:w="211"/>
        <w:gridCol w:w="616"/>
        <w:gridCol w:w="109"/>
        <w:gridCol w:w="211"/>
        <w:gridCol w:w="406"/>
        <w:gridCol w:w="109"/>
        <w:gridCol w:w="211"/>
        <w:gridCol w:w="511"/>
        <w:gridCol w:w="154"/>
      </w:tblGrid>
      <w:tr>
        <w:trPr/>
        <w:tc>
          <w:tcPr>
            <w:tcW w:w="7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12"/>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March 31, 2026</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12"/>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December 31, 2025</w:t>
            </w:r>
          </w:p>
        </w:tc>
      </w:tr>
      <w:tr>
        <w:trPr/>
        <w:tc>
          <w:tcPr>
            <w:tcW w:w="207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Total</w:t>
            </w:r>
          </w:p>
        </w:tc>
        <w:tc>
          <w:tcPr>
            <w:tcW w:w="831"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Level 1</w:t>
            </w:r>
          </w:p>
        </w:tc>
        <w:tc>
          <w:tcPr>
            <w:tcW w:w="726"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Level 2</w:t>
            </w:r>
          </w:p>
        </w:tc>
        <w:tc>
          <w:tcPr>
            <w:tcW w:w="831"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Level 3</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Total</w:t>
            </w:r>
          </w:p>
        </w:tc>
        <w:tc>
          <w:tcPr>
            <w:tcW w:w="936"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Level 1</w:t>
            </w:r>
          </w:p>
        </w:tc>
        <w:tc>
          <w:tcPr>
            <w:tcW w:w="726"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Level 2</w:t>
            </w:r>
          </w:p>
        </w:tc>
        <w:tc>
          <w:tcPr>
            <w:tcW w:w="876"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Level 3</w:t>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2024 Warrant liability</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connection with the Company’s Credit Agreement, dated August 30, 2024, with OHA Agency LLC, as administrative agent, and the lenders from time to time party thereto (the “Prior Term Loan Agreement”), the Company issued to the lenders warrants to purchase 1.0 million shares of the Company’s common stock at an exercise price of $9.8802 per share (the “Series I Warrants”) and warrants to purchase 1.5 million shares at an exercise price of $15.7185 per share (the “Series II Warrants” and, together with the Series I Warrants, the “Warrants”). The Warrants are currently exercisable and will expire on August 30, 2029. Because the Warrants could be cash settled based on events that are outside the control of the Company, it precludes the Warrants from applying the equity contract scope exception, and so the Warrants are classified as a liability. As a result, the fair value of the Warrants will be remeasured each period with the gain or loss on the warrant liability included in “Other, net” on the Condensed Consolidated Statement of Operations. </w:t>
      </w:r>
      <w:r>
        <w:rPr>
          <w:rFonts w:ascii="Times New Roman;serif" w:hAnsi="Times New Roman;serif"/>
          <w:b w:val="false"/>
          <w:color w:val="000000"/>
          <w:sz w:val="20"/>
          <w:shd w:fill="FFFFFF" w:val="clear"/>
        </w:rPr>
        <w:t>As of March 31, 2026 and December 31, 2025, t</w:t>
      </w:r>
      <w:r>
        <w:rPr>
          <w:rFonts w:ascii="Times New Roman;serif" w:hAnsi="Times New Roman;serif"/>
          <w:b w:val="false"/>
          <w:color w:val="000000"/>
          <w:sz w:val="20"/>
        </w:rPr>
        <w:t xml:space="preserve">he fair value of the warrant liability was $13.3 million and $21.7 million, respectively, and was included within “Other Liabilities” on the Condensed Consolidated Balance Sheets, as determined using the Black-Scholes method.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the Black-Scholes option pricing model to calculate the fair value of the Warrants at each reporting period. Assumptions used in the Black-Scholes option pricing model take into account the agreement terms as well as the quoted price of the Company’s common stock in an active market. The volatility is based on the average historical volatility of the common stock. The expected life is based on the remaining contractual term of the Warrants, and the risk free interest rate is based on the implied yield available on U.S. Treasury securities with a maturity equivalent to the Warrants’ expected life.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is a reconciliation of the beginning and ending balance of the Company’s Level 3 warrant liability: </w:t>
      </w:r>
    </w:p>
    <w:tbl>
      <w:tblPr>
        <w:tblW w:w="4526" w:type="dxa"/>
        <w:jc w:val="left"/>
        <w:tblInd w:w="0" w:type="dxa"/>
        <w:tblLayout w:type="fixed"/>
        <w:tblCellMar>
          <w:top w:w="28" w:type="dxa"/>
          <w:left w:w="28" w:type="dxa"/>
          <w:bottom w:w="28" w:type="dxa"/>
          <w:right w:w="28" w:type="dxa"/>
        </w:tblCellMar>
      </w:tblPr>
      <w:tblGrid>
        <w:gridCol w:w="971"/>
        <w:gridCol w:w="855"/>
        <w:gridCol w:w="858"/>
        <w:gridCol w:w="109"/>
        <w:gridCol w:w="109"/>
        <w:gridCol w:w="109"/>
        <w:gridCol w:w="365"/>
        <w:gridCol w:w="884"/>
        <w:gridCol w:w="266"/>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Warrant Liability</w:t>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2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recurring Level 3 fair value measurement for the Company's warrant liability used the following significant unobservable inputs: </w:t>
      </w:r>
    </w:p>
    <w:tbl>
      <w:tblPr>
        <w:tblW w:w="5909" w:type="dxa"/>
        <w:jc w:val="left"/>
        <w:tblInd w:w="0" w:type="dxa"/>
        <w:tblLayout w:type="fixed"/>
        <w:tblCellMar>
          <w:top w:w="28" w:type="dxa"/>
          <w:left w:w="28" w:type="dxa"/>
          <w:bottom w:w="28" w:type="dxa"/>
          <w:right w:w="28" w:type="dxa"/>
        </w:tblCellMar>
      </w:tblPr>
      <w:tblGrid>
        <w:gridCol w:w="537"/>
        <w:gridCol w:w="472"/>
        <w:gridCol w:w="476"/>
        <w:gridCol w:w="654"/>
        <w:gridCol w:w="654"/>
        <w:gridCol w:w="656"/>
        <w:gridCol w:w="604"/>
        <w:gridCol w:w="604"/>
        <w:gridCol w:w="606"/>
        <w:gridCol w:w="189"/>
        <w:gridCol w:w="189"/>
        <w:gridCol w:w="26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bottom w:val="single" w:sz="8" w:space="0" w:color="000000"/>
            </w:tcBorders>
            <w:shd w:fill="19415E" w:val="clear"/>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FFFFFF"/>
                <w:sz w:val="19"/>
              </w:rPr>
            </w:pPr>
            <w:r>
              <w:rPr>
                <w:rFonts w:ascii="Times New Roman;serif" w:hAnsi="Times New Roman;serif"/>
                <w:b/>
                <w:color w:val="FFFFFF"/>
                <w:sz w:val="19"/>
              </w:rPr>
              <w:t>Warrant Liability</w:t>
            </w:r>
          </w:p>
        </w:tc>
        <w:tc>
          <w:tcPr>
            <w:tcW w:w="1964" w:type="dxa"/>
            <w:gridSpan w:val="3"/>
            <w:tcBorders>
              <w:bottom w:val="single" w:sz="8" w:space="0" w:color="000000"/>
            </w:tcBorders>
            <w:shd w:fill="19415E"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Valuation Technique</w:t>
            </w:r>
          </w:p>
        </w:tc>
        <w:tc>
          <w:tcPr>
            <w:tcW w:w="1814"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Unobservable Input</w:t>
            </w:r>
          </w:p>
        </w:tc>
        <w:tc>
          <w:tcPr>
            <w:tcW w:w="646"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Range</w:t>
            </w:r>
          </w:p>
        </w:tc>
      </w:tr>
      <w:tr>
        <w:trPr/>
        <w:tc>
          <w:tcPr>
            <w:tcW w:w="1485"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 Warrants</w:t>
            </w:r>
          </w:p>
        </w:tc>
        <w:tc>
          <w:tcPr>
            <w:tcW w:w="1964"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Black-Scholes Method</w:t>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148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964"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148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964"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w:t>
            </w:r>
          </w:p>
        </w:tc>
      </w:tr>
    </w:tbl>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Non-variable rate debt</w:t>
      </w:r>
    </w:p>
    <w:p>
      <w:pPr>
        <w:pStyle w:val="TextBody"/>
        <w:bidi w:val="0"/>
        <w:spacing w:lineRule="auto" w:line="288" w:before="0" w:after="180"/>
        <w:ind w:left="0" w:right="0" w:firstLine="360"/>
        <w:jc w:val="both"/>
        <w:rPr/>
      </w:pPr>
      <w:r>
        <w:rPr>
          <w:rFonts w:ascii="Times New Roman;serif" w:hAnsi="Times New Roman;serif"/>
          <w:b w:val="false"/>
          <w:color w:val="000000"/>
          <w:sz w:val="20"/>
        </w:rPr>
        <w:t>As of March 31, 2026</w:t>
      </w:r>
      <w:r>
        <w:rPr>
          <w:color w:val="000000"/>
          <w:shd w:fill="FFFFFF" w:val="clear"/>
        </w:rPr>
        <w:t xml:space="preserve"> </w:t>
      </w:r>
      <w:r>
        <w:rPr>
          <w:rFonts w:ascii="Times New Roman;serif" w:hAnsi="Times New Roman;serif"/>
          <w:b w:val="false"/>
          <w:color w:val="000000"/>
          <w:sz w:val="20"/>
          <w:shd w:fill="FFFFFF" w:val="clear"/>
        </w:rPr>
        <w:t>and December 31, 2025, t</w:t>
      </w:r>
      <w:r>
        <w:rPr>
          <w:rFonts w:ascii="Times New Roman;serif" w:hAnsi="Times New Roman;serif"/>
          <w:b w:val="false"/>
          <w:color w:val="000000"/>
          <w:sz w:val="20"/>
        </w:rPr>
        <w:t xml:space="preserve">he fair value of the Company’s 3.875% Senior Unsecured Notes due 2028 (the “Senior Unsecured Notes”) was $373.1 million and $389.7 million, respectively. The fair value was determined through market sources, which are Level 2 inputs and directly observable. The carrying amounts of the Company’s other long-term variable interest rate debt arrangements approximate their fair values as of March 31, 2026 (see Note 8, “Debt”).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8.    Debt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components of the Company’s debt as of March 31, 2026 and December 31, 2025:</w:t>
      </w:r>
    </w:p>
    <w:tbl>
      <w:tblPr>
        <w:tblW w:w="8127" w:type="dxa"/>
        <w:jc w:val="left"/>
        <w:tblInd w:w="0" w:type="dxa"/>
        <w:tblLayout w:type="fixed"/>
        <w:tblCellMar>
          <w:top w:w="28" w:type="dxa"/>
          <w:left w:w="28" w:type="dxa"/>
          <w:bottom w:w="28" w:type="dxa"/>
          <w:right w:w="28" w:type="dxa"/>
        </w:tblCellMar>
      </w:tblPr>
      <w:tblGrid>
        <w:gridCol w:w="1782"/>
        <w:gridCol w:w="1566"/>
        <w:gridCol w:w="1572"/>
        <w:gridCol w:w="291"/>
        <w:gridCol w:w="849"/>
        <w:gridCol w:w="150"/>
        <w:gridCol w:w="109"/>
        <w:gridCol w:w="109"/>
        <w:gridCol w:w="109"/>
        <w:gridCol w:w="342"/>
        <w:gridCol w:w="999"/>
        <w:gridCol w:w="249"/>
      </w:tblGrid>
      <w:tr>
        <w:trPr/>
        <w:tc>
          <w:tcPr>
            <w:tcW w:w="1782"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March 31, 2026</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December 31, 2025</w:t>
            </w:r>
          </w:p>
        </w:tc>
      </w:tr>
      <w:tr>
        <w:trPr/>
        <w:tc>
          <w:tcPr>
            <w:tcW w:w="4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secured credit agreement - Prior Term loan due 2029</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3.875% Senior Unsecured Notes due 2028</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debt, net</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$35.0 million of unamortized debt issuance costs recorded in connection with the execution of the Prior Term Loan Agreement within a contra account to directly offset the balance of the Prior Term Loan (as defined below). As of March 31, 2026, the Company had $13.8 million in unamortized debt issuance costs associated with the Prior Term Loan. On April 16, 2026, the Company used the proceeds of the loan drawn under the Term Loan Agreement, together with cash on hand, to repay all amounts outstanding and terminate commitments under the Prior Term Loan Agreement, plus accrued interest and fees.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Debt issuance costs associated with the Company’s Revolving Loans, as defined and described in further detail below, were recorded as an asset within “Other long-term assets” on the Company’s Condensed Consolidated Balance Sheets. As of March 31, 2026, the Company had $2.5 million in unamortized debt issuance costs associated with the Revolving Loans. If the Company draws on the capacity available under the Revolving Loans, the debt issuance costs would be reclassified to a contra account to directly offset the Revolving Loans balance.</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3.875% Senior Unsecured Notes due 2028</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On August 7, 2020, the Company issued $450.0 million aggregate principal amount of its Senior Unsecured Notes</w:t>
      </w:r>
      <w:r>
        <w:rPr>
          <w:rFonts w:ascii="Times New Roman;serif" w:hAnsi="Times New Roman;serif"/>
          <w:b w:val="false"/>
          <w:color w:val="000000"/>
          <w:sz w:val="20"/>
        </w:rPr>
        <w:t>. Interest on the Senior Unsecured Notes is payable on February 15 and August 15 of each year until maturity, beginning on February 15, 2021. The Senior Unsecured Notes will mature on August 15, 2028.</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may redeem all or a portion of the Senior Unsecured Notes at a redemption price equal to 100% of the principal amount of the Senior Unsecured Notes plus a “make-whole” premium and accrued and unpaid interest as set forth in the related indenture. Upon the occurrence of a change of control, the Company must offer to repurchase the Senior Unsecured Notes at a purchase price of 101% of the principal amount of such notes plus accrued and unpaid interest.</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 xml:space="preserve">Negative covenants in the indenture governing the Senior Unsecured Notes, among other things, limit the ability of the Company to incur indebtedness and liens, dispose of assets, make investments, enter into certain merger or consolidation transactions and make </w:t>
      </w:r>
      <w:r>
        <w:rPr>
          <w:rFonts w:ascii="Times New Roman;serif" w:hAnsi="Times New Roman;serif"/>
          <w:b w:val="false"/>
          <w:color w:val="000000"/>
          <w:sz w:val="20"/>
        </w:rPr>
        <w:t>restricted payments.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2025, the Board of Directors authorized the Company to repurchase up to $30.0 million in aggregate principal amount of the Company’s Senior Unsecured Notes. The Company may seek to opportunistically use this authority to repurchase its Senior Unsecured Notes in open market purchases, privately negotiated transactions or otherwise. Any such repurchases will depend upon prevailing market conditions, our liquidity requirements, contractual restrictions, applicable securities law and other factors. During the year ended December 31, 2025, the Company repurchased $10.3 million principal amount of its outstanding Senior Unsecured Notes. The Company did not have any principal repurchases during the three months ended March 31, 2026. As of March 31, 2026, we had $19.7 million available to repurchase additional Senior Unsecured Notes. </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Prior Term Loan Agreement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30, 2024, the Company entered into the Prior Term Loan Agreement with OHA Agency LLC, as administrative agent, and the lenders from time to time party thereto. The Prior Term Loan Agreement provided for a term loan (the “Prior Term Loan”) of $250.0 million, which was drawn in full on the date of entry into the Prior Term Loan Agreement (the “Closing Date”). The Prior Term Loan was issued with an original issue discount of 3.00%.</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Prior Term Loan accrued interest at the Company’s option at (i) the Base Rate (as defined in the Prior Term Loan Agreement) (subject to a floor of 1.00%) plus 7.25% per annum or (ii) Adjusted Term Secured Overnight Financing Rate (“SOFR”) (as defined in the Prior Term Loan Agreement) (subject to a floor of 2.00% until the second anniversary of the Closing Date, and thereafter, 3.00%) plus 8.25% per annum.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Prior Term Loan would have matured on the first to occur (such date, the “Prior Term Loan Maturity Date”) of (i) August 30, 2029, (ii) the date of acceleration of the Prior Term Loan upon the occurrence and during the continuance of an event of default and (iii) solely to the extent the aggregate principal amount of Senior Unsecured Notes outstanding exceeded $25.0 million, May 15, 2028, which is three months prior to the August 15, 2028 maturity date of the Senior Unsecured Notes. The Prior Term Loan Agreement contained certain customary default and cross-default provisions, representations and warranties and affirmative and negative covenants, including (a) restrictions on prepayments and repurchases of indebtedness, including the Senior Unsecured Notes, subject to further customary permitted debt payments, (b) a minimum liquidity requirement of $75.0 million commencing on September 30, 2024 and tested every two weeks, and (c) a consolidated gross leverage ratio tested every fiscal quarter commencing with the fiscal quarter ending December 31, 2025, initially at 5.10:1.00 with step-downs as set forth in the Prior Term Loan Agreement. As of March 31, 2026, the Company was in compliance with all covenants under the Prior Term Loan Agreement.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indebtedness outstanding under the Prior Term Loan Agreement was guaranteed by certain of the Company’s direct and indirect subsidiaries, other than certain subsidiaries that were not material, were excluded pursuant to the terms of the Prior Term Loan Agreement, or would become guarantors on a post-closing basis. The indebtedness under the Prior Term Loan Agreement was secured by a first-priority security interest in and lien on substantially all assets of the Company and the guarantors.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Company could elect to prepay the Prior Term Loan, in whole or in part, subject to (i) through and including the first anniversary of the Closing Date, a make-whole premium plus 4.00% of the aggregate principal amount of the Prior Term Loan subject to prepayment and (ii) after the first anniversary of the Closing Date, a 4.00% prepayment premium, which percentage was subject to reduction by 0.25% as set forth on a schedule attached to the Prior Term Loan Agreement. </w:t>
      </w:r>
      <w:r>
        <w:rPr>
          <w:rFonts w:ascii="Times New Roman;serif" w:hAnsi="Times New Roman;serif"/>
          <w:b w:val="false"/>
          <w:color w:val="000000"/>
          <w:sz w:val="20"/>
          <w:shd w:fill="FFFFFF" w:val="clear"/>
        </w:rPr>
        <w:t xml:space="preserve">In December 2025, the Company voluntarily prepaid $100.0 million of the Prior Term Loan, which was subject to a $3.8 million prepayment premium under the Prior Term Loan Agreement. 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the Company had </w:t>
      </w:r>
      <w:r>
        <w:rPr>
          <w:rFonts w:ascii="Times New Roman;serif" w:hAnsi="Times New Roman;serif"/>
          <w:b w:val="false"/>
          <w:color w:val="000000"/>
          <w:sz w:val="20"/>
        </w:rPr>
        <w:t>$150.0 million</w:t>
      </w:r>
      <w:r>
        <w:rPr>
          <w:color w:val="000000"/>
          <w:shd w:fill="FFFFFF" w:val="clear"/>
        </w:rPr>
        <w:t xml:space="preserve"> </w:t>
      </w:r>
      <w:r>
        <w:rPr>
          <w:rFonts w:ascii="Times New Roman;serif" w:hAnsi="Times New Roman;serif"/>
          <w:b w:val="false"/>
          <w:color w:val="000000"/>
          <w:sz w:val="20"/>
          <w:shd w:fill="FFFFFF" w:val="clear"/>
        </w:rPr>
        <w:t xml:space="preserve">in Term Loan principal remaining. </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Revolving Loan Agreement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30, 2024, the Company entered into a credit agreement for asset-based revolving loans (as amended on April 16, 2026, the “Revolving Credit Agreement”) with certain subsidiary borrowers (together with the Company, the “Borrowers”), the lenders from time to time party thereto, and Wells Fargo Bank, National Association, as agent (the “Agent”). The Revolving Credit Agreement initially provided for commitments with respect to the revolving loans (the “Revolving Loans”) of up to the lesser of (x) $100.0 million, which could be increased (but not above $125.0 million, or the “Maximum Revolver Amount”) or decreased (but not below $50.0 million) by the Borrowers in accordance with the terms of the Revolving Credit Agreement and (y) the Borrowing Base (as defined in the Revolving Credit Agreement). Amendment No. 1 (the “ABL Amendment”) reduced the aggregate revolving loan commitment to $50.0 million. Once reduced, the facility may not be increased. Up to $5.0 million of capacity under the Revolving Loans may be used for swing loans and up to $10.0 million may be used for the issuance of letters of credit.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Until September 30, 2025, the Revolving Loans accrued interest at the Base Rate (as defined in the Revolving Credit Agreement) plus a margin of 1.25% (such loans, “Revolving Base Rate Loans”) or, at the Company’s election, at a rate equal to Adjusted Term SOFR (as defined in the Revolving Credit Agreement and subject to a floor of 0.00%) plus a margin of 2.25% (such loans, “Revolving SOFR Loans”). After September 30, 2025, the applicable margin may be reduced to 0.75% in the case of Revolving Base Rate Loans, or 1.75% in the case of Revolving SOFR Loans, provided the Borrowers’ total leverage ratio is less than 4.00 to 1.00 for the most recently completed fiscal quarter and an event of default is not continuing. A default interest rate of an additional 2.00% per annum would apply on all outstanding obligations that are not paid when due.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Revolving Loans will mature on the first to occur of (i) April 16, 2031; (ii) to the extent there remain outstanding any portion of the term loans extended under the Term Loan Agreement, the date that is 90 days prior to the maturity date under the Term Loan Agreement; (iii) to the extent any of the Senior Unsecured Notes remain outstanding, May 17, 2028, which is 90 days prior to the August 15, 2028 maturity date of the Senior Unsecured Notes; and (iv) to the extent certain Incremental Equivalent Debt or Permitted Indebtedness (in each case as defined in the Revolving Credit Agreement) remains outstanding, the date that is 90 days prior to the maturity date of such indebtedness. The Revolving Credit Agreement contains certain customary default and cross-default provisions (including with respect to defaults under the Term Loan Agreement), representations and warranties and affirmative and negative covenants, including (a) restrictions on prepayments and repurchases of indebtedness, including the Senior Unsecured Notes, (b) restrictions on dispositions of material intellectual property, (c) a minimum liquidity requirement of $50.0 million through the day prior to the first date following September 30, 2025 on which the Company’s total leverage ratio measured as of the preceding 12-month period is less than 5.25 to 1.00 (the “Covenant Conversion Date”) and (d) from the Covenant Conversion Date, a fixed charge coverage ratio requirement of at least 1.00 to 1.00. As of March 31, 2026, the Company was in compliance with all covenants under the Revolving Credit Agreement. The ABL Amendment replaced the minimum liquidity requirement with a covenant to maintain a total leverage ratio of at least 5.25 to 1.00.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indebtedness outstanding under the Revolving Credit Agreement is guaranteed by certain of the Borrowers’ material direct and indirect subsidiaries, subject to customary exclusions. The indebtedness under the Revolving Credit Agreement is secured by a first-priority security interest in and lien on the ABL Priority Collateral and a second-priority security interest and lien on the Term Loan Priority Collateral (in each case as defined in the Revolving Credit Agreement).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Borrowers may elect to prepay any Revolving Loans, in whole or in part, without premium or penalty. If at any time outstanding Revolving Loans and letters of credit exceed the lesser of (i) the Borrowing Base, as adjusted for reserves established by the Agent, and (ii) the Maximum Revolver Amount, the Borrowers will be required to prepay outstanding obligations in the amount of such excess. The Agent may establish, increase or decrease reserves at its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9.    Stock-based compensation and stockholders' equity</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Stock-based compensation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stock-based compensation expense relates to stock options, performance stock options, restricted stock units, performance stock units and liability classified long-term incentive awards. During the three months ended March 31, 2026, the Company granted stock options to purchase 0.9 million shares of common stock and 2.5 million restricted stock units. The grants were made under the Emergent BioSolutions Inc. Amended and Restated Stock Incentive Plan (the “Emergent Plan”). </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During the first quarter of 2024, the Company granted an $8.0 million long-term incentive award, subject to market conditions, with the option to settle in any combination of cash or shares, which is accounted for as a liability classified award. The Company’s performance stock options and the long-term incentive award are valued using Monte Carlo valuation models, and each have a performance period of five years to vest based on the Company’s stock price performance. The long-term incentive award is revalued at each reporting period until the award is earned or expires. The Company’s other equity awards typically vest over three equal annual installments beginning on the day prior to the anniversary of the grant date. The performance stock units settle in stock at the end of a one </w:t>
      </w:r>
      <w:r>
        <w:rPr>
          <w:rFonts w:ascii="Times New Roman;serif" w:hAnsi="Times New Roman;serif"/>
          <w:b w:val="false"/>
          <w:color w:val="000000"/>
          <w:sz w:val="20"/>
          <w:shd w:fill="FFFFFF" w:val="clear"/>
        </w:rPr>
        <w:t>or</w:t>
      </w:r>
      <w:r>
        <w:rPr>
          <w:color w:val="000000"/>
        </w:rPr>
        <w:t xml:space="preserve"> </w:t>
      </w:r>
      <w:r>
        <w:rPr>
          <w:rFonts w:ascii="Times New Roman;serif" w:hAnsi="Times New Roman;serif"/>
          <w:b w:val="false"/>
          <w:color w:val="000000"/>
          <w:sz w:val="20"/>
        </w:rPr>
        <w:t xml:space="preserve">three-year performance period based on the Company's results compared to the performance criteria. During the three months ended March 31, 2026, 0.1 million stock options, 0.1 million restricted stock units and 0.1 million performance stock units were forfeited prior to the completion of the applicable vesting requirements or expiration.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net of forfeitures was recorded in the following financial statement line items:</w:t>
      </w:r>
    </w:p>
    <w:tbl>
      <w:tblPr>
        <w:tblW w:w="6510" w:type="dxa"/>
        <w:jc w:val="left"/>
        <w:tblInd w:w="0" w:type="dxa"/>
        <w:tblLayout w:type="fixed"/>
        <w:tblCellMar>
          <w:top w:w="28" w:type="dxa"/>
          <w:left w:w="28" w:type="dxa"/>
          <w:bottom w:w="28" w:type="dxa"/>
          <w:right w:w="28" w:type="dxa"/>
        </w:tblCellMar>
      </w:tblPr>
      <w:tblGrid>
        <w:gridCol w:w="1249"/>
        <w:gridCol w:w="1098"/>
        <w:gridCol w:w="1102"/>
        <w:gridCol w:w="306"/>
        <w:gridCol w:w="589"/>
        <w:gridCol w:w="158"/>
        <w:gridCol w:w="158"/>
        <w:gridCol w:w="158"/>
        <w:gridCol w:w="158"/>
        <w:gridCol w:w="306"/>
        <w:gridCol w:w="589"/>
        <w:gridCol w:w="158"/>
        <w:gridCol w:w="109"/>
        <w:gridCol w:w="109"/>
        <w:gridCol w:w="109"/>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474" w:type="dxa"/>
            <w:gridSpan w:val="3"/>
            <w:tcBorders>
              <w:top w:val="single" w:sz="4"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Cost of products and services sales, net</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Research &amp; development</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Stockholders’ equity</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Share Repurchase Program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announced that its Board of Directors had authorized the repurchase of up to $50.0 million of the Company’s common stock (the “2025 Share Repurchase Program”) on or before March 27, 2026. In February 2026, the Company reauthorized the 2025 Share Repurchase Program for the repurchase of up to $50.0 million of the Company's common stock (the “Reauthorized Share Repurchase Program”) through March 31, 2027. Repurchases under the Reauthorized Share Repurchase Program may be made from time to time on the open market or in privately negotiated transactions. The timing and amount of any shares repurchased will be determined by the Company’s management based on its evaluation of market conditions and other factors, including the market price of the Company’s common stock, macroeconomic environment and other investment opportunities, consistent with applicable law. The Reauthorized Share Repurchase Program may be suspended or discontinued at any time. The Inflation Reduction Act of 2022 imposed a nondeductible 1% excise tax on the net value of certain stock repurchases made after December 31, 2022. Excise tax accrued during the three months ended March 31, 2026 was $0.1 million.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utilized $9.1 million, including commissions and excise taxes, to repurchase 0.9 million shares. The average price paid, excluding commissions and excise taxes, was $10.21 per share. As of March 31, 2026, the Company had $46.5 million available to repurchase shares under the Reauthorized Share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i/>
          <w:color w:val="19415E"/>
          <w:sz w:val="20"/>
          <w:u w:val="single"/>
        </w:rPr>
      </w:pPr>
      <w:r>
        <w:rPr>
          <w:rFonts w:ascii="Times New Roman;serif" w:hAnsi="Times New Roman;serif"/>
          <w:b w:val="false"/>
          <w:i/>
          <w:color w:val="19415E"/>
          <w:sz w:val="20"/>
          <w:u w:val="single"/>
        </w:rPr>
        <w:t>2024 Warrant Issuance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Prior Term Loan Agreement, the Company issued to the lenders Series I Warrants to purchase 1.0 million shares of common stock and Series II Warrants to purchase 1.5 million shares of common stock. The Warrants are currently exercisable and will expire on August 30, 2029. Because the Warrants could be cash settled based on events that are outside the control of the Company, it precludes the Warrants from applying the equity contract scope exception, and so the Warrants are classified as a liability. As of March 31, 2026, the fair value of the Warrants was $13.3 million. See Note 9, “Fair value measurements,” for more information on the accounting treatment and valuation of the Warrants.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the following Warrants outstanding to acquire shares of its common stock:</w:t>
      </w:r>
    </w:p>
    <w:tbl>
      <w:tblPr>
        <w:tblW w:w="9523" w:type="dxa"/>
        <w:jc w:val="left"/>
        <w:tblInd w:w="0" w:type="dxa"/>
        <w:tblLayout w:type="fixed"/>
        <w:tblCellMar>
          <w:top w:w="28" w:type="dxa"/>
          <w:left w:w="28" w:type="dxa"/>
          <w:bottom w:w="28" w:type="dxa"/>
          <w:right w:w="28" w:type="dxa"/>
        </w:tblCellMar>
      </w:tblPr>
      <w:tblGrid>
        <w:gridCol w:w="1737"/>
        <w:gridCol w:w="1527"/>
        <w:gridCol w:w="1536"/>
        <w:gridCol w:w="624"/>
        <w:gridCol w:w="624"/>
        <w:gridCol w:w="626"/>
        <w:gridCol w:w="489"/>
        <w:gridCol w:w="489"/>
        <w:gridCol w:w="491"/>
        <w:gridCol w:w="403"/>
        <w:gridCol w:w="403"/>
        <w:gridCol w:w="574"/>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Warrants Outstanding</w:t>
            </w:r>
          </w:p>
        </w:tc>
        <w:tc>
          <w:tcPr>
            <w:tcW w:w="1469"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Range of Exercise</w:t>
              <w:br/>
              <w:t> Price per Share</w:t>
            </w:r>
          </w:p>
        </w:tc>
        <w:tc>
          <w:tcPr>
            <w:tcW w:w="1380"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Expiration Date</w:t>
            </w:r>
          </w:p>
        </w:tc>
      </w:tr>
      <w:tr>
        <w:trPr/>
        <w:tc>
          <w:tcPr>
            <w:tcW w:w="4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issued related to the Prior Term Loan Agreement</w:t>
            </w:r>
          </w:p>
        </w:tc>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$9.88 - $15.72</w:t>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August 2029</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8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no Warrants had been exercised or expired.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10.    Earnings per common share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earnings per common share is calculated using the treasury method by dividing net income by the weighted average number of shares of common stock outstanding during the period. Diluted earnings per common share adjusts basic earnings per common share for the effects of potentially dilutive common shares and is calculated using the treasury stock method. Potentially dilutive common shares include the dilutive effect of shares issuable under our equity compensation plans, including stock options, restricted stock units and performance stock units, as well as shares issuable upon exercises of the Warrants. When computing diluted earnings per share, adjustments to the numerator are made to net income for any changes in fair value that would not have occurred assuming the exercise or conversion of potentially dilutive securities under the treasury method. Diluted earnings per share excludes anti-dilutive securities, which represent the number of potential common shares related to shares issuable under our equity compensation plans and pursuant to exercises of the Warrants that were excluded from diluted earnings per common share because their effect would have been antidilutive.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earnings per common share:</w:t>
      </w:r>
    </w:p>
    <w:tbl>
      <w:tblPr>
        <w:tblW w:w="7738" w:type="dxa"/>
        <w:jc w:val="left"/>
        <w:tblInd w:w="0" w:type="dxa"/>
        <w:tblLayout w:type="fixed"/>
        <w:tblCellMar>
          <w:top w:w="28" w:type="dxa"/>
          <w:left w:w="28" w:type="dxa"/>
          <w:bottom w:w="28" w:type="dxa"/>
          <w:right w:w="28" w:type="dxa"/>
        </w:tblCellMar>
      </w:tblPr>
      <w:tblGrid>
        <w:gridCol w:w="1693"/>
        <w:gridCol w:w="1489"/>
        <w:gridCol w:w="1498"/>
        <w:gridCol w:w="273"/>
        <w:gridCol w:w="663"/>
        <w:gridCol w:w="141"/>
        <w:gridCol w:w="141"/>
        <w:gridCol w:w="141"/>
        <w:gridCol w:w="141"/>
        <w:gridCol w:w="273"/>
        <w:gridCol w:w="663"/>
        <w:gridCol w:w="141"/>
        <w:gridCol w:w="109"/>
        <w:gridCol w:w="109"/>
        <w:gridCol w:w="109"/>
        <w:gridCol w:w="154"/>
      </w:tblGrid>
      <w:tr>
        <w:trPr/>
        <w:tc>
          <w:tcPr>
            <w:tcW w:w="1693"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8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423" w:type="dxa"/>
            <w:gridSpan w:val="3"/>
            <w:tcBorders>
              <w:top w:val="single" w:sz="4"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1B51BF"/>
              </w:rPr>
            </w:pPr>
            <w:r>
              <w:rPr>
                <w:color w:val="1B51BF"/>
              </w:rPr>
              <w:t> </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Change in fair value of warrants, net of tax</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 diluted</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outstanding-basic</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securities - equity awards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outstanding-diluted</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common share - basic</w:t>
            </w:r>
          </w:p>
        </w:tc>
        <w:tc>
          <w:tcPr>
            <w:tcW w:w="2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common share - diluted</w:t>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Anti-dilutive securities</w:t>
            </w:r>
          </w:p>
        </w:tc>
        <w:tc>
          <w:tcPr>
            <w:tcW w:w="93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11.    Revenue recognition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generates the majority of its revenues through product sales to customers. The Company also generates revenues through its Bioservices offerings and suite reservations for and to third parties and Contracts and grants revenue. The Company recognizes revenue when its customers obtain control of promised goods or services, in an amount that reflects the consideration which the Company expects to receive in exchange for those goods or services by analyzing the following five steps: (1) identify the contract with (a) customer(s); (2) identify the performance obligations in the contract; (3) determine the transaction price; (4) allocate the transaction price to the performance obligations in the contract; and (5) recognize revenue when (or as) the entity satisfies a performance obligation.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revenues disaggregated by major sources for the three months ended March 31, 2026 and 2025 were as follows: </w:t>
      </w:r>
    </w:p>
    <w:tbl>
      <w:tblPr>
        <w:tblW w:w="9240" w:type="dxa"/>
        <w:jc w:val="left"/>
        <w:tblInd w:w="0" w:type="dxa"/>
        <w:tblLayout w:type="fixed"/>
        <w:tblCellMar>
          <w:top w:w="28" w:type="dxa"/>
          <w:left w:w="28" w:type="dxa"/>
          <w:bottom w:w="28" w:type="dxa"/>
          <w:right w:w="28" w:type="dxa"/>
        </w:tblCellMar>
      </w:tblPr>
      <w:tblGrid>
        <w:gridCol w:w="803"/>
        <w:gridCol w:w="707"/>
        <w:gridCol w:w="709"/>
        <w:gridCol w:w="211"/>
        <w:gridCol w:w="511"/>
        <w:gridCol w:w="109"/>
        <w:gridCol w:w="109"/>
        <w:gridCol w:w="109"/>
        <w:gridCol w:w="109"/>
        <w:gridCol w:w="221"/>
        <w:gridCol w:w="535"/>
        <w:gridCol w:w="115"/>
        <w:gridCol w:w="109"/>
        <w:gridCol w:w="109"/>
        <w:gridCol w:w="109"/>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March 31, 2026</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March 31, 2025</w:t>
            </w:r>
          </w:p>
        </w:tc>
      </w:tr>
      <w:tr>
        <w:trPr/>
        <w:tc>
          <w:tcPr>
            <w:tcW w:w="221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USG</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Non-USG</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color w:val="FFFFFF"/>
              </w:rPr>
            </w:pPr>
            <w:r>
              <w:rPr>
                <w:color w:val="FFFFFF"/>
              </w:rPr>
              <w:t> </w:t>
            </w:r>
            <w:r>
              <w:rPr>
                <w:rFonts w:ascii="Times New Roman;serif" w:hAnsi="Times New Roman;serif"/>
                <w:b/>
                <w:color w:val="FFFFFF"/>
                <w:sz w:val="19"/>
              </w:rPr>
              <w:t>Total</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USG</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Non-USG</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color w:val="FFFFFF"/>
              </w:rPr>
            </w:pPr>
            <w:r>
              <w:rPr>
                <w:color w:val="FFFFFF"/>
              </w:rPr>
              <w:t> </w:t>
            </w:r>
            <w:r>
              <w:rPr>
                <w:rFonts w:ascii="Times New Roman;serif" w:hAnsi="Times New Roman;serif"/>
                <w:b/>
                <w:color w:val="FFFFFF"/>
                <w:sz w:val="19"/>
              </w:rPr>
              <w:t>Total</w:t>
            </w:r>
          </w:p>
        </w:tc>
      </w:tr>
      <w:tr>
        <w:trPr/>
        <w:tc>
          <w:tcPr>
            <w:tcW w:w="2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Product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MCM Product sales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All other revenues </w:t>
            </w:r>
            <w:r>
              <w:rPr>
                <w:rFonts w:ascii="Times New Roman;serif" w:hAnsi="Times New Roman;serif"/>
                <w:b w:val="false"/>
                <w:color w:val="000000"/>
                <w:sz w:val="13"/>
              </w:rPr>
              <w:t>(1)</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0" w:type="dxa"/>
            <w:gridSpan w:val="36"/>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All other revenues” includes Services and Contracts and grants revenue.</w:t>
            </w:r>
          </w:p>
        </w:tc>
      </w:tr>
    </w:tbl>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Transaction price allocated to remaining performance obligations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has future contract value on unsatisfied performance obligations of approximately $248.0 million associated with all arrangements entered into by the Company. The Company expects to recognize $210.4 million of unsatisfied performance obligations within the next 24 months. The amount and timing of revenue recognition for unsatisfied performance obligations can change. The future revenues associated with unsatisfied performance obligations exclude the value of unexercised option periods in the Company’s revenue arrangements. Often the timing of manufacturing activities changes based on customer needs and resource availability. Government funding appropriations can impact the timing of product deliveries. The success of the Company's development activities that receive development funding support from the USG under development contracts can also impact the timing of revenue recognition.</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Contract assets</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The Company considers accounts receivable and deferred costs associated with revenue generating contracts, which are not included in inventory or property, plant and equipment and that the Company does not currently have a contractual right to bill, to be contract assets. As of March 31, 2026 and December 31, 2025, the</w:t>
      </w:r>
      <w:r>
        <w:rPr>
          <w:color w:val="000000"/>
        </w:rPr>
        <w:t xml:space="preserve"> </w:t>
      </w:r>
      <w:r>
        <w:rPr>
          <w:rFonts w:ascii="Times New Roman;serif" w:hAnsi="Times New Roman;serif"/>
          <w:b w:val="false"/>
          <w:color w:val="000000"/>
          <w:sz w:val="20"/>
        </w:rPr>
        <w:t>Company had $7.6 million an</w:t>
      </w:r>
      <w:r>
        <w:rPr>
          <w:rFonts w:ascii="Times New Roman;serif" w:hAnsi="Times New Roman;serif"/>
          <w:b w:val="false"/>
          <w:color w:val="000000"/>
          <w:sz w:val="20"/>
          <w:shd w:fill="FFFFFF" w:val="clear"/>
        </w:rPr>
        <w:t xml:space="preserve">d </w:t>
      </w:r>
      <w:r>
        <w:rPr>
          <w:rFonts w:ascii="Times New Roman;serif" w:hAnsi="Times New Roman;serif"/>
          <w:b w:val="false"/>
          <w:color w:val="000000"/>
          <w:sz w:val="20"/>
        </w:rPr>
        <w:t>$6.4 million</w:t>
      </w:r>
      <w:r>
        <w:rPr>
          <w:rFonts w:ascii="Times New Roman;serif" w:hAnsi="Times New Roman;serif"/>
          <w:b w:val="false"/>
          <w:color w:val="000000"/>
          <w:sz w:val="20"/>
          <w:shd w:fill="FFFFFF" w:val="clear"/>
        </w:rPr>
        <w:t>, respectively, of contract assets</w:t>
      </w:r>
      <w:r>
        <w:rPr>
          <w:color w:val="000000"/>
        </w:rPr>
        <w:t xml:space="preserve"> </w:t>
      </w:r>
      <w:r>
        <w:rPr>
          <w:rFonts w:ascii="Times New Roman;serif" w:hAnsi="Times New Roman;serif"/>
          <w:b w:val="false"/>
          <w:color w:val="000000"/>
          <w:sz w:val="20"/>
        </w:rPr>
        <w:t>recorded within “Accounts receivable, net” on the Condensed Consolidated Balance Sheets.</w:t>
      </w:r>
      <w:r>
        <w:rPr>
          <w:color w:val="000000"/>
          <w:shd w:fill="FFFFFF" w:val="clear"/>
        </w:rPr>
        <w:t xml:space="preserve"> </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Contract liabilities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performance obligations are not transferred to a customer at the end of a reporting period, cash received associated with amounts allocated to those performance obligations is reflected as contract liabilities on the Condensed Consolidated Balance Sheets and is deferred until control of these performance obligations is transferred to the customer. The following table presents the roll forward of the contract liability balances:</w:t>
      </w:r>
    </w:p>
    <w:tbl>
      <w:tblPr>
        <w:tblW w:w="10205" w:type="dxa"/>
        <w:jc w:val="left"/>
        <w:tblInd w:w="0" w:type="dxa"/>
        <w:tblLayout w:type="fixed"/>
        <w:tblCellMar>
          <w:top w:w="28" w:type="dxa"/>
          <w:left w:w="28" w:type="dxa"/>
          <w:bottom w:w="28" w:type="dxa"/>
          <w:right w:w="28" w:type="dxa"/>
        </w:tblCellMar>
      </w:tblPr>
      <w:tblGrid>
        <w:gridCol w:w="3005"/>
        <w:gridCol w:w="2643"/>
        <w:gridCol w:w="2652"/>
        <w:gridCol w:w="109"/>
        <w:gridCol w:w="109"/>
        <w:gridCol w:w="109"/>
        <w:gridCol w:w="380"/>
        <w:gridCol w:w="919"/>
        <w:gridCol w:w="279"/>
      </w:tblGrid>
      <w:tr>
        <w:trPr/>
        <w:tc>
          <w:tcPr>
            <w:tcW w:w="3005"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8300"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Contract Liabilities</w:t>
            </w:r>
          </w:p>
        </w:tc>
      </w:tr>
      <w:tr>
        <w:trPr/>
        <w:tc>
          <w:tcPr>
            <w:tcW w:w="8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Revenue recognized in the period from amounts included in contract liability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current portion of contract liabilities was $12.2 million and $5.0 million, respectively, and was included in “Other current liabilities” on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Accounts receivable and allowance for expected credit losses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Accounts receivable, including contract assets within unbilled accounts receivable, consist of the following:</w:t>
      </w:r>
    </w:p>
    <w:tbl>
      <w:tblPr>
        <w:tblW w:w="6281" w:type="dxa"/>
        <w:jc w:val="left"/>
        <w:tblInd w:w="0" w:type="dxa"/>
        <w:tblLayout w:type="fixed"/>
        <w:tblCellMar>
          <w:top w:w="28" w:type="dxa"/>
          <w:left w:w="28" w:type="dxa"/>
          <w:bottom w:w="28" w:type="dxa"/>
          <w:right w:w="28" w:type="dxa"/>
        </w:tblCellMar>
      </w:tblPr>
      <w:tblGrid>
        <w:gridCol w:w="1114"/>
        <w:gridCol w:w="979"/>
        <w:gridCol w:w="981"/>
        <w:gridCol w:w="291"/>
        <w:gridCol w:w="849"/>
        <w:gridCol w:w="150"/>
        <w:gridCol w:w="109"/>
        <w:gridCol w:w="109"/>
        <w:gridCol w:w="109"/>
        <w:gridCol w:w="382"/>
        <w:gridCol w:w="927"/>
        <w:gridCol w:w="281"/>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March 31, 2026</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December 31, 2025</w:t>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Billed</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Accounts receivable, net</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an allowance for expected credit losses, which represents the estimated aggregate amount of credit risk arising from the inability or unwillingness of specific customers to pay our fees or disputes that may affect our ability to fully collect our billed accounts receivable. We estimate the current-period provision for expected credit losses on a specific identification basis and we consider factors such as the age of the receivables balance, knowledge of the specific customers' circumstances and historical collection experience for similar customers. Accounts receivable, net of the allowance for expected credit losses, represents the amount we expect to collect. Our actual experience may vary from our estimates. At each reporting date, we adjust the allowance for expected credit losses to reflect our current estimate.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 xml:space="preserve">12.    Leases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the lessee for operating leases for offices, R&amp;D facilities and manufacturing facilities. The Company determines if an arrangement is a lease at inception. Operating leases are included in right-of-use assets and liabilities.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 </w:t>
      </w:r>
    </w:p>
    <w:tbl>
      <w:tblPr>
        <w:tblW w:w="5970" w:type="dxa"/>
        <w:jc w:val="left"/>
        <w:tblInd w:w="0" w:type="dxa"/>
        <w:tblLayout w:type="fixed"/>
        <w:tblCellMar>
          <w:top w:w="28" w:type="dxa"/>
          <w:left w:w="28" w:type="dxa"/>
          <w:bottom w:w="28" w:type="dxa"/>
          <w:right w:w="28" w:type="dxa"/>
        </w:tblCellMar>
      </w:tblPr>
      <w:tblGrid>
        <w:gridCol w:w="1053"/>
        <w:gridCol w:w="925"/>
        <w:gridCol w:w="931"/>
        <w:gridCol w:w="306"/>
        <w:gridCol w:w="589"/>
        <w:gridCol w:w="158"/>
        <w:gridCol w:w="158"/>
        <w:gridCol w:w="158"/>
        <w:gridCol w:w="158"/>
        <w:gridCol w:w="306"/>
        <w:gridCol w:w="589"/>
        <w:gridCol w:w="158"/>
        <w:gridCol w:w="109"/>
        <w:gridCol w:w="109"/>
        <w:gridCol w:w="109"/>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0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474" w:type="dxa"/>
            <w:gridSpan w:val="3"/>
            <w:tcBorders>
              <w:top w:val="single" w:sz="4"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lease cost</w:t>
            </w:r>
          </w:p>
        </w:tc>
        <w:tc>
          <w:tcPr>
            <w:tcW w:w="3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lease costs are reflected as components of “Cost of product and services sales, net”, “R&amp;D” expense and “SG&amp;A” expense on the Company's Condensed Consolidated Statements of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lessee activities is as follows:</w:t>
      </w:r>
    </w:p>
    <w:tbl>
      <w:tblPr>
        <w:tblW w:w="9427" w:type="dxa"/>
        <w:jc w:val="left"/>
        <w:tblInd w:w="0" w:type="dxa"/>
        <w:tblLayout w:type="fixed"/>
        <w:tblCellMar>
          <w:top w:w="28" w:type="dxa"/>
          <w:left w:w="28" w:type="dxa"/>
          <w:bottom w:w="28" w:type="dxa"/>
          <w:right w:w="28" w:type="dxa"/>
        </w:tblCellMar>
      </w:tblPr>
      <w:tblGrid>
        <w:gridCol w:w="1408"/>
        <w:gridCol w:w="1240"/>
        <w:gridCol w:w="1251"/>
        <w:gridCol w:w="664"/>
        <w:gridCol w:w="664"/>
        <w:gridCol w:w="666"/>
        <w:gridCol w:w="109"/>
        <w:gridCol w:w="109"/>
        <w:gridCol w:w="109"/>
        <w:gridCol w:w="274"/>
        <w:gridCol w:w="664"/>
        <w:gridCol w:w="352"/>
        <w:gridCol w:w="109"/>
        <w:gridCol w:w="109"/>
        <w:gridCol w:w="109"/>
        <w:gridCol w:w="323"/>
        <w:gridCol w:w="783"/>
        <w:gridCol w:w="484"/>
      </w:tblGrid>
      <w:tr>
        <w:trPr/>
        <w:tc>
          <w:tcPr>
            <w:tcW w:w="1408"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FFFFFF"/>
                <w:sz w:val="18"/>
                <w:u w:val="single"/>
              </w:rPr>
            </w:pPr>
            <w:r>
              <w:rPr>
                <w:rFonts w:ascii="Times New Roman;serif" w:hAnsi="Times New Roman;serif"/>
                <w:b/>
                <w:color w:val="FFFFFF"/>
                <w:sz w:val="18"/>
                <w:u w:val="single"/>
              </w:rPr>
              <w:t>Leases</w:t>
            </w:r>
          </w:p>
        </w:tc>
        <w:tc>
          <w:tcPr>
            <w:tcW w:w="1994"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FFFFFF"/>
                <w:sz w:val="19"/>
              </w:rPr>
            </w:pPr>
            <w:r>
              <w:rPr>
                <w:rFonts w:ascii="Times New Roman;serif" w:hAnsi="Times New Roman;serif"/>
                <w:b/>
                <w:color w:val="FFFFFF"/>
                <w:sz w:val="19"/>
              </w:rPr>
              <w:t>Classification</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March 31, 2026</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December 31, 2025</w:t>
            </w:r>
          </w:p>
        </w:tc>
      </w:tr>
      <w:tr>
        <w:trPr/>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lease liabilities</w:t>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13.    Income taxes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effective annual tax rate as of March 31, 2026 and 2025 for the years ended December 31, 2026 and 2025, excluding the impact of discrete adjustments, was 25% and 27%, respectively. The effective tax rate for the three months ended March 31, 2026 and 2025 was 49% and 27%, respectively. The change in the estimated effective annual tax rate and the effective quarterly tax rate is primarily due to a decrease in estimated profit combined with a change in jurisdictional mix of income and losses.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establishes valuation allowances for deferred income tax assets in accordance with U.S. GAAP, which provides that such valuation allowances shall be established unless realization of the income tax benefits is more likely than not. The ultimate realization of deferred tax assets is dependent upon the generation of future taxable income during the periods in which those temporary differences become deductible. In making this assessment each reporting period, the Company considers the scheduled reversal of deferred tax liabilities and assets, available taxes in carryback periods, tax planning strategies and projected future taxable income.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2025, the OBBBA was enacted into law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These impacts did not have a material effect on the tax rate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14.    Litigation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developments in the legal proceedings previously disclosed in our Annual Report on Form 10</w:t>
        <w:noBreakHyphen/>
        <w:t xml:space="preserve">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15.    Segment information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manages its business with a focus on two reportable segments; the Commercial Products segment, which includes Naloxone products and the MCM Products segment, which includes Anthrax - MCM products, Smallpox - MCM products and Other Products. The Company’s Services operating segment does not meet the quantitative threshold for determining reportable segments and is included within “All other revenues” along with the Company’s Contracts and grants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its President and Chief Executive Officer. The CODM evaluates the performance of the Company's reportable segments based on segment adjusted gross margin. The Company defines segment adjusted gross margin as sales less cost of sales excluding the portion of stock-based compensation expense recorded as cost of sales, severance and restructuring costs (benefit), and inventory step-up provision for each reportable segment. The Company does not allocate amortization of intangible assets, research and development expenses, selling, general and administrative expenses, interest and other income (expense) or taxes to each reportable segment in the operating results that are regularly reviewed by the CODM. The CODM uses these reported measures to assess segment performance, allocate resources and monitor budget and guidance versus actual results. These metrics are used by the CODM to make key operating decisions, such as decisions about allocating capital and other resources to each segment. The accounting policies for segment reporting are the same as those described in Note 2, “Summary of significant accounting policies” in the Company's Annual Report on Form 10-K for the year ended December 31, 2025. Intersegment revenue, cost of sales, and profit are eliminated in the segment measures regularly reviewed by the CODM as these activities are eliminated in consolidation and thus are not included in management’s evaluation of performance for each segment.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manages its assets on a total company basis, not by segment, as the Company's operating assets are shared or commingled. Therefore, the Company’s CODM does not regularly review any asset information by segment and, accordingly, the Company does not report asset information by segment. The measure of segment assets is reported on the Condensed Consolidated Balance Sheet as “Total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segment information provided to the CODM, along with a reconciliation of segment adjusted gross margin to income before income taxes as reported in the Condensed Consolidated Statement of Operations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2154"/>
        <w:gridCol w:w="1659"/>
        <w:gridCol w:w="1663"/>
        <w:gridCol w:w="407"/>
        <w:gridCol w:w="1191"/>
        <w:gridCol w:w="209"/>
        <w:gridCol w:w="209"/>
        <w:gridCol w:w="209"/>
        <w:gridCol w:w="209"/>
        <w:gridCol w:w="407"/>
        <w:gridCol w:w="1191"/>
        <w:gridCol w:w="209"/>
        <w:gridCol w:w="109"/>
        <w:gridCol w:w="109"/>
        <w:gridCol w:w="109"/>
        <w:gridCol w:w="161"/>
      </w:tblGrid>
      <w:tr>
        <w:trPr/>
        <w:tc>
          <w:tcPr>
            <w:tcW w:w="2154"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5476"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627" w:type="dxa"/>
            <w:gridSpan w:val="3"/>
            <w:tcBorders>
              <w:top w:val="single" w:sz="4"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Revenues reportable segments:</w:t>
            </w:r>
          </w:p>
        </w:tc>
        <w:tc>
          <w:tcPr>
            <w:tcW w:w="1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Products</w:t>
            </w:r>
          </w:p>
        </w:tc>
        <w:tc>
          <w:tcPr>
            <w:tcW w:w="4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MCM Products</w:t>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revenue:</w:t>
            </w:r>
          </w:p>
        </w:tc>
        <w:tc>
          <w:tcPr>
            <w:tcW w:w="15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erif" w:hAnsi="Times New Roman;serif"/>
                <w:b w:val="false"/>
                <w:color w:val="000000"/>
                <w:sz w:val="20"/>
              </w:rPr>
              <w:t xml:space="preserve">All other revenues </w:t>
            </w:r>
            <w:r>
              <w:rPr>
                <w:rFonts w:ascii="Times New Roman;serif" w:hAnsi="Times New Roman;serif"/>
                <w:b w:val="false"/>
                <w:color w:val="000000"/>
                <w:sz w:val="13"/>
              </w:rPr>
              <w:t>(1)</w:t>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color w:val="000000"/>
                <w:sz w:val="20"/>
              </w:rPr>
            </w:pPr>
            <w:r>
              <w:rPr>
                <w:rFonts w:ascii="Times New Roman;serif" w:hAnsi="Times New Roman;serif"/>
                <w:b/>
                <w:color w:val="000000"/>
                <w:sz w:val="20"/>
              </w:rPr>
              <w:t>Total revenues</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color w:val="000000"/>
                <w:sz w:val="20"/>
              </w:rPr>
            </w:pPr>
            <w:r>
              <w:rPr>
                <w:rFonts w:ascii="Times New Roman;serif" w:hAnsi="Times New Roman;serif"/>
                <w:b/>
                <w:color w:val="000000"/>
                <w:sz w:val="20"/>
              </w:rPr>
              <w:t>Cost of sales reportable segments:</w:t>
            </w:r>
          </w:p>
        </w:tc>
        <w:tc>
          <w:tcPr>
            <w:tcW w:w="1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Commercial Products</w:t>
            </w:r>
          </w:p>
        </w:tc>
        <w:tc>
          <w:tcPr>
            <w:tcW w:w="4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erif" w:hAnsi="Times New Roman;serif"/>
                <w:b w:val="false"/>
                <w:color w:val="000000"/>
                <w:sz w:val="20"/>
              </w:rPr>
              <w:t xml:space="preserve">MCM Products </w:t>
            </w:r>
            <w:r>
              <w:rPr>
                <w:rFonts w:ascii="Times New Roman;serif" w:hAnsi="Times New Roman;serif"/>
                <w:b w:val="false"/>
                <w:color w:val="000000"/>
                <w:sz w:val="13"/>
              </w:rPr>
              <w:t>(2)</w:t>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of reportable segments</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color w:val="000000"/>
                <w:sz w:val="20"/>
              </w:rPr>
            </w:pPr>
            <w:r>
              <w:rPr>
                <w:rFonts w:ascii="Times New Roman;serif" w:hAnsi="Times New Roman;serif"/>
                <w:b/>
                <w:color w:val="000000"/>
                <w:sz w:val="20"/>
              </w:rPr>
              <w:t>Segment adjusted gross margin reportable segments:</w:t>
            </w:r>
          </w:p>
        </w:tc>
        <w:tc>
          <w:tcPr>
            <w:tcW w:w="1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Products</w:t>
            </w:r>
          </w:p>
        </w:tc>
        <w:tc>
          <w:tcPr>
            <w:tcW w:w="4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MCM Products </w:t>
            </w:r>
            <w:r>
              <w:rPr>
                <w:rFonts w:ascii="Times New Roman;serif" w:hAnsi="Times New Roman;serif"/>
                <w:b w:val="false"/>
                <w:color w:val="000000"/>
                <w:sz w:val="13"/>
              </w:rPr>
              <w:t>(2)</w:t>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of reportable segments</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to income before income taxes:</w:t>
            </w:r>
          </w:p>
        </w:tc>
        <w:tc>
          <w:tcPr>
            <w:tcW w:w="1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erif" w:hAnsi="Times New Roman;serif"/>
                <w:b w:val="false"/>
                <w:color w:val="000000"/>
                <w:sz w:val="20"/>
              </w:rPr>
              <w:t xml:space="preserve">All other revenues less other costs of revenue </w:t>
            </w:r>
            <w:r>
              <w:rPr>
                <w:rFonts w:ascii="Times New Roman;serif" w:hAnsi="Times New Roman;serif"/>
                <w:b w:val="false"/>
                <w:color w:val="000000"/>
                <w:sz w:val="13"/>
              </w:rPr>
              <w:t>(1)</w:t>
            </w:r>
          </w:p>
        </w:tc>
        <w:tc>
          <w:tcPr>
            <w:tcW w:w="4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Severance and restructuring benefits (costs)</w:t>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Inventory step-up provision</w:t>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on assets held for sale</w:t>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5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2"/>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All other revenues” and “All other revenues less other costs of revenue” include Services and Contracts and grants revenue, and Services and Contracts and grants revenue less Cost of services, respectively.</w:t>
            </w:r>
          </w:p>
        </w:tc>
        <w:tc>
          <w:tcPr>
            <w:tcW w:w="488" w:type="dxa"/>
            <w:gridSpan w:val="4"/>
            <w:tcBorders/>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4729" w:type="dxa"/>
            <w:gridSpan w:val="13"/>
            <w:tcBorders/>
          </w:tcPr>
          <w:p>
            <w:pPr>
              <w:pStyle w:val="TableContents"/>
              <w:bidi w:val="0"/>
              <w:spacing w:before="0" w:after="283"/>
              <w:jc w:val="left"/>
              <w:rPr>
                <w:sz w:val="4"/>
                <w:szCs w:val="4"/>
              </w:rPr>
            </w:pPr>
            <w:r>
              <w:rPr>
                <w:sz w:val="4"/>
                <w:szCs w:val="4"/>
              </w:rPr>
            </w:r>
          </w:p>
        </w:tc>
      </w:tr>
      <w:tr>
        <w:trPr/>
        <w:tc>
          <w:tcPr>
            <w:tcW w:w="5476" w:type="dxa"/>
            <w:gridSpan w:val="3"/>
            <w:tcBorders/>
            <w:vAlign w:val="center"/>
          </w:tcPr>
          <w:p>
            <w:pPr>
              <w:pStyle w:val="TableContents"/>
              <w:bidi w:val="0"/>
              <w:spacing w:before="0" w:after="283"/>
              <w:jc w:val="left"/>
              <w:rPr>
                <w:sz w:val="4"/>
                <w:szCs w:val="4"/>
              </w:rPr>
            </w:pPr>
            <w:r>
              <w:rPr>
                <w:sz w:val="4"/>
                <w:szCs w:val="4"/>
              </w:rPr>
            </w:r>
          </w:p>
        </w:tc>
        <w:tc>
          <w:tcPr>
            <w:tcW w:w="4729" w:type="dxa"/>
            <w:gridSpan w:val="13"/>
            <w:tcBorders/>
          </w:tcPr>
          <w:p>
            <w:pPr>
              <w:pStyle w:val="TableContents"/>
              <w:bidi w:val="0"/>
              <w:spacing w:before="0" w:after="283"/>
              <w:jc w:val="left"/>
              <w:rPr>
                <w:sz w:val="4"/>
                <w:szCs w:val="4"/>
              </w:rPr>
            </w:pPr>
            <w:r>
              <w:rPr>
                <w:sz w:val="4"/>
                <w:szCs w:val="4"/>
              </w:rPr>
            </w:r>
          </w:p>
        </w:tc>
      </w:tr>
      <w:tr>
        <w:trPr/>
        <w:tc>
          <w:tcPr>
            <w:tcW w:w="9717" w:type="dxa"/>
            <w:gridSpan w:val="12"/>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For the three months ended March 31, 2026, excludes $0.5 million of the portion of stock-based compensation expense recorded as cost of sales and $0.1 million of inventory step-up provision. For the three months ended March 31, 2025 excludes $1.8 million of inventory step-up provision, $0.8 million of severance and restructuring benefits and $0.3 million of the portion of stock-based compensation expense recorded as cost of sales. </w:t>
            </w:r>
          </w:p>
        </w:tc>
        <w:tc>
          <w:tcPr>
            <w:tcW w:w="488" w:type="dxa"/>
            <w:gridSpan w:val="4"/>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depreciation expense for each reportable segment:</w:t>
      </w:r>
    </w:p>
    <w:tbl>
      <w:tblPr>
        <w:tblW w:w="8326" w:type="dxa"/>
        <w:jc w:val="center"/>
        <w:tblInd w:w="0" w:type="dxa"/>
        <w:tblLayout w:type="fixed"/>
        <w:tblCellMar>
          <w:top w:w="28" w:type="dxa"/>
          <w:left w:w="28" w:type="dxa"/>
          <w:bottom w:w="28" w:type="dxa"/>
          <w:right w:w="28" w:type="dxa"/>
        </w:tblCellMar>
      </w:tblPr>
      <w:tblGrid>
        <w:gridCol w:w="1906"/>
        <w:gridCol w:w="1675"/>
        <w:gridCol w:w="1684"/>
        <w:gridCol w:w="306"/>
        <w:gridCol w:w="589"/>
        <w:gridCol w:w="158"/>
        <w:gridCol w:w="158"/>
        <w:gridCol w:w="158"/>
        <w:gridCol w:w="158"/>
        <w:gridCol w:w="306"/>
        <w:gridCol w:w="589"/>
        <w:gridCol w:w="158"/>
        <w:gridCol w:w="109"/>
        <w:gridCol w:w="109"/>
        <w:gridCol w:w="109"/>
        <w:gridCol w:w="154"/>
      </w:tblGrid>
      <w:tr>
        <w:trPr/>
        <w:tc>
          <w:tcPr>
            <w:tcW w:w="1906"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6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474"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Depreciation from reportable segments:</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MCM Products</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Items not included in depreciation from reportable segments: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other segment</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depreciation</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both"/>
        <w:rPr>
          <w:rFonts w:ascii="Times New Roman;serif" w:hAnsi="Times New Roman;serif"/>
          <w:b/>
          <w:color w:val="19415E"/>
          <w:sz w:val="20"/>
        </w:rPr>
      </w:pPr>
      <w:r>
        <w:rPr>
          <w:rFonts w:ascii="Times New Roman;serif" w:hAnsi="Times New Roman;serif"/>
          <w:b/>
          <w:color w:val="19415E"/>
          <w:sz w:val="20"/>
        </w:rPr>
        <w:t>16. Subsequent events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Term Loan Agreement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previously disclosed, on April 16, 2026, the Company entered into the Term Loan Agreement by and among the Company, the lenders from time to time party thereto, and OrbiMed Royalty &amp; Credit Opportunities V, LP, as administrative agent.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 Loan Agreement provides for (i) a term loan (the “Initial Term Loan”) in an aggregate principal amount equal to $150.0 million, which was drawn in full on the date of entry into the Term Loan Agreement (the “Closing Date”) and (ii) a delayed draw term loan available for 24 months following the Closing Date (the “Delayed Draw Term Loan” and together with the Initial Term Loan, collectively and individually as the context may require, the “Term Loan”) in an aggregate principal amount equal to $75.0 million, which is available for the Company to draw upon the satisfaction of certain conditions as set forth in the Term Loan Agreement (including compliance with a consolidated secured leverage ratio (as defined in the Term Loan Agreement) not to exceed 1.75:1.00).</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 Loan Agreement also provides for an uncommitted incremental facility in an aggregate amount equal to the sum of (i) the greater of $200.0 million and 80% of the Company’s Consolidated EBITDA (as defined in the Term Loan Agreement) for the then-preceding four fiscal quarters, plus (ii) additional amounts based on, among other things, satisfaction of certain leverage ratio requirements.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 Loan will accrue interest at Term SOFR (as defined in the Term Loan Agreement) (subject to a floor of 3.00%) plus 6.25% per annum. A default interest rate of an additional 5.00% per annum would apply to all outstanding obligations that are not paid when due. A fee of 1.00% per annum on the undrawn portion of the Delayed Draw Term Loan is payable quarterly during the delayed draw availability period.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 Loan will mature on the first to occur (such date, the “Term Loan Maturity Date”) of (i) April 16, 2031, (ii) the date of acceleration of the Term Loan upon the occurrence and during the continuance of an event of default and (iii) the date that is 91 days prior to the scheduled maturity date of the Senior Unsecured Notes, but solely to the extent that on such date, the aggregate principal amount outstanding under the Notes exceeds $75.0 million and the Company does not have Liquidity (as defined in the Term Loan Agreement) in an amount equal to $75.0 million plus the amount necessary to repay in full the Senior Secured Notes. The Term Loan Agreement contains certain customary default and cross-default provisions, representations and warranties and affirmative and negative covenants, including the requirement that the consolidated total leverage ratio (as defined in the Term Loan Agreement) not exceed 5.25:1.00, tested every fiscal quarter commencing with the fiscal quarter ending September 30, 2026.</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indebtedness outstanding under the Term Loan Agreement is guaranteed by certain of the Company’s direct and indirect subsidiaries, other than certain subsidiaries that are not material or are excluded pursuant to the terms of the Term Loan Agreement (the Company and the guarantors, collectively, the “Credit Parties”). The indebtedness under the Term Loan Agreement is secured by a first-priority security interest in and lien on the Term Loan Priority Collateral (as defined in the Credit Agreement) and a second-priority security interest and lien on the ABL Priority Collateral (as defined in the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may elect to prepay the Term Loan, in whole or in part, from time to time. The Term Loan Agreement requires mandatory prepayments of the Term Loan in an amount equal to (a) 100% of the aggregate net cash proceeds from the incurrence of certain indebtedness by the Credit Parties, (b) subject to certain reinvestment rights, 100% of the aggregate net cash proceeds from (1) subject to certain specified exceptions, dispositions of property by the Credit Parties (provided that prepayment will not be required unless the net cash proceeds exceed $15.0 million in the aggregate per fiscal year or $10.0 million on a per-transaction basis) and (2) proceeds received by any Credit Party or their subsidiaries resulting from certain casualty events and (c) 50% (with step-downs based on the Company’s consolidated total net leverage ratio, as defined in the Term Loan Agreement) of annual excess cash flow (as defined in the Term Loan Agreement, and as reduced by certain prepayments of indebtedness), provided that no such excess cash flow payment is required if the amount of the payment would not exceed $10.0 million (and any payment is required only to the extent of such excess). Prepayments of the Term Loan are subject to (i) through and including the second anniversary of the Closing Date, a make-whole premium plus 3.00% of the aggregate principal amount of the Term Loan subject to prepayment, (ii) after the second anniversary, through and including the third anniversary of the Closing Date, a 3.00% prepayment premium, and (iii) after the third anniversary, through and including the fourth anniversary of the Closing Date, a 2.00% prepayment premium.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the Closing Date, the Company used the net proceeds of the Initial Term Loan, together with cash on hand, to repay all amounts outstanding and terminate commitments under the Prior Term Loan Agreement, plus accrued interest and fees.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ABL Amendment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previously disclosed, on April 16, 2026, the Company entered into the ABL Amendment which, among other things, (i) reduces the aggregate revolving loan commitment under the Revolving Credit Agreement from $100.0 million to $50.0 million, (ii) extends the latest maturity date of the revolving loan commitment from September 30, 2029 to April 16, 2031 (subject to springing maturity with respect to certain indebtedness as set forth in the Revolving Credit Agreement) and (iii) amends certain affirmative and negative covenants as more particularly set forth in the ABL Amendment.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transactions were evaluated in accordance with ASC 855, Subsequent Events, and have been classified as non</w:t>
        <w:noBreakHyphen/>
        <w:t>recognized subsequent events. Accordingly, the accompanying condensed consolidated financial statements as of and for the three months ended March 31, 2026 do not reflect the effects of these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2. MANAGEMENT’S DISCUSSION AND ANALYSIS OF FINANCIAL CONDITION AND RESULTS OF OPERATIONS</w:t>
      </w:r>
    </w:p>
    <w:p>
      <w:pPr>
        <w:pStyle w:val="TextBody"/>
        <w:bidi w:val="0"/>
        <w:spacing w:lineRule="auto" w:line="288" w:before="0" w:after="180"/>
        <w:ind w:left="0" w:right="0" w:firstLine="360"/>
        <w:jc w:val="both"/>
        <w:rPr/>
      </w:pPr>
      <w:r>
        <w:rPr>
          <w:rFonts w:ascii="Times New Roman;serif" w:hAnsi="Times New Roman;serif"/>
          <w:b w:val="false"/>
          <w:i/>
          <w:color w:val="000000"/>
          <w:sz w:val="20"/>
        </w:rPr>
        <w:t>The following discussion and analysis of our financial condition and results of operations should be read in conjunction with our unaudited condensed consolidated financial statements and accompanying notes and other financial information included elsewhere in this Quarterly Report on Form 10-Q and our audited consolidated financial statements and related notes included in our Annual Report on Form 10-K for the year ended December 31, 2025 (the “</w:t>
      </w:r>
      <w:r>
        <w:rPr>
          <w:rFonts w:ascii="Times New Roman;serif" w:hAnsi="Times New Roman;serif"/>
          <w:b w:val="false"/>
          <w:color w:val="000000"/>
          <w:sz w:val="20"/>
        </w:rPr>
        <w:t>2025</w:t>
      </w:r>
      <w:r>
        <w:rPr>
          <w:color w:val="000000"/>
        </w:rPr>
        <w:t xml:space="preserve"> </w:t>
      </w:r>
      <w:r>
        <w:rPr>
          <w:rFonts w:ascii="Times New Roman;serif" w:hAnsi="Times New Roman;serif"/>
          <w:b w:val="false"/>
          <w:i/>
          <w:color w:val="000000"/>
          <w:sz w:val="20"/>
        </w:rPr>
        <w:t>Form 10-K”). For a similar discussion and analysis of our results for the quarter ended March 31, 2025 compared to our results for the quarter ended March 31, 2024, refer to Item 2, “Management’s Discussion and Analysis of Financial Condition and Results of Operations” of our Quarterly Report for the quarter ended March 31, 2025, filed with the United States (“U.S.”) Securities and Exchange Commission (“SEC”) on May 8, 2025. Some of the information contained in this discussion and analysis or set forth elsewhere in this Quarterly Report on Form 10-Q includes information with respect to our plans and strategy for our business and financing, as well as forward-looking statements that involve risks and uncertainties. You should carefully review the sections entitled “Risk Factors” and “Cautionary Note Regarding Forward-Looking Statements” in this Quarterly Report on Form 10-Q for a discussion of important factors that could cause actual results to differ materially from the results described in or implied by the forward-looking statements contained in the following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BUSINESS OVERVIEW</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Emergent BioSolutions Inc. (“Emergent,” the “Company,” “we,” “us,” and “our”) is a global life sciences company focused on providing innovative preparedness and response solutions addressing accidental, deliberate, and naturally occurring Public Health Threats (“PHTs”). The Company’s solutions include a product portfolio, a product development portfolio, and a contract development and manufacturing services (“CDMO”) portfolio.</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 portfolio of 11 products, 10 of which are owned by the Company, that contribute a substantial portion of our revenue and are sold to government and commercial customers. Additionally, we have a development pipeline consisting of a diversified mix of both pre-clinical and clinical stage product candidates. Finally, we have a fully integrated portfolio of CDMO services which cover development services, drug substance manufacturing and drug product manufacturing and packaging.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structures the business with a focus on markets and customers. As such, the key components of the business structure include the following four product and service categories: Anthrax - Medical Countermeasures (“MCM”) products, Naloxone commercial products, Smallpox - MCM products and Emergent Bioservices (CDMO) (“Bioservices”).</w:t>
      </w:r>
    </w:p>
    <w:p>
      <w:pPr>
        <w:pStyle w:val="TextBody"/>
        <w:bidi w:val="0"/>
        <w:spacing w:lineRule="auto" w:line="288" w:before="0" w:after="180"/>
        <w:ind w:left="0" w:right="0" w:firstLine="360"/>
        <w:jc w:val="both"/>
        <w:rPr/>
      </w:pPr>
      <w:r>
        <w:rPr>
          <w:rFonts w:ascii="Times New Roman;serif" w:hAnsi="Times New Roman;serif"/>
          <w:b w:val="false"/>
          <w:color w:val="000000"/>
          <w:sz w:val="20"/>
        </w:rPr>
        <w:t>The Company manages the business with a focus on three operating segments: (1) a Commercial Products segment consisting of NARCAN</w:t>
      </w:r>
      <w:r>
        <w:rPr>
          <w:rFonts w:ascii="Times New Roman;serif" w:hAnsi="Times New Roman;serif"/>
          <w:b w:val="false"/>
          <w:color w:val="000000"/>
          <w:sz w:val="13"/>
        </w:rPr>
        <w:t xml:space="preserve">® </w:t>
      </w:r>
      <w:r>
        <w:rPr>
          <w:rFonts w:ascii="Times New Roman;serif" w:hAnsi="Times New Roman;serif"/>
          <w:b w:val="false"/>
          <w:color w:val="000000"/>
          <w:sz w:val="20"/>
        </w:rPr>
        <w:t>Nasal Spray 4 mg and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Nasal Spray 8 mg, (2) a MCM Products segment consisting of Anthrax - MCM, Smallpox - MCM and Other Products and (3) a Services segment consisting of our Bioservices offerings. Commercial Products and MCM Products are our two reportable segments (see Note 15, “Segment information” in the Notes to Condensed Consolidated Financial Statements in Part I, Item 1, of this Form 10-Q for more information on our reportable segments). </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Commercial Products Segment: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majority of our Commercial product revenue comes from the following products: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Naloxone Products</w:t>
      </w:r>
    </w:p>
    <w:p>
      <w:pPr>
        <w:pStyle w:val="TextBody"/>
        <w:bidi w:val="0"/>
        <w:spacing w:lineRule="auto" w:line="288" w:before="0" w:after="120"/>
        <w:ind w:left="0" w:right="0" w:hanging="360"/>
        <w:jc w:val="both"/>
        <w:rPr/>
      </w:pPr>
      <w:r>
        <w:rPr>
          <w:color w:val="19415E"/>
        </w:rPr>
        <w:t>•</w:t>
      </w:r>
      <w:r>
        <w:rPr>
          <w:rFonts w:ascii="Times New Roman;serif" w:hAnsi="Times New Roman;serif"/>
          <w:b w:val="false"/>
          <w:color w:val="000000"/>
          <w:sz w:val="20"/>
        </w:rPr>
        <w:t>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Nasal Spray 4 mg is an intranasal formulation of naloxone approved as an over-the-counter (“OTC”) medicine by the United States Food and Drug Administration (“FDA”) and Health Canada for the emergency treatment of known or suspected opioid overdose as manifested by respiratory and/or central nervous system depression; and</w:t>
      </w:r>
    </w:p>
    <w:p>
      <w:pPr>
        <w:pStyle w:val="TextBody"/>
        <w:bidi w:val="0"/>
        <w:spacing w:lineRule="auto" w:line="288" w:before="0" w:after="120"/>
        <w:ind w:left="0" w:right="0" w:hanging="360"/>
        <w:jc w:val="both"/>
        <w:rPr/>
      </w:pPr>
      <w:r>
        <w:rPr>
          <w:color w:val="19415E"/>
        </w:rPr>
        <w:t>•</w:t>
      </w:r>
      <w:r>
        <w:rPr>
          <w:rFonts w:ascii="Times New Roman;serif" w:hAnsi="Times New Roman;serif"/>
          <w:b w:val="false"/>
          <w:color w:val="000000"/>
          <w:sz w:val="20"/>
        </w:rPr>
        <w:t>KLOXXADO</w:t>
      </w:r>
      <w:r>
        <w:rPr>
          <w:rFonts w:ascii="Times New Roman;serif" w:hAnsi="Times New Roman;serif"/>
          <w:b w:val="false"/>
          <w:color w:val="000000"/>
          <w:sz w:val="13"/>
        </w:rPr>
        <w:t xml:space="preserve">® </w:t>
      </w:r>
      <w:r>
        <w:rPr>
          <w:rFonts w:ascii="Times New Roman;serif" w:hAnsi="Times New Roman;serif"/>
          <w:b w:val="false"/>
          <w:color w:val="000000"/>
          <w:sz w:val="20"/>
        </w:rPr>
        <w:t>(naloxone HCl) Nasal Spray 8 mg is a prescription medicine. In January 2025, the Company announced an agreement with Hikma Pharmaceuticals Inc. (“Hikma”) in which the Company obtained exclusive commercial rights for product sales and marketing in the United States and Canada of Hikma’s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Nasal Spray, an 8 mg naloxone agent.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MCM Products Segment: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majority of our MCM product revenue comes from the following products and procured product candidates: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Anthrax - MCM Products</w:t>
      </w:r>
    </w:p>
    <w:p>
      <w:pPr>
        <w:pStyle w:val="TextBody"/>
        <w:bidi w:val="0"/>
        <w:spacing w:lineRule="auto" w:line="288" w:before="0" w:after="100"/>
        <w:ind w:left="0" w:right="0" w:hanging="360"/>
        <w:jc w:val="both"/>
        <w:rPr/>
      </w:pPr>
      <w:r>
        <w:rPr>
          <w:color w:val="19415E"/>
          <w:shd w:fill="FFFFFF" w:val="clear"/>
        </w:rPr>
        <w:t>•</w:t>
      </w:r>
      <w:r>
        <w:rPr>
          <w:rFonts w:ascii="Times New Roman;serif" w:hAnsi="Times New Roman;serif"/>
          <w:b w:val="false"/>
          <w:color w:val="000000"/>
          <w:sz w:val="20"/>
        </w:rPr>
        <w:t>ANTHRASIL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Immune Globulin Intravenous (human)), the only polyclonal antibody therapeutic licensed by the FDA and Health Canada for the treatment of inhalational anthrax in combination with appropriate antibacterial drugs;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Vaccine Adsorbed), the only vaccine licensed by the for the general use prophylaxis and post-exposure prophylaxis of anthrax disease;</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vaccine adsorbed (AVA), adjuvanted), previously known as AV7909, which was recently approved by the FDA for post-exposure prophylaxis of disease following suspected or confirmed exposure to Bacillus anthracis in persons 18 through 65 years of age when administered in conjunction with recommended antibacterial drugs. 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procured by certain authorized government buyers for their use; and</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Raxibacumab injection, the first fully human monoclonal antibody therapeutic licensed by the FDA for the treatment and prophylaxis of inhalational anthrax.</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Smallpox - MCM Products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ACAM2000</w:t>
      </w:r>
      <w:r>
        <w:rPr>
          <w:rFonts w:ascii="Times New Roman;serif" w:hAnsi="Times New Roman;serif"/>
          <w:b w:val="false"/>
          <w:color w:val="000000"/>
          <w:sz w:val="13"/>
        </w:rPr>
        <w:t>®</w:t>
      </w:r>
      <w:r>
        <w:rPr>
          <w:rFonts w:ascii="Times New Roman;serif" w:hAnsi="Times New Roman;serif"/>
          <w:b w:val="false"/>
          <w:color w:val="000000"/>
          <w:sz w:val="20"/>
        </w:rPr>
        <w:t>, (Smallpox (Vaccinia) Vaccine, Live), the only single-dose smallpox vaccine licensed by the FDA for active immunization against smallpox disease for persons determined to be at high risk for smallpox infection;</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(Vaccinia Immune Globulin Intravenous (Human) (VIGIV)), the only polyclonal antibody therapeutic licensed by the FDA and Health Canada to address certain complications from smallpox vaccination; and</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TEMBEXA</w:t>
      </w:r>
      <w:r>
        <w:rPr>
          <w:rFonts w:ascii="Times New Roman;serif" w:hAnsi="Times New Roman;serif"/>
          <w:b w:val="false"/>
          <w:color w:val="000000"/>
          <w:sz w:val="13"/>
        </w:rPr>
        <w:t>®</w:t>
      </w:r>
      <w:r>
        <w:rPr>
          <w:rFonts w:ascii="Times New Roman;serif" w:hAnsi="Times New Roman;serif"/>
          <w:b w:val="false"/>
          <w:color w:val="000000"/>
          <w:sz w:val="20"/>
        </w:rPr>
        <w:t>, an oral antiviral formulated as 100 mg tablets and 10 mg/mL oral suspension dosed once weekly for two weeks which has been approved by the FDA for the treatment of smallpox disease caused by variola virus in adult and pediatric patients, including neonates.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Other Products</w:t>
      </w:r>
    </w:p>
    <w:p>
      <w:pPr>
        <w:pStyle w:val="TextBody"/>
        <w:bidi w:val="0"/>
        <w:spacing w:lineRule="auto" w:line="288" w:before="0" w:after="100"/>
        <w:ind w:left="0" w:right="0" w:hanging="360"/>
        <w:jc w:val="both"/>
        <w:rPr/>
      </w:pPr>
      <w:r>
        <w:rPr>
          <w:color w:val="19415E"/>
        </w:rPr>
        <w:t>•</w:t>
      </w:r>
      <w:r>
        <w:rPr>
          <w:rFonts w:ascii="Times New Roman;serif" w:hAnsi="Times New Roman;serif"/>
          <w:b w:val="false"/>
          <w:color w:val="000000"/>
          <w:sz w:val="20"/>
        </w:rPr>
        <w:t>BAT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(Botulism Antitoxin Heptavalent (A,B,C,D,E,F,G)-(Equine)), the only heptavalent antitoxin licensed by the FDA and Health Canada for the treatment of symptomatic botulism;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Ebanga™ (ansuvimab-zykl), a monoclonal antibody with antiviral activity provided through a single IV infusion for the treatment of Ebola. Under the terms of a collaboration with Ridgeback Biotherapeutics ("Ridgeback"), Emergent will be responsible for the manufacturing, sale, and distribution of Ebanga™ in the U.S. and Canada, and Ridgeback will serve as the global access partner for Ebanga™.</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Services Segment: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first quarter of 2025, the Company’s Services operating segment no longer met the quantitative threshold of a reportable segment and did not meet the aggregation criteria set forth in Accounting Standards Codification (“ASC”) 280, Segment Reporting, and as such is categorized within “All other revenues” along with “Contracts and Grants”. See Note 15, “Segment information” in the Notes to Condensed Consolidated Financial Statements in Part I, Item 1 of this Form 10-Q for more information about the Company’s reportable segments.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Other Strategic Activities</w:t>
      </w:r>
    </w:p>
    <w:p>
      <w:pPr>
        <w:pStyle w:val="TextBody"/>
        <w:bidi w:val="0"/>
        <w:spacing w:lineRule="auto" w:line="288" w:before="0" w:after="180"/>
        <w:jc w:val="both"/>
        <w:rPr>
          <w:rFonts w:ascii="Times New Roman;serif" w:hAnsi="Times New Roman;serif"/>
          <w:b w:val="false"/>
          <w:i/>
          <w:color w:val="19415E"/>
          <w:sz w:val="20"/>
          <w:u w:val="single"/>
        </w:rPr>
      </w:pPr>
      <w:r>
        <w:rPr>
          <w:rFonts w:ascii="Times New Roman;serif" w:hAnsi="Times New Roman;serif"/>
          <w:b w:val="false"/>
          <w:i/>
          <w:color w:val="19415E"/>
          <w:sz w:val="20"/>
          <w:u w:val="single"/>
        </w:rPr>
        <w:t>Share Repurchase Program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2025, the Company announced that its Board of Directors had authorized the repurchase of up to $50.0 million of the Company’s common stock (the “2025 Share Repurchase Program”) on or before March 27, 2026. In February 2026, the Company reauthorized the 2025 Share Repurchase Program for the repurchase of up to $50.0 million of the Company's common stock (the “Reauthorized Share Repurchase Program”) through March 31, 2027. During the three months ended March 31, 2026, the Company utilized $9.1 million to repurchase 0.9 million shares at an average price of $10.21 per share, excluding commissions and excise taxes. As of March 31, 2026, the Company had $46.5 million available to repurchase shares under the Reauthorized Share Repurchase Program.</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Senior Unsecured Note Repurchases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2025, the Board authorized the Company to use up to $30.0 million to repurchase Senior Unsecured Notes in open market purchases, privately negotiated transactions or otherwise. During the year ended December 31, 2025, there were $10.3 million in principal repurchases of the Company’s Senior Unsecured Notes for $8.7 million in cash, including fees, and the Company recognized a gain on extinguishment of approximately $1.6 million. The Company did not have any principal repurchases during the three months ended March 31, 2026 and 2025. As of March 31, 2026, the Company had $19.7 million available to repurchase additional Senior Unsecured Notes.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Term Loan Agreement and ABL Amendment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16, 2026, subsequent to the three months ended March 31, 2026, the Company entered into a new term loan credit agreement (the “Term Loan Agreement”) by and among the Company, the lenders from time to time party thereto, and OrbiMed Royalty &amp; Credit Opportunities V, LP, as administrative agent. The Term Loan Agreement provides for a term loan of $150.0 million that matures in April 2031, subject to certain earlier maturity provisions. The agreement also provides for up to $75.0 million of additional delayed draw availability, subject to the satisfaction of specified conditions. The Company used the net proceeds from the initial term loan, together with cash on hand, to repay and terminate its Term Loan Agreement with OHA Agency LLC, as administrative agent, and the lenders from time to time party thereto (the “Prior Term Loan Agreement”), including accrued interest and fees.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Also on April 16, 2026, the Company amended its existing Revolving Credit Agreement (the “ABL Amendment”). The ABL Amendment, among other things, reduced the total revolving loan commitment to $50.0 million and extended the maturity date to April 2031, subject to customary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FINANCIAL OPERATIONS OVERVIEW</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Revenues</w:t>
      </w:r>
    </w:p>
    <w:p>
      <w:pPr>
        <w:pStyle w:val="TextBody"/>
        <w:bidi w:val="0"/>
        <w:spacing w:lineRule="auto" w:line="288" w:before="0" w:after="180"/>
        <w:ind w:left="0" w:right="0" w:firstLine="360"/>
        <w:jc w:val="both"/>
        <w:rPr/>
      </w:pPr>
      <w:r>
        <w:rPr>
          <w:rFonts w:ascii="Times New Roman;serif" w:hAnsi="Times New Roman;serif"/>
          <w:b w:val="false"/>
          <w:color w:val="000000"/>
          <w:sz w:val="20"/>
        </w:rPr>
        <w:t>We generate Commercial Product revenues through the sale of Naloxone products, primarily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which is sold commercially over-the-counter at retail pharmacies and digital commerce websites as well as through physician-directed or standing order prescriptions at retail pharmacies, health departments, local law enforcement agencies, community-based organizations, substance abuse centers and other federal agencies, as well as KLOXXADO</w:t>
      </w:r>
      <w:r>
        <w:rPr>
          <w:rFonts w:ascii="Times New Roman;serif" w:hAnsi="Times New Roman;serif"/>
          <w:b w:val="false"/>
          <w:color w:val="000000"/>
          <w:sz w:val="13"/>
        </w:rPr>
        <w:t xml:space="preserve">® </w:t>
      </w:r>
      <w:r>
        <w:rPr>
          <w:rFonts w:ascii="Times New Roman;serif" w:hAnsi="Times New Roman;serif"/>
          <w:b w:val="false"/>
          <w:color w:val="000000"/>
          <w:sz w:val="20"/>
        </w:rPr>
        <w:t>Nasal Spray, which is currently being integrated into our distribution network, NARCANDirect</w:t>
      </w:r>
      <w:r>
        <w:rPr>
          <w:rFonts w:ascii="Times New Roman;serif" w:hAnsi="Times New Roman;serif"/>
          <w:b w:val="false"/>
          <w:color w:val="000000"/>
          <w:sz w:val="13"/>
        </w:rPr>
        <w:t>®</w:t>
      </w:r>
      <w:r>
        <w:rPr>
          <w:rFonts w:ascii="Times New Roman;serif" w:hAnsi="Times New Roman;serif"/>
          <w:b w:val="false"/>
          <w:color w:val="000000"/>
          <w:sz w:val="20"/>
        </w:rPr>
        <w:t>. We generate MCM Product revenues from the sale of our marketed products and procured product candidates. The U.S. government (“USG”) is the largest purchaser of our Government - MCM products and primarily purchases our products for the Strategic National Stockpile, a national repository of medical countermeasures including critical antibiotics, vaccines, chemical antidotes, antitoxins, and other critical medical supplies. The USG primarily purchases our products under long-term, firm fixed-price procurement contracts, generally with annual options.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We also generate revenue from our Services segment through our Bioservices portfolio, which is based on our established development and manufacturing infrastructure, technology platforms and expertise. Our services include a fully integrated molecule-to-market Bioservices business offering across development </w:t>
      </w:r>
      <w:r>
        <w:rPr>
          <w:rFonts w:ascii="Times New Roman;serif" w:hAnsi="Times New Roman;serif"/>
          <w:b w:val="false"/>
          <w:color w:val="000000"/>
          <w:sz w:val="20"/>
          <w:shd w:fill="FFFFFF" w:val="clear"/>
        </w:rPr>
        <w:t>services, drug substance and drug product for small to large pharmaceutical and biotechnology industry and government agencies/non-governmental organizations. From time to time, clients require suite reservations at our various manufacturing sites, which may be considered leases depending on the facts and circumstances.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received contracts and grant funding from the USG and other non-governmental organizations to perform R&amp;D activities, particularly related to programs addressing certain CBRNE threats and EIDs.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 operating results and profitability vary quarterly based on the timing of production and deliveries, the timing of manufacturing services performed and the nature of our business, which involves providing large scale bundles of products and services as needs arise. We expect continued variability in our quarterly financial results.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Cost of Product Sales and Services</w:t>
      </w:r>
    </w:p>
    <w:p>
      <w:pPr>
        <w:pStyle w:val="TextBody"/>
        <w:bidi w:val="0"/>
        <w:spacing w:lineRule="auto" w:line="288" w:before="0" w:after="180"/>
        <w:ind w:left="0" w:right="0" w:firstLine="360"/>
        <w:jc w:val="both"/>
        <w:rPr/>
      </w:pPr>
      <w:r>
        <w:rPr>
          <w:rFonts w:ascii="Times New Roman;serif" w:hAnsi="Times New Roman;serif"/>
          <w:b/>
          <w:color w:val="19415E"/>
          <w:sz w:val="20"/>
        </w:rPr>
        <w:t>Commercial and MCM Products</w:t>
      </w:r>
      <w:r>
        <w:rPr>
          <w:color w:val="19415E"/>
        </w:rPr>
        <w:t xml:space="preserve"> </w:t>
      </w:r>
      <w:r>
        <w:rPr>
          <w:rFonts w:ascii="Times New Roman;serif" w:hAnsi="Times New Roman;serif"/>
          <w:b w:val="false"/>
          <w:color w:val="19415E"/>
          <w:sz w:val="20"/>
        </w:rPr>
        <w:t>-</w:t>
      </w:r>
      <w:r>
        <w:rPr>
          <w:color w:val="000000"/>
        </w:rPr>
        <w:t xml:space="preserve"> </w:t>
      </w:r>
      <w:r>
        <w:rPr>
          <w:rFonts w:ascii="Times New Roman;serif" w:hAnsi="Times New Roman;serif"/>
          <w:b w:val="false"/>
          <w:color w:val="000000"/>
          <w:sz w:val="20"/>
        </w:rPr>
        <w:t>The primary expenses that we incur to deliver our Naloxone and MCM products consist of fixed and variable costs. We determine the cost of product sales for products sold during a reporting period based on the average manufacturing cost per unit in the period those units were manufactured. Fixed manufacturing costs include facilities, utilities and amortization of intangible assets. Variable manufacturing costs primarily consist of costs for materials and personnel-related expenses for direct and indirect manufacturing support staff, contract manufacturing operations, sales-based royalties, shipping and logistics. In addition to the fixed and variable manufacturing costs described above, the cost of product sales depends on utilization of available manufacturing capacity. For our commercial sales, other associated expenses include sales-based royalties, shipping, and logistics.</w:t>
      </w:r>
    </w:p>
    <w:p>
      <w:pPr>
        <w:pStyle w:val="TextBody"/>
        <w:bidi w:val="0"/>
        <w:spacing w:lineRule="auto" w:line="288" w:before="0" w:after="180"/>
        <w:ind w:left="0" w:right="0" w:firstLine="360"/>
        <w:jc w:val="both"/>
        <w:rPr/>
      </w:pPr>
      <w:r>
        <w:rPr>
          <w:rFonts w:ascii="Times New Roman;serif" w:hAnsi="Times New Roman;serif"/>
          <w:b/>
          <w:color w:val="19415E"/>
          <w:sz w:val="20"/>
        </w:rPr>
        <w:t>Services</w:t>
      </w:r>
      <w:r>
        <w:rPr>
          <w:color w:val="19415E"/>
        </w:rPr>
        <w:t xml:space="preserve"> </w:t>
      </w:r>
      <w:r>
        <w:rPr>
          <w:rFonts w:ascii="Times New Roman;serif" w:hAnsi="Times New Roman;serif"/>
          <w:b w:val="false"/>
          <w:color w:val="19415E"/>
          <w:sz w:val="20"/>
        </w:rPr>
        <w:t>-</w:t>
      </w:r>
      <w:r>
        <w:rPr>
          <w:color w:val="000000"/>
        </w:rPr>
        <w:t xml:space="preserve"> </w:t>
      </w:r>
      <w:r>
        <w:rPr>
          <w:rFonts w:ascii="Times New Roman;serif" w:hAnsi="Times New Roman;serif"/>
          <w:b w:val="false"/>
          <w:color w:val="000000"/>
          <w:sz w:val="20"/>
        </w:rPr>
        <w:t xml:space="preserve">The primary expenses that we incur to deliver our Bioservices offerings consist of fixed and variable costs, including personnel, equipment, and facilities costs. Our manufacturing process includes the production of bulk material and performing drug product work for containment and distribution of biological products. For drug product customers, we receive work in process inventory to be prepared for distribution. </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Research and Development ("R&amp;D") Expenses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expense R&amp;D costs as incurred. Our R&amp;D expenses consist primarily of:</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personnel-related expenses;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fees to professional service providers for, among other things, analytical testing, independent monitoring or other administration of our clinical trials and obtaining and evaluating data from our clinical trials and non-clinical studies;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costs associated with technology transfer and scale up activities throughout the development stage, including internally and through third-party contract manufacturers;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costs of Bioservices for our clinical trial material; and</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costs of materials intended for use and used in clinical trials and R&amp;D.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many cases, we seek funding for development activities from external sources and third parties, such as governments and non-governmental organizations, or through collaborative partnerships. We expect our R&amp;D spending will be dependent upon such factors as the results from our clinical trials, the availability of reimbursement of R&amp;D spending, the number of product candidates under development, the size, structure and duration of any clinical programs that we may initiate, the costs associated with manufacturing and development of our product candidates on a large-scale basis for later stage clinical trials, and our ability to use or rely on data generated by government agencies.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Selling, General and Administrative Expenses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 expenses consist primarily of personnel-related costs and professional fees in support of our executives, sales and marketing, business development, government affairs, finance, accounting, information technology, legal, human resource functions and other corporate functions. Other costs include facility costs not otherwise included in cost of product sales and Bioservices or R&amp;D expense.</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Income taxes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Uncertainty in income taxes is accounted for using a recognition threshold and measurement attribute for the financial statement recognition and measurement of a tax position taken or expected to be taken in a tax return. We recognize in our financial statements the impact of a tax position if that position is more likely than not of being sustained on audit, based on the technical merits of the position.</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tax laws, rulings, policies, or related legal and regulatory interpretations occur frequently and may have significant favorable or adverse impacts on our effective tax rate. In 2021, the Organization for Economic Cooperation and Development released model rules for a 15% global minimum tax applied to cross-border profits of certain large multinational corporations, known as Pillar Two. Pillar Two has now been enacted by approximately 36 countries, including Ireland. This minimum tax is treated as a period cost beginning in 2024 and its impact is included on the Company's financial results of operations for the current period. The Company is monitoring legislative developments, as well as additional guidance from countries that have enacted legislation.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2025, the One Big Beautiful Bill Act (“OBBBA”) was enacted into law in the United States.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These impacts did not have a material effect on our tax rate for the three months ended March 31, 2026.</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believes that the assumptions and estimates related to the provision for income taxes are material to the Company’s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CRITICAL ACCOUNTING POLICIES AND ESTIMATES</w:t>
      </w:r>
    </w:p>
    <w:p>
      <w:pPr>
        <w:pStyle w:val="TextBody"/>
        <w:bidi w:val="0"/>
        <w:spacing w:lineRule="auto" w:line="288" w:before="0" w:after="180"/>
        <w:ind w:left="0" w:right="0" w:firstLine="360"/>
        <w:jc w:val="both"/>
        <w:rPr/>
      </w:pPr>
      <w:r>
        <w:rPr>
          <w:rFonts w:ascii="Times New Roman;serif" w:hAnsi="Times New Roman;serif"/>
          <w:b w:val="false"/>
          <w:color w:val="000000"/>
          <w:sz w:val="20"/>
        </w:rPr>
        <w:t>The preparation of our condensed consolidated financial statements, which have been prepared in accordance with accounting principles generally accepted in the United States, requires us to make estimates, judgments and assumptions that may affect the reported amounts of assets, liabilities, equity, revenues and expenses and related disclosure of contingent assets and liabilities. On an ongoing basis we evaluate our estimates, judgments and methodologies. We base our estimates on historical experience and on various other assumptions that we believe are reasonable, the results of which form the basis for making judgments about the carrying values of assets, liabilities and equity and the amount of revenues and exp</w:t>
      </w:r>
      <w:r>
        <w:rPr>
          <w:rFonts w:ascii="Times New Roman;serif" w:hAnsi="Times New Roman;serif"/>
          <w:b w:val="false"/>
          <w:color w:val="000000"/>
          <w:sz w:val="20"/>
          <w:shd w:fill="FFFFFF" w:val="clear"/>
        </w:rPr>
        <w:t xml:space="preserve">enses. Actual results may differ from these estimates. There have been no significant changes to our critical accounting policies and estimates contained in “Critical Accounting Policies and Estimates” in Management’s Discussion and Analysis of Financial Condition and Results of Operations, in Part II, Item 7, of the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Form 10-K, as filed with the SEC.</w:t>
      </w:r>
    </w:p>
    <w:p>
      <w:pPr>
        <w:pStyle w:val="TextBody"/>
        <w:bidi w:val="0"/>
        <w:spacing w:lineRule="auto" w:line="288" w:before="0" w:after="180"/>
        <w:ind w:left="0" w:right="0" w:hanging="360"/>
        <w:jc w:val="both"/>
        <w:rPr>
          <w:rFonts w:ascii="Times New Roman;serif" w:hAnsi="Times New Roman;serif"/>
          <w:b/>
          <w:color w:val="19415E"/>
          <w:sz w:val="20"/>
        </w:rPr>
      </w:pPr>
      <w:r>
        <w:rPr>
          <w:rFonts w:ascii="Times New Roman;serif" w:hAnsi="Times New Roman;serif"/>
          <w:b/>
          <w:color w:val="19415E"/>
          <w:sz w:val="20"/>
        </w:rPr>
        <w:t>New accounting standards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a discussion of new accounting standards please see Note 2, “Summary of significant accounting policies”, in the Notes to Condensed Consolidated Financial Statements in Part I, Item 1, of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RESULTS OF OPERATIONS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Operating Results:</w:t>
      </w:r>
    </w:p>
    <w:tbl>
      <w:tblPr>
        <w:tblW w:w="9137" w:type="dxa"/>
        <w:jc w:val="left"/>
        <w:tblInd w:w="0" w:type="dxa"/>
        <w:tblLayout w:type="fixed"/>
        <w:tblCellMar>
          <w:top w:w="28" w:type="dxa"/>
          <w:left w:w="28" w:type="dxa"/>
          <w:bottom w:w="28" w:type="dxa"/>
          <w:right w:w="28" w:type="dxa"/>
        </w:tblCellMar>
      </w:tblPr>
      <w:tblGrid>
        <w:gridCol w:w="1231"/>
        <w:gridCol w:w="1081"/>
        <w:gridCol w:w="1092"/>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69"/>
        <w:gridCol w:w="271"/>
        <w:gridCol w:w="517"/>
        <w:gridCol w:w="109"/>
        <w:gridCol w:w="109"/>
        <w:gridCol w:w="109"/>
        <w:gridCol w:w="109"/>
        <w:gridCol w:w="109"/>
        <w:gridCol w:w="109"/>
        <w:gridCol w:w="109"/>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21"/>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04"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FFFFFF"/>
                <w:sz w:val="18"/>
              </w:rPr>
            </w:pPr>
            <w:r>
              <w:rPr>
                <w:rFonts w:ascii="Times New Roman;serif" w:hAnsi="Times New Roman;serif"/>
                <w:b w:val="false"/>
                <w:i/>
                <w:color w:val="FFFFFF"/>
                <w:sz w:val="18"/>
              </w:rPr>
              <w:t>(in millions, except %)</w:t>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 Change</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Commercial Product sales, net:</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Naloxone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Product sales, net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MCM Product sales, net: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Anthrax MCM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Smallpox MCM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Products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MCM Product sales, net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All other revenues </w:t>
            </w:r>
            <w:r>
              <w:rPr>
                <w:rFonts w:ascii="Times New Roman;serif" w:hAnsi="Times New Roman;serif"/>
                <w:b/>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Cost of product and services sales, net </w:t>
            </w: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assets held for sale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income, net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tax provision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20" w:type="dxa"/>
            <w:gridSpan w:val="24"/>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All other revenues” includes Services and Contracts and grants revenue</w:t>
            </w:r>
          </w:p>
        </w:tc>
        <w:tc>
          <w:tcPr>
            <w:tcW w:w="917" w:type="dxa"/>
            <w:gridSpan w:val="8"/>
            <w:tcBorders/>
          </w:tcPr>
          <w:p>
            <w:pPr>
              <w:pStyle w:val="TableContents"/>
              <w:bidi w:val="0"/>
              <w:spacing w:before="0" w:after="283"/>
              <w:jc w:val="left"/>
              <w:rPr>
                <w:sz w:val="4"/>
                <w:szCs w:val="4"/>
              </w:rPr>
            </w:pPr>
            <w:r>
              <w:rPr>
                <w:sz w:val="4"/>
                <w:szCs w:val="4"/>
              </w:rPr>
            </w:r>
          </w:p>
        </w:tc>
      </w:tr>
      <w:tr>
        <w:trPr/>
        <w:tc>
          <w:tcPr>
            <w:tcW w:w="8220" w:type="dxa"/>
            <w:gridSpan w:val="24"/>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Exclusive of intangible asset amortization</w:t>
            </w:r>
          </w:p>
        </w:tc>
        <w:tc>
          <w:tcPr>
            <w:tcW w:w="917" w:type="dxa"/>
            <w:gridSpan w:val="8"/>
            <w:tcBorders/>
          </w:tcPr>
          <w:p>
            <w:pPr>
              <w:pStyle w:val="TableContents"/>
              <w:bidi w:val="0"/>
              <w:spacing w:before="0" w:after="283"/>
              <w:jc w:val="left"/>
              <w:rPr>
                <w:sz w:val="4"/>
                <w:szCs w:val="4"/>
              </w:rPr>
            </w:pPr>
            <w:r>
              <w:rPr>
                <w:sz w:val="4"/>
                <w:szCs w:val="4"/>
              </w:rPr>
            </w:r>
          </w:p>
        </w:tc>
      </w:tr>
      <w:tr>
        <w:trPr/>
        <w:tc>
          <w:tcPr>
            <w:tcW w:w="8220"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c>
        <w:tc>
          <w:tcPr>
            <w:tcW w:w="917" w:type="dxa"/>
            <w:gridSpan w:val="8"/>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ind w:left="0" w:right="0" w:hanging="450"/>
        <w:jc w:val="left"/>
        <w:rPr>
          <w:rFonts w:ascii="Times New Roman;serif" w:hAnsi="Times New Roman;serif"/>
          <w:b/>
          <w:color w:val="19415E"/>
          <w:sz w:val="20"/>
        </w:rPr>
      </w:pPr>
      <w:r>
        <w:rPr>
          <w:rFonts w:ascii="Times New Roman;serif" w:hAnsi="Times New Roman;serif"/>
          <w:b/>
          <w:color w:val="19415E"/>
          <w:sz w:val="20"/>
        </w:rPr>
        <w:t>Three Months Ended March 31, 2026 Compared with Three Months Ended March 31, 2025</w:t>
      </w:r>
    </w:p>
    <w:p>
      <w:pPr>
        <w:pStyle w:val="TextBody"/>
        <w:bidi w:val="0"/>
        <w:spacing w:lineRule="auto" w:line="288" w:before="0" w:after="180"/>
        <w:ind w:left="0" w:right="0" w:hanging="360"/>
        <w:jc w:val="left"/>
        <w:rPr>
          <w:rFonts w:ascii="Times New Roman;serif" w:hAnsi="Times New Roman;serif"/>
          <w:b/>
          <w:i/>
          <w:color w:val="19415E"/>
          <w:sz w:val="20"/>
        </w:rPr>
      </w:pPr>
      <w:r>
        <w:rPr>
          <w:rFonts w:ascii="Times New Roman;serif" w:hAnsi="Times New Roman;serif"/>
          <w:b/>
          <w:i/>
          <w:color w:val="19415E"/>
          <w:sz w:val="20"/>
        </w:rPr>
        <w:t>Revenues and gross margin</w:t>
      </w:r>
    </w:p>
    <w:tbl>
      <w:tblPr>
        <w:tblW w:w="10205" w:type="dxa"/>
        <w:jc w:val="left"/>
        <w:tblInd w:w="0" w:type="dxa"/>
        <w:tblLayout w:type="fixed"/>
        <w:tblCellMar>
          <w:top w:w="28" w:type="dxa"/>
          <w:left w:w="28" w:type="dxa"/>
          <w:bottom w:w="28" w:type="dxa"/>
          <w:right w:w="28" w:type="dxa"/>
        </w:tblCellMar>
      </w:tblPr>
      <w:tblGrid>
        <w:gridCol w:w="1561"/>
        <w:gridCol w:w="1164"/>
        <w:gridCol w:w="1176"/>
        <w:gridCol w:w="342"/>
        <w:gridCol w:w="1002"/>
        <w:gridCol w:w="440"/>
        <w:gridCol w:w="176"/>
        <w:gridCol w:w="176"/>
        <w:gridCol w:w="176"/>
        <w:gridCol w:w="342"/>
        <w:gridCol w:w="1002"/>
        <w:gridCol w:w="440"/>
        <w:gridCol w:w="174"/>
        <w:gridCol w:w="174"/>
        <w:gridCol w:w="174"/>
        <w:gridCol w:w="345"/>
        <w:gridCol w:w="345"/>
        <w:gridCol w:w="996"/>
      </w:tblGrid>
      <w:tr>
        <w:trPr/>
        <w:tc>
          <w:tcPr>
            <w:tcW w:w="156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3901"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March 31,</w:t>
            </w:r>
          </w:p>
        </w:tc>
        <w:tc>
          <w:tcPr>
            <w:tcW w:w="522"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FFFFFF"/>
                <w:sz w:val="20"/>
              </w:rPr>
            </w:pPr>
            <w:r>
              <w:rPr>
                <w:rFonts w:ascii="Times New Roman;serif" w:hAnsi="Times New Roman;serif"/>
                <w:b w:val="false"/>
                <w:i/>
                <w:color w:val="FFFFFF"/>
                <w:sz w:val="20"/>
              </w:rPr>
              <w:t>(dollars in millions)</w:t>
            </w:r>
          </w:p>
        </w:tc>
        <w:tc>
          <w:tcPr>
            <w:tcW w:w="1784"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20"/>
              </w:rPr>
            </w:pPr>
            <w:r>
              <w:rPr>
                <w:rFonts w:ascii="Times New Roman;serif" w:hAnsi="Times New Roman;serif"/>
                <w:b/>
                <w:color w:val="FFFFFF"/>
                <w:sz w:val="20"/>
              </w:rPr>
              <w:t>2026</w:t>
            </w:r>
          </w:p>
        </w:tc>
        <w:tc>
          <w:tcPr>
            <w:tcW w:w="528"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20"/>
              </w:rPr>
            </w:pPr>
            <w:r>
              <w:rPr>
                <w:rFonts w:ascii="Times New Roman;serif" w:hAnsi="Times New Roman;serif"/>
                <w:b/>
                <w:color w:val="FFFFFF"/>
                <w:sz w:val="20"/>
              </w:rPr>
              <w:t>2025</w:t>
            </w:r>
          </w:p>
        </w:tc>
        <w:tc>
          <w:tcPr>
            <w:tcW w:w="522"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20"/>
              </w:rPr>
            </w:pPr>
            <w:r>
              <w:rPr>
                <w:rFonts w:ascii="Times New Roman;serif" w:hAnsi="Times New Roman;serif"/>
                <w:b/>
                <w:color w:val="FFFFFF"/>
                <w:sz w:val="20"/>
              </w:rPr>
              <w:t>% Change</w:t>
            </w:r>
          </w:p>
        </w:tc>
      </w:tr>
      <w:tr>
        <w:trPr/>
        <w:tc>
          <w:tcPr>
            <w:tcW w:w="3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Contracts and grants</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9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Product and services sales, net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9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Cost of product and services sales, net</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9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color w:val="000000"/>
                <w:sz w:val="20"/>
              </w:rPr>
            </w:pPr>
            <w:r>
              <w:rPr>
                <w:rFonts w:ascii="Times New Roman;serif" w:hAnsi="Times New Roman;serif"/>
                <w:b/>
                <w:color w:val="000000"/>
                <w:sz w:val="20"/>
              </w:rPr>
              <w:t>Intangible asset amortization</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Gross margin </w:t>
            </w:r>
            <w:r>
              <w:rPr>
                <w:rFonts w:ascii="Times New Roman;serif" w:hAnsi="Times New Roman;serif"/>
                <w:b/>
                <w:color w:val="000000"/>
                <w:sz w:val="13"/>
              </w:rPr>
              <w:t>(1)</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9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Gross margin % </w:t>
            </w:r>
            <w:r>
              <w:rPr>
                <w:rFonts w:ascii="Times New Roman;serif" w:hAnsi="Times New Roman;serif"/>
                <w:b/>
                <w:color w:val="000000"/>
                <w:sz w:val="13"/>
              </w:rPr>
              <w:t>(1)</w:t>
            </w:r>
          </w:p>
        </w:tc>
        <w:tc>
          <w:tcPr>
            <w:tcW w:w="134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Gross margin is calculated as product and services sales, net less cost of product and services sales, net and intangible asset amortization. Gross margin percentage is calculated as gross margin divided by products and services sales, net.</w:t>
            </w:r>
          </w:p>
        </w:tc>
      </w:tr>
      <w:tr>
        <w:trPr/>
        <w:tc>
          <w:tcPr>
            <w:tcW w:w="3901" w:type="dxa"/>
            <w:gridSpan w:val="3"/>
            <w:tcBorders/>
            <w:vAlign w:val="center"/>
          </w:tcPr>
          <w:p>
            <w:pPr>
              <w:pStyle w:val="TableContents"/>
              <w:bidi w:val="0"/>
              <w:spacing w:before="0" w:after="283"/>
              <w:jc w:val="left"/>
              <w:rPr>
                <w:sz w:val="4"/>
                <w:szCs w:val="4"/>
              </w:rPr>
            </w:pPr>
            <w:r>
              <w:rPr>
                <w:sz w:val="4"/>
                <w:szCs w:val="4"/>
              </w:rPr>
            </w:r>
          </w:p>
        </w:tc>
        <w:tc>
          <w:tcPr>
            <w:tcW w:w="6304"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revenues decreased $66.1 million, or 30%, to $156.1 million for the three months ended March 31, 2026. The decrease was due to lower MCM Products revenue of $54.8 million, Contracts and grants revenue of $6.7 million, Commercial Products revenue of $2.4 million and Services revenue of $2.2 million.</w:t>
      </w:r>
    </w:p>
    <w:p>
      <w:pPr>
        <w:pStyle w:val="TextBody"/>
        <w:bidi w:val="0"/>
        <w:spacing w:lineRule="auto" w:line="288" w:before="0" w:after="180"/>
        <w:ind w:left="0" w:right="0" w:firstLine="360"/>
        <w:jc w:val="both"/>
        <w:rPr/>
      </w:pPr>
      <w:r>
        <w:rPr>
          <w:rFonts w:ascii="Times New Roman;serif" w:hAnsi="Times New Roman;serif"/>
          <w:b w:val="false"/>
          <w:color w:val="000000"/>
          <w:sz w:val="20"/>
        </w:rPr>
        <w:t>Intangible asset amortization increased $0.2 million, or 1%, to $16.5 million for the three months ended March 31, 2026. The increase was primarily due to the added amortization following the increase in basis of the acquired intangible asset related to Ebanga</w:t>
      </w:r>
      <w:r>
        <w:rPr>
          <w:rFonts w:ascii="Times New Roman;serif" w:hAnsi="Times New Roman;serif"/>
          <w:b w:val="false"/>
          <w:color w:val="000000"/>
          <w:sz w:val="13"/>
        </w:rPr>
        <w:t>TM</w:t>
      </w:r>
      <w:r>
        <w:rPr>
          <w:rFonts w:ascii="Times New Roman;serif" w:hAnsi="Times New Roman;serif"/>
          <w:b w:val="false"/>
          <w:color w:val="000000"/>
          <w:sz w:val="20"/>
        </w:rPr>
        <w: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Gross margin decreased $43.1 million, or 41%, to $61.2 million for the three months ended March 31, 2026. Gross margin percentage decreased 9 percentage points to 41% for the three months ended March 31, 2026. The decrease in gross margin was due to a decline in MCM Products and Commercial Products gross margin of $41.7 million and $4.6 million, respectively, partially offset by an increase in Services gross margin of $3.2 million. Gross margin and gross margin percentage exclude Contracts and grants revenues because the related costs are R&amp;D expenses.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"Reportable Segment Results" for an expanded discussion of revenues and gross margin.</w:t>
      </w:r>
    </w:p>
    <w:p>
      <w:pPr>
        <w:pStyle w:val="TextBody"/>
        <w:bidi w:val="0"/>
        <w:spacing w:lineRule="auto" w:line="288" w:before="0" w:after="140"/>
        <w:ind w:left="0" w:right="0" w:hanging="360"/>
        <w:jc w:val="left"/>
        <w:rPr>
          <w:rFonts w:ascii="Times New Roman;serif" w:hAnsi="Times New Roman;serif"/>
          <w:b/>
          <w:i/>
          <w:color w:val="19415E"/>
          <w:sz w:val="20"/>
        </w:rPr>
      </w:pPr>
      <w:r>
        <w:rPr>
          <w:rFonts w:ascii="Times New Roman;serif" w:hAnsi="Times New Roman;serif"/>
          <w:b/>
          <w:i/>
          <w:color w:val="19415E"/>
          <w:sz w:val="20"/>
        </w:rPr>
        <w:t>Unallocated corporate operating expenses</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R&amp;D Expenses</w:t>
      </w:r>
    </w:p>
    <w:p>
      <w:pPr>
        <w:pStyle w:val="TextBody"/>
        <w:bidi w:val="0"/>
        <w:spacing w:lineRule="auto" w:line="288" w:before="0" w:after="180"/>
        <w:ind w:left="0" w:right="0" w:firstLine="360"/>
        <w:jc w:val="left"/>
        <w:rPr/>
      </w:pPr>
      <w:r>
        <w:rPr>
          <w:rFonts w:ascii="Times New Roman;serif" w:hAnsi="Times New Roman;serif"/>
          <w:b w:val="false"/>
          <w:color w:val="000000"/>
          <w:sz w:val="20"/>
        </w:rPr>
        <w:t>R&amp;D expenses decreased $4.6 million, or 30%, to $10.5 million for the three months ended March 31, 2026. The decrease was primarily due to lower project spend on Ebanga</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related </w:t>
      </w:r>
      <w:r>
        <w:rPr>
          <w:rFonts w:ascii="Times New Roman;serif" w:hAnsi="Times New Roman;serif"/>
          <w:b w:val="false"/>
          <w:color w:val="000000"/>
          <w:sz w:val="20"/>
        </w:rPr>
        <w:t>development work, partially offset by increases in development overhead spend.</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SG&amp;A Expenses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SG&amp;A expenses decreased $5.8 million, or 11%, to $46.6 million for the three months ended March 31, 2026. The decrease was primarily due to lower professional services, marketing, and administrative support expenses, primarily attributable to cost-saving initiatives implemented as part of the Company’s ongoing turnaround and transformation efforts. SG&amp;A expenses as a percentage of total revenues increased 6 percentage points to 30% for the three months ended March 31, 2026. </w:t>
      </w:r>
    </w:p>
    <w:p>
      <w:pPr>
        <w:pStyle w:val="TextBody"/>
        <w:bidi w:val="0"/>
        <w:spacing w:lineRule="auto" w:line="288" w:before="0" w:after="180"/>
        <w:ind w:left="0" w:right="0" w:hanging="360"/>
        <w:jc w:val="left"/>
        <w:rPr>
          <w:rFonts w:ascii="Times New Roman;serif" w:hAnsi="Times New Roman;serif"/>
          <w:b/>
          <w:i/>
          <w:color w:val="19415E"/>
          <w:sz w:val="20"/>
        </w:rPr>
      </w:pPr>
      <w:r>
        <w:rPr>
          <w:rFonts w:ascii="Times New Roman;serif" w:hAnsi="Times New Roman;serif"/>
          <w:b/>
          <w:i/>
          <w:color w:val="19415E"/>
          <w:sz w:val="20"/>
        </w:rPr>
        <w:t>Interest expense</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Interest expense decreased $3.7 million, or 25%, to $11.0 million for the three months ended March 31, 2026. The decrease was primarily due to lower average outstanding debt balances, resulting in reduced interest expense following the $100.0 million principal prepayment of the Prior Term Loan and repurchases of the Company’s </w:t>
      </w:r>
      <w:r>
        <w:rPr>
          <w:rFonts w:ascii="Times New Roman;serif" w:hAnsi="Times New Roman;serif"/>
          <w:b w:val="false"/>
          <w:color w:val="000000"/>
          <w:sz w:val="20"/>
          <w:shd w:fill="FFFFFF" w:val="clear"/>
        </w:rPr>
        <w:t>Senior Unsecured Notes in the prior year. Interest expense was further reduced by lower amortization of debt issuance costs, partially offset by higher non</w:t>
        <w:noBreakHyphen/>
        <w:t>debt interest expense, primarily related to tax and state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jc w:val="left"/>
        <w:rPr>
          <w:rFonts w:ascii="Times New Roman;serif" w:hAnsi="Times New Roman;serif"/>
          <w:b/>
          <w:i/>
          <w:color w:val="19415E"/>
          <w:sz w:val="20"/>
        </w:rPr>
      </w:pPr>
      <w:r>
        <w:rPr>
          <w:rFonts w:ascii="Times New Roman;serif" w:hAnsi="Times New Roman;serif"/>
          <w:b/>
          <w:i/>
          <w:color w:val="19415E"/>
          <w:sz w:val="20"/>
        </w:rPr>
        <w:t>Loss on assets held for sale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Loss on assets held for sale decreased $12.2 million, or 100%, due to no loss on assets held for sale recognized during the three months ended March 31, 2026. The $12.2 million loss on assets held for sale in the first quarter of 2025 was related to warehouse space in Maryland.</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19415E"/>
          <w:sz w:val="20"/>
        </w:rPr>
      </w:pPr>
      <w:r>
        <w:rPr>
          <w:rFonts w:ascii="Times New Roman;serif" w:hAnsi="Times New Roman;serif"/>
          <w:b/>
          <w:i/>
          <w:color w:val="19415E"/>
          <w:sz w:val="20"/>
        </w:rPr>
        <w:t>Other, net</w:t>
      </w:r>
    </w:p>
    <w:p>
      <w:pPr>
        <w:pStyle w:val="TextBody"/>
        <w:bidi w:val="0"/>
        <w:spacing w:lineRule="auto" w:line="288" w:before="0" w:after="180"/>
        <w:ind w:left="0" w:right="0" w:firstLine="360"/>
        <w:jc w:val="both"/>
        <w:rPr/>
      </w:pPr>
      <w:r>
        <w:rPr>
          <w:rFonts w:ascii="Times New Roman;serif" w:hAnsi="Times New Roman;serif"/>
          <w:b w:val="false"/>
          <w:color w:val="000000"/>
          <w:sz w:val="20"/>
        </w:rPr>
        <w:t>Other, net decreased from $69.7 million in income to $13.9 million in income for the three months ended March 31, 2026. The change of $55.8 million, or 80%, primarily reflects the absence of one-time income items recognized in the prior-year period from the $50.0 million in CHIK VLP development milestones and the Bayview facility sale gain, partially offset by TEMBEXA</w:t>
      </w:r>
      <w:r>
        <w:rPr>
          <w:rFonts w:ascii="Times New Roman;serif" w:hAnsi="Times New Roman;serif"/>
          <w:b w:val="false"/>
          <w:color w:val="000000"/>
          <w:sz w:val="13"/>
        </w:rPr>
        <w:t xml:space="preserve">® </w:t>
      </w:r>
      <w:r>
        <w:rPr>
          <w:rFonts w:ascii="Times New Roman;serif" w:hAnsi="Times New Roman;serif"/>
          <w:b w:val="false"/>
          <w:color w:val="000000"/>
          <w:sz w:val="20"/>
        </w:rPr>
        <w:t>milestone revenue earned in the current period.</w:t>
      </w:r>
    </w:p>
    <w:p>
      <w:pPr>
        <w:pStyle w:val="TextBody"/>
        <w:bidi w:val="0"/>
        <w:spacing w:lineRule="auto" w:line="288" w:before="0" w:after="180"/>
        <w:jc w:val="left"/>
        <w:rPr>
          <w:rFonts w:ascii="Times New Roman;serif" w:hAnsi="Times New Roman;serif"/>
          <w:b/>
          <w:i/>
          <w:color w:val="19415E"/>
          <w:sz w:val="20"/>
        </w:rPr>
      </w:pPr>
      <w:r>
        <w:rPr>
          <w:rFonts w:ascii="Times New Roman;serif" w:hAnsi="Times New Roman;serif"/>
          <w:b/>
          <w:i/>
          <w:color w:val="19415E"/>
          <w:sz w:val="20"/>
        </w:rPr>
        <w:t>Income tax provision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provision decreased $18.1 million, or 73%, to $6.6 million for the three months ended March 31, 2026. The decrease was primarily due to a change in jurisdictional mix of income and losses, and a decrease of profitability in the first quarter of 2026 relative to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REPORTABLE SEGMENT RESULTS</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COMMERCIAL PRODUCTS SEGMENT</w:t>
      </w:r>
    </w:p>
    <w:tbl>
      <w:tblPr>
        <w:tblW w:w="10205" w:type="dxa"/>
        <w:jc w:val="left"/>
        <w:tblInd w:w="0" w:type="dxa"/>
        <w:tblLayout w:type="fixed"/>
        <w:tblCellMar>
          <w:top w:w="28" w:type="dxa"/>
          <w:left w:w="28" w:type="dxa"/>
          <w:bottom w:w="28" w:type="dxa"/>
          <w:right w:w="28" w:type="dxa"/>
        </w:tblCellMar>
      </w:tblPr>
      <w:tblGrid>
        <w:gridCol w:w="1410"/>
        <w:gridCol w:w="1052"/>
        <w:gridCol w:w="965"/>
        <w:gridCol w:w="364"/>
        <w:gridCol w:w="883"/>
        <w:gridCol w:w="468"/>
        <w:gridCol w:w="187"/>
        <w:gridCol w:w="187"/>
        <w:gridCol w:w="187"/>
        <w:gridCol w:w="364"/>
        <w:gridCol w:w="883"/>
        <w:gridCol w:w="468"/>
        <w:gridCol w:w="179"/>
        <w:gridCol w:w="179"/>
        <w:gridCol w:w="179"/>
        <w:gridCol w:w="348"/>
        <w:gridCol w:w="348"/>
        <w:gridCol w:w="849"/>
        <w:gridCol w:w="109"/>
        <w:gridCol w:w="109"/>
        <w:gridCol w:w="109"/>
        <w:gridCol w:w="109"/>
        <w:gridCol w:w="109"/>
        <w:gridCol w:w="160"/>
      </w:tblGrid>
      <w:tr>
        <w:trPr/>
        <w:tc>
          <w:tcPr>
            <w:tcW w:w="141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March 31,</w:t>
            </w:r>
          </w:p>
        </w:tc>
        <w:tc>
          <w:tcPr>
            <w:tcW w:w="53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3427"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FFFFFF"/>
                <w:sz w:val="20"/>
              </w:rPr>
            </w:pPr>
            <w:r>
              <w:rPr>
                <w:rFonts w:ascii="Times New Roman;serif" w:hAnsi="Times New Roman;serif"/>
                <w:b w:val="false"/>
                <w:i/>
                <w:color w:val="FFFFFF"/>
                <w:sz w:val="20"/>
              </w:rPr>
              <w:t>(dollars in millions)</w:t>
            </w:r>
          </w:p>
        </w:tc>
        <w:tc>
          <w:tcPr>
            <w:tcW w:w="1715"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561"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53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Intangible asset amortization</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Gross margin </w:t>
            </w:r>
            <w:r>
              <w:rPr>
                <w:rFonts w:ascii="Times New Roman;serif" w:hAnsi="Times New Roman;serif"/>
                <w:b/>
                <w:color w:val="000000"/>
                <w:sz w:val="13"/>
              </w:rPr>
              <w:t>(1)</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Gross margin % </w:t>
            </w:r>
            <w:r>
              <w:rPr>
                <w:rFonts w:ascii="Times New Roman;serif" w:hAnsi="Times New Roman;serif"/>
                <w:b/>
                <w:color w:val="000000"/>
                <w:sz w:val="13"/>
              </w:rPr>
              <w:t>(1)</w:t>
            </w:r>
          </w:p>
        </w:tc>
        <w:tc>
          <w:tcPr>
            <w:tcW w:w="12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3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erif" w:hAnsi="Times New Roman;serif"/>
                <w:b/>
                <w:color w:val="000000"/>
                <w:sz w:val="20"/>
              </w:rPr>
              <w:t>Segment adjusted gross margin</w:t>
            </w:r>
            <w:r>
              <w:rPr>
                <w:rFonts w:ascii="Times New Roman;serif" w:hAnsi="Times New Roman;serif"/>
                <w:b/>
                <w:color w:val="000000"/>
                <w:sz w:val="13"/>
              </w:rPr>
              <w:t>(2)</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Times New Roman;serif" w:hAnsi="Times New Roman;serif"/>
                <w:b/>
                <w:color w:val="000000"/>
                <w:sz w:val="20"/>
              </w:rPr>
              <w:t>Segment adjusted gross margin %</w:t>
            </w:r>
            <w:r>
              <w:rPr>
                <w:rFonts w:ascii="Times New Roman;serif" w:hAnsi="Times New Roman;serif"/>
                <w:b/>
                <w:color w:val="000000"/>
                <w:sz w:val="13"/>
              </w:rPr>
              <w:t>(2)</w:t>
            </w:r>
          </w:p>
        </w:tc>
        <w:tc>
          <w:tcPr>
            <w:tcW w:w="12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500" w:type="dxa"/>
            <w:gridSpan w:val="18"/>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Gross margin is calculated as revenues less cost of sales and intangible asset amortization. Gross margin percentage is calculated as gross margin divided by revenues.</w:t>
            </w:r>
          </w:p>
        </w:tc>
        <w:tc>
          <w:tcPr>
            <w:tcW w:w="705" w:type="dxa"/>
            <w:gridSpan w:val="6"/>
            <w:tcBorders/>
          </w:tcPr>
          <w:p>
            <w:pPr>
              <w:pStyle w:val="TableContents"/>
              <w:bidi w:val="0"/>
              <w:spacing w:before="0" w:after="283"/>
              <w:jc w:val="left"/>
              <w:rPr>
                <w:sz w:val="4"/>
                <w:szCs w:val="4"/>
              </w:rPr>
            </w:pPr>
            <w:r>
              <w:rPr>
                <w:sz w:val="4"/>
                <w:szCs w:val="4"/>
              </w:rPr>
            </w:r>
          </w:p>
        </w:tc>
      </w:tr>
      <w:tr>
        <w:trPr/>
        <w:tc>
          <w:tcPr>
            <w:tcW w:w="9500" w:type="dxa"/>
            <w:gridSpan w:val="18"/>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Segment adjusted gross margin, which is a non-GAAP financial measure, for our Commercial Products segment is calculated as gross margin plus intangible asset amortization. Segment adjusted gross margin percentage, which is a non-GAAP financial measure, is calculated as segment adjusted gross margin divided by revenues. The Company’s management utilizes segment adjusted gross margin and segment adjusted gross margin percentage for purposes of evaluating our ongoing operations and for internal planning and forecasting purposes. We believe that these non-GAAP operating measures, when reviewed collectively with our GAAP financial information, provide useful supplemental information to investors in assessing our operating performance.</w:t>
            </w:r>
          </w:p>
        </w:tc>
        <w:tc>
          <w:tcPr>
            <w:tcW w:w="705" w:type="dxa"/>
            <w:gridSpan w:val="6"/>
            <w:tcBorders/>
          </w:tcPr>
          <w:p>
            <w:pPr>
              <w:pStyle w:val="TableContents"/>
              <w:bidi w:val="0"/>
              <w:spacing w:before="0" w:after="283"/>
              <w:jc w:val="left"/>
              <w:rPr>
                <w:sz w:val="4"/>
                <w:szCs w:val="4"/>
              </w:rPr>
            </w:pPr>
            <w:r>
              <w:rPr>
                <w:sz w:val="4"/>
                <w:szCs w:val="4"/>
              </w:rPr>
            </w:r>
          </w:p>
        </w:tc>
      </w:tr>
      <w:tr>
        <w:trPr/>
        <w:tc>
          <w:tcPr>
            <w:tcW w:w="9500" w:type="dxa"/>
            <w:gridSpan w:val="18"/>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c>
        <w:tc>
          <w:tcPr>
            <w:tcW w:w="705"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Three Months Ended March 31, 2026 Compared with Three Months Ended March 31, 2025</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Naloxone</w:t>
      </w:r>
    </w:p>
    <w:p>
      <w:pPr>
        <w:pStyle w:val="TextBody"/>
        <w:bidi w:val="0"/>
        <w:spacing w:lineRule="auto" w:line="288" w:before="0" w:after="180"/>
        <w:ind w:left="0" w:right="0" w:firstLine="360"/>
        <w:jc w:val="both"/>
        <w:rPr/>
      </w:pPr>
      <w:r>
        <w:rPr>
          <w:rFonts w:ascii="Times New Roman;serif" w:hAnsi="Times New Roman;serif"/>
          <w:b w:val="false"/>
          <w:color w:val="000000"/>
          <w:sz w:val="20"/>
        </w:rPr>
        <w:t>Naloxone sales decreased $2.4 million, or 5%, to $42.9 million for the three months ended March 31, 2026. The decrease was primarily attributable to lower sales of OTC NARCAN</w:t>
      </w:r>
      <w:r>
        <w:rPr>
          <w:rFonts w:ascii="Times New Roman;serif" w:hAnsi="Times New Roman;serif"/>
          <w:b w:val="false"/>
          <w:color w:val="000000"/>
          <w:sz w:val="13"/>
        </w:rPr>
        <w:t>®</w:t>
      </w:r>
      <w:r>
        <w:rPr>
          <w:rFonts w:ascii="Times New Roman;serif" w:hAnsi="Times New Roman;serif"/>
          <w:b w:val="false"/>
          <w:color w:val="000000"/>
          <w:sz w:val="20"/>
        </w:rPr>
        <w:t>, driven primarily by an unfavorable price-volume mix in U.S. sales, partially offset by increases in Canadian sales of branded NARCAN</w:t>
      </w:r>
      <w:r>
        <w:rPr>
          <w:rFonts w:ascii="Times New Roman;serif" w:hAnsi="Times New Roman;serif"/>
          <w:b w:val="false"/>
          <w:color w:val="000000"/>
          <w:sz w:val="13"/>
        </w:rPr>
        <w:t xml:space="preserve">® </w:t>
      </w:r>
      <w:r>
        <w:rPr>
          <w:rFonts w:ascii="Times New Roman;serif" w:hAnsi="Times New Roman;serif"/>
          <w:b w:val="false"/>
          <w:color w:val="000000"/>
          <w:sz w:val="20"/>
        </w:rPr>
        <w:t>and the timing of the integration of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sales into the Company’s product portfolio.</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Cost of Product Sales and Gross Margin</w:t>
      </w:r>
    </w:p>
    <w:p>
      <w:pPr>
        <w:pStyle w:val="TextBody"/>
        <w:bidi w:val="0"/>
        <w:spacing w:lineRule="auto" w:line="288" w:before="0" w:after="180"/>
        <w:ind w:left="0" w:right="0" w:firstLine="360"/>
        <w:jc w:val="both"/>
        <w:rPr/>
      </w:pPr>
      <w:r>
        <w:rPr>
          <w:rFonts w:ascii="Times New Roman;serif" w:hAnsi="Times New Roman;serif"/>
          <w:b w:val="false"/>
          <w:color w:val="000000"/>
          <w:sz w:val="20"/>
        </w:rPr>
        <w:t>Cost of Commercial Products sales increased $2.3 million, or 9%, to $26.8 million for the three months ended March 31, 2026. The increase was primarily due to higher KLOXXADO</w:t>
      </w:r>
      <w:r>
        <w:rPr>
          <w:rFonts w:ascii="Times New Roman;serif" w:hAnsi="Times New Roman;serif"/>
          <w:b w:val="false"/>
          <w:color w:val="000000"/>
          <w:sz w:val="13"/>
        </w:rPr>
        <w:t xml:space="preserve">® </w:t>
      </w:r>
      <w:r>
        <w:rPr>
          <w:rFonts w:ascii="Times New Roman;serif" w:hAnsi="Times New Roman;serif"/>
          <w:b w:val="false"/>
          <w:color w:val="000000"/>
          <w:sz w:val="20"/>
        </w:rPr>
        <w:t>sales due to timing of its integration into the Company’s product portfolio, and Canadian branded NARCAN</w:t>
      </w:r>
      <w:r>
        <w:rPr>
          <w:rFonts w:ascii="Times New Roman;serif" w:hAnsi="Times New Roman;serif"/>
          <w:b w:val="false"/>
          <w:color w:val="000000"/>
          <w:sz w:val="13"/>
        </w:rPr>
        <w:t xml:space="preserve">® </w:t>
      </w:r>
      <w:r>
        <w:rPr>
          <w:rFonts w:ascii="Times New Roman;serif" w:hAnsi="Times New Roman;serif"/>
          <w:b w:val="false"/>
          <w:color w:val="000000"/>
          <w:sz w:val="20"/>
        </w:rPr>
        <w:t xml:space="preserve">sales. </w:t>
      </w:r>
    </w:p>
    <w:p>
      <w:pPr>
        <w:pStyle w:val="TextBody"/>
        <w:bidi w:val="0"/>
        <w:spacing w:lineRule="auto" w:line="288" w:before="0" w:after="180"/>
        <w:ind w:left="0" w:right="0" w:firstLine="360"/>
        <w:jc w:val="both"/>
        <w:rPr/>
      </w:pPr>
      <w:r>
        <w:rPr>
          <w:rFonts w:ascii="Times New Roman;serif" w:hAnsi="Times New Roman;serif"/>
          <w:b w:val="false"/>
          <w:color w:val="000000"/>
          <w:sz w:val="20"/>
        </w:rPr>
        <w:t>Commercial Products gross margin decreased $4.6 million, or 41%, to $6.7 million for the three months ended March 31, 2026. Commercial Products gross margin percentage decreased 9 percentage points to 16% for the three months ended March 31, 2026. The decrease was largely due to an unfavorable price and volume mix of OTC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as well as Canadian branded NARCAN</w:t>
      </w:r>
      <w:r>
        <w:rPr>
          <w:rFonts w:ascii="Times New Roman;serif" w:hAnsi="Times New Roman;serif"/>
          <w:b w:val="false"/>
          <w:color w:val="000000"/>
          <w:sz w:val="13"/>
        </w:rPr>
        <w:t>®</w:t>
      </w:r>
      <w:r>
        <w:rPr>
          <w:rFonts w:ascii="Times New Roman;serif" w:hAnsi="Times New Roman;serif"/>
          <w:b w:val="false"/>
          <w:color w:val="000000"/>
          <w:sz w:val="20"/>
        </w:rPr>
        <w:t>. Commercial Products segment adjusted gross margin in the current year period excludes the impact of intangible asset amortization of $9.4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MCM PRODUCTS SEGMENT</w:t>
      </w:r>
    </w:p>
    <w:tbl>
      <w:tblPr>
        <w:tblW w:w="10205" w:type="dxa"/>
        <w:jc w:val="left"/>
        <w:tblInd w:w="0" w:type="dxa"/>
        <w:tblLayout w:type="fixed"/>
        <w:tblCellMar>
          <w:top w:w="28" w:type="dxa"/>
          <w:left w:w="28" w:type="dxa"/>
          <w:bottom w:w="28" w:type="dxa"/>
          <w:right w:w="28" w:type="dxa"/>
        </w:tblCellMar>
      </w:tblPr>
      <w:tblGrid>
        <w:gridCol w:w="1385"/>
        <w:gridCol w:w="996"/>
        <w:gridCol w:w="907"/>
        <w:gridCol w:w="342"/>
        <w:gridCol w:w="1002"/>
        <w:gridCol w:w="440"/>
        <w:gridCol w:w="177"/>
        <w:gridCol w:w="177"/>
        <w:gridCol w:w="177"/>
        <w:gridCol w:w="342"/>
        <w:gridCol w:w="1002"/>
        <w:gridCol w:w="440"/>
        <w:gridCol w:w="175"/>
        <w:gridCol w:w="175"/>
        <w:gridCol w:w="175"/>
        <w:gridCol w:w="375"/>
        <w:gridCol w:w="375"/>
        <w:gridCol w:w="833"/>
        <w:gridCol w:w="109"/>
        <w:gridCol w:w="109"/>
        <w:gridCol w:w="109"/>
        <w:gridCol w:w="109"/>
        <w:gridCol w:w="109"/>
        <w:gridCol w:w="165"/>
      </w:tblGrid>
      <w:tr>
        <w:trPr/>
        <w:tc>
          <w:tcPr>
            <w:tcW w:w="138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March 31,</w:t>
            </w:r>
          </w:p>
        </w:tc>
        <w:tc>
          <w:tcPr>
            <w:tcW w:w="52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3288"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FFFFFF"/>
                <w:sz w:val="20"/>
              </w:rPr>
            </w:pPr>
            <w:r>
              <w:rPr>
                <w:rFonts w:ascii="Times New Roman;serif" w:hAnsi="Times New Roman;serif"/>
                <w:b w:val="false"/>
                <w:i/>
                <w:color w:val="FFFFFF"/>
                <w:sz w:val="20"/>
              </w:rPr>
              <w:t>(dollars in millions)</w:t>
            </w:r>
          </w:p>
        </w:tc>
        <w:tc>
          <w:tcPr>
            <w:tcW w:w="1784"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531"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52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Intangible asset amortization</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Gross margin</w:t>
            </w:r>
            <w:r>
              <w:rPr>
                <w:rFonts w:ascii="Times New Roman;serif" w:hAnsi="Times New Roman;serif"/>
                <w:b/>
                <w:color w:val="000000"/>
                <w:sz w:val="13"/>
              </w:rPr>
              <w:t>(1)</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Gross margin %</w:t>
            </w:r>
            <w:r>
              <w:rPr>
                <w:rFonts w:ascii="Times New Roman;serif" w:hAnsi="Times New Roman;serif"/>
                <w:b/>
                <w:color w:val="000000"/>
                <w:sz w:val="13"/>
              </w:rPr>
              <w:t>(1)</w:t>
            </w:r>
          </w:p>
        </w:tc>
        <w:tc>
          <w:tcPr>
            <w:tcW w:w="134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Severance and restructuring benefits</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step-up provision</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8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Segment adjusted gross margin</w:t>
            </w:r>
            <w:r>
              <w:rPr>
                <w:rFonts w:ascii="Times New Roman;serif" w:hAnsi="Times New Roman;serif"/>
                <w:b/>
                <w:color w:val="000000"/>
                <w:sz w:val="13"/>
              </w:rPr>
              <w:t>(2)</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8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Segment adjusted gross margin %</w:t>
            </w:r>
            <w:r>
              <w:rPr>
                <w:rFonts w:ascii="Times New Roman;serif" w:hAnsi="Times New Roman;serif"/>
                <w:b/>
                <w:color w:val="000000"/>
                <w:sz w:val="13"/>
              </w:rPr>
              <w:t>(2)</w:t>
            </w:r>
          </w:p>
        </w:tc>
        <w:tc>
          <w:tcPr>
            <w:tcW w:w="13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495" w:type="dxa"/>
            <w:gridSpan w:val="18"/>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Gross margin is calculated as revenues less cost of sales and intangible asset amortization. Gross margin percentage is calculated as gross margin divided by revenues.</w:t>
            </w:r>
          </w:p>
        </w:tc>
        <w:tc>
          <w:tcPr>
            <w:tcW w:w="710" w:type="dxa"/>
            <w:gridSpan w:val="6"/>
            <w:tcBorders/>
          </w:tcPr>
          <w:p>
            <w:pPr>
              <w:pStyle w:val="TableContents"/>
              <w:bidi w:val="0"/>
              <w:spacing w:before="0" w:after="283"/>
              <w:jc w:val="left"/>
              <w:rPr>
                <w:sz w:val="4"/>
                <w:szCs w:val="4"/>
              </w:rPr>
            </w:pPr>
            <w:r>
              <w:rPr>
                <w:sz w:val="4"/>
                <w:szCs w:val="4"/>
              </w:rPr>
            </w:r>
          </w:p>
        </w:tc>
      </w:tr>
      <w:tr>
        <w:trPr/>
        <w:tc>
          <w:tcPr>
            <w:tcW w:w="9495" w:type="dxa"/>
            <w:gridSpan w:val="18"/>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Segment adjusted gross margin, which is a non-GAAP financial measure, for our MCM Products segment is calculated as gross margin plus intangible asset amortization, inventory step-up provision, severance and restructuring benefits and the portion of stock-based compensation expense that is recorded as cost of sales. Segment adjusted gross margin percentage, which is a non-GAAP financial measure, is calculated as segment adjusted gross margin divided by revenues. The Company’s management utilizes segment adjusted gross margin and segment adjusted gross margin percentage for purposes of evaluating our ongoing operations and for internal planning and forecasting purposes. In calculating these measures, we began excluding stock-based compensation that is recorded as cost of sales in the first quarter of 2026, as this reflects a non-cash expenditure that is not related to segment operating performance. As reflected in the table above, we have recast our 2025 results to also reflect this adjustment. We believe that these non-GAAP operating measures, when reviewed collectively with our GAAP financial information, provide useful supplemental information to investors in assessing our operating performance.</w:t>
            </w:r>
          </w:p>
        </w:tc>
        <w:tc>
          <w:tcPr>
            <w:tcW w:w="710" w:type="dxa"/>
            <w:gridSpan w:val="6"/>
            <w:tcBorders/>
          </w:tcPr>
          <w:p>
            <w:pPr>
              <w:pStyle w:val="TableContents"/>
              <w:bidi w:val="0"/>
              <w:spacing w:before="0" w:after="283"/>
              <w:jc w:val="left"/>
              <w:rPr>
                <w:sz w:val="4"/>
                <w:szCs w:val="4"/>
              </w:rPr>
            </w:pPr>
            <w:r>
              <w:rPr>
                <w:sz w:val="4"/>
                <w:szCs w:val="4"/>
              </w:rPr>
            </w:r>
          </w:p>
        </w:tc>
      </w:tr>
      <w:tr>
        <w:trPr/>
        <w:tc>
          <w:tcPr>
            <w:tcW w:w="3288" w:type="dxa"/>
            <w:gridSpan w:val="3"/>
            <w:tcBorders/>
            <w:vAlign w:val="center"/>
          </w:tcPr>
          <w:p>
            <w:pPr>
              <w:pStyle w:val="TableContents"/>
              <w:bidi w:val="0"/>
              <w:spacing w:before="0" w:after="283"/>
              <w:jc w:val="left"/>
              <w:rPr>
                <w:sz w:val="4"/>
                <w:szCs w:val="4"/>
              </w:rPr>
            </w:pPr>
            <w:r>
              <w:rPr>
                <w:sz w:val="4"/>
                <w:szCs w:val="4"/>
              </w:rPr>
            </w:r>
          </w:p>
        </w:tc>
        <w:tc>
          <w:tcPr>
            <w:tcW w:w="6917"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Three Months Ended March 31, 2026 Compared with Three Months Ended March 31, 2025</w:t>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Anthrax MCM</w:t>
      </w:r>
    </w:p>
    <w:p>
      <w:pPr>
        <w:pStyle w:val="TextBody"/>
        <w:bidi w:val="0"/>
        <w:spacing w:lineRule="auto" w:line="288" w:before="0" w:after="180"/>
        <w:ind w:left="0" w:right="0" w:firstLine="360"/>
        <w:jc w:val="both"/>
        <w:rPr/>
      </w:pPr>
      <w:r>
        <w:rPr>
          <w:rFonts w:ascii="Times New Roman;serif" w:hAnsi="Times New Roman;serif"/>
          <w:b w:val="false"/>
          <w:color w:val="000000"/>
          <w:sz w:val="20"/>
        </w:rPr>
        <w:t>Anthrax MCM sales decreased $26.3 million, or 55%, to $21.6 million for the three months ended March 31, 2026. The decrease was primarily due to lower international sales of ANTHRASIL</w:t>
      </w:r>
      <w:r>
        <w:rPr>
          <w:rFonts w:ascii="Times New Roman;serif" w:hAnsi="Times New Roman;serif"/>
          <w:b w:val="false"/>
          <w:color w:val="000000"/>
          <w:sz w:val="13"/>
        </w:rPr>
        <w:t>®</w:t>
      </w:r>
      <w:r>
        <w:rPr>
          <w:rFonts w:ascii="Times New Roman;serif" w:hAnsi="Times New Roman;serif"/>
          <w:b w:val="false"/>
          <w:color w:val="000000"/>
          <w:sz w:val="20"/>
        </w:rPr>
        <w:t>, mainly to the Canadian government, coupled with lower volumes of CYFENDUS</w:t>
      </w:r>
      <w:r>
        <w:rPr>
          <w:rFonts w:ascii="Times New Roman;serif" w:hAnsi="Times New Roman;serif"/>
          <w:b w:val="false"/>
          <w:color w:val="000000"/>
          <w:sz w:val="13"/>
        </w:rPr>
        <w:t xml:space="preserve">® </w:t>
      </w:r>
      <w:r>
        <w:rPr>
          <w:rFonts w:ascii="Times New Roman;serif" w:hAnsi="Times New Roman;serif"/>
          <w:b w:val="false"/>
          <w:color w:val="000000"/>
          <w:sz w:val="20"/>
        </w:rPr>
        <w:t>sales to the USG, primarily due to the impact of timing. These decreases were partially offset by an increase in USG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sales due to timing of exercised purchase options. Anthrax vaccine product sales are primarily made under annual purchase options exercised by the USG. Fluctuations in revenues result from the timing of the exercise of annual purchase options, the timing of USG purchases, the availability of governmental funding and the Company’s delivery of orders that follow.</w:t>
      </w:r>
    </w:p>
    <w:p>
      <w:pPr>
        <w:pStyle w:val="TextBody"/>
        <w:bidi w:val="0"/>
        <w:spacing w:lineRule="auto" w:line="288" w:before="0" w:after="180"/>
        <w:jc w:val="both"/>
        <w:rPr>
          <w:rFonts w:ascii="Times New Roman;serif" w:hAnsi="Times New Roman;serif"/>
          <w:b w:val="false"/>
          <w:color w:val="19415E"/>
          <w:sz w:val="20"/>
          <w:u w:val="single"/>
        </w:rPr>
      </w:pPr>
      <w:r>
        <w:rPr>
          <w:rFonts w:ascii="Times New Roman;serif" w:hAnsi="Times New Roman;serif"/>
          <w:b w:val="false"/>
          <w:color w:val="19415E"/>
          <w:sz w:val="20"/>
          <w:u w:val="single"/>
        </w:rPr>
        <w:t>Smallpox MCM</w:t>
      </w:r>
    </w:p>
    <w:p>
      <w:pPr>
        <w:pStyle w:val="TextBody"/>
        <w:bidi w:val="0"/>
        <w:spacing w:lineRule="auto" w:line="288" w:before="0" w:after="180"/>
        <w:ind w:left="0" w:right="0" w:firstLine="360"/>
        <w:jc w:val="both"/>
        <w:rPr/>
      </w:pPr>
      <w:r>
        <w:rPr>
          <w:rFonts w:ascii="Times New Roman;serif" w:hAnsi="Times New Roman;serif"/>
          <w:b w:val="false"/>
          <w:color w:val="000000"/>
          <w:sz w:val="20"/>
        </w:rPr>
        <w:t>Smallpox MCM sales decreased $42.2 million, or 40%, to $64.2 million for the three months ended March 31, 2026. The decrease was primarily driven by lower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sales, largely due to reduced international volumes and an overall decline in TEMBEXA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sales driven by lower USG sales volume due to timing partially offset by higher international sales. These decreases were partially offset by an increase in 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(VIGIV) USG sales due to timing. Fluctuations in revenues from Smallpox MCM result from the timing of the exercise of annual purchase options in the existing procurement contracts, the timing of USG purchases, the availability of governmental funding and the Company’s delivery of orders that follow.</w:t>
      </w:r>
    </w:p>
    <w:p>
      <w:pPr>
        <w:pStyle w:val="TextBody"/>
        <w:bidi w:val="0"/>
        <w:spacing w:lineRule="auto" w:line="288" w:before="0" w:after="180"/>
        <w:jc w:val="both"/>
        <w:rPr>
          <w:rFonts w:ascii="Times New Roman;serif" w:hAnsi="Times New Roman;serif"/>
          <w:b w:val="false"/>
          <w:color w:val="19415E"/>
          <w:sz w:val="20"/>
          <w:u w:val="single"/>
        </w:rPr>
      </w:pPr>
      <w:r>
        <w:rPr>
          <w:rFonts w:ascii="Times New Roman;serif" w:hAnsi="Times New Roman;serif"/>
          <w:b w:val="false"/>
          <w:color w:val="19415E"/>
          <w:sz w:val="20"/>
          <w:u w:val="single"/>
        </w:rPr>
        <w:t>Other Products</w:t>
      </w:r>
    </w:p>
    <w:p>
      <w:pPr>
        <w:pStyle w:val="TextBody"/>
        <w:bidi w:val="0"/>
        <w:spacing w:lineRule="auto" w:line="288" w:before="0" w:after="180"/>
        <w:ind w:left="0" w:right="0" w:firstLine="360"/>
        <w:jc w:val="both"/>
        <w:rPr/>
      </w:pPr>
      <w:r>
        <w:rPr>
          <w:rFonts w:ascii="Times New Roman;serif" w:hAnsi="Times New Roman;serif"/>
          <w:b w:val="false"/>
          <w:color w:val="000000"/>
          <w:sz w:val="20"/>
        </w:rPr>
        <w:t>Other Products sales increased $13.7 million, or 596%, to $16.0 million for the three months ended March 31, 2026. The increase was primarily due to higher Canadian and other international BAT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jc w:val="left"/>
        <w:rPr>
          <w:rFonts w:ascii="Times New Roman;serif" w:hAnsi="Times New Roman;serif"/>
          <w:b w:val="false"/>
          <w:color w:val="19415E"/>
          <w:sz w:val="20"/>
          <w:u w:val="single"/>
        </w:rPr>
      </w:pPr>
      <w:r>
        <w:rPr>
          <w:rFonts w:ascii="Times New Roman;serif" w:hAnsi="Times New Roman;serif"/>
          <w:b w:val="false"/>
          <w:color w:val="19415E"/>
          <w:sz w:val="20"/>
          <w:u w:val="single"/>
        </w:rPr>
        <w:t>Cost of Sales and Gross Margin</w:t>
      </w:r>
    </w:p>
    <w:p>
      <w:pPr>
        <w:pStyle w:val="TextBody"/>
        <w:bidi w:val="0"/>
        <w:spacing w:lineRule="auto" w:line="288" w:before="0" w:after="180"/>
        <w:ind w:left="0" w:right="0" w:firstLine="360"/>
        <w:jc w:val="both"/>
        <w:rPr/>
      </w:pPr>
      <w:r>
        <w:rPr>
          <w:rFonts w:ascii="Times New Roman;serif" w:hAnsi="Times New Roman;serif"/>
          <w:b w:val="false"/>
          <w:color w:val="000000"/>
          <w:sz w:val="20"/>
        </w:rPr>
        <w:t>Cost of MCM product sales decreased $13.4 million, or 27%, to $36.8 million for the three months ended March 31, 2026. The decrease was primarily due to lower cost of sales for ANTHRASIL</w:t>
      </w:r>
      <w:r>
        <w:rPr>
          <w:rFonts w:ascii="Times New Roman;serif" w:hAnsi="Times New Roman;serif"/>
          <w:b w:val="false"/>
          <w:color w:val="000000"/>
          <w:sz w:val="13"/>
        </w:rPr>
        <w:t>®</w:t>
      </w:r>
      <w:r>
        <w:rPr>
          <w:rFonts w:ascii="Times New Roman;serif" w:hAnsi="Times New Roman;serif"/>
          <w:b w:val="false"/>
          <w:color w:val="000000"/>
          <w:sz w:val="20"/>
        </w:rPr>
        <w:t>, ACAM2000</w:t>
      </w:r>
      <w:r>
        <w:rPr>
          <w:rFonts w:ascii="Times New Roman;serif" w:hAnsi="Times New Roman;serif"/>
          <w:b w:val="false"/>
          <w:color w:val="000000"/>
          <w:sz w:val="13"/>
        </w:rPr>
        <w:t>®</w:t>
      </w:r>
      <w:r>
        <w:rPr>
          <w:rFonts w:ascii="Times New Roman;serif" w:hAnsi="Times New Roman;serif"/>
          <w:b w:val="false"/>
          <w:color w:val="000000"/>
          <w:sz w:val="20"/>
        </w:rPr>
        <w:t>, 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TEMBEXA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reflecting reduced sales volumes and the absence of significant prior-year non-recurring manufacturing related costs, including shutdown and severance expenses. These decreases were partially offset by an increase in cost of sales for 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(VIGIV), BAT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driven by greater sales volumes and increased overhead costs at the Winnipeg facility.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MCM Products gross margin decreased $41.7 million, or 42%, to $57.9 million for the three months ended March 31, 2026. MCM Product gross margin percentage decreased 7 percentage points to 57% for the three months ended March 31, 2026. The decrease in gross margin percentage was primarily due to an unfavorable sales mix weighted more heavily toward lower margin products as well as product absorption-related variances. These impacts were partially offset by a decrease in shutdown and severance related costs compared with the prior year. MCM Product segment adjusted gross margin in the current year period excludes the impacts of intangible asset amortization of $7.1 million, the portion of stock-based compensation expense recorded as cost of sales of $0.5 million, and inventory step-up provision of $0.1 million.</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ALL OTHER REVENUE</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Three Months Ended March 31, 2026 Compared with Three Months Ended March 31, 2025</w:t>
      </w:r>
    </w:p>
    <w:p>
      <w:pPr>
        <w:pStyle w:val="TextBody"/>
        <w:bidi w:val="0"/>
        <w:spacing w:lineRule="auto" w:line="288" w:before="0" w:after="180"/>
        <w:jc w:val="both"/>
        <w:rPr>
          <w:rFonts w:ascii="Times New Roman;serif" w:hAnsi="Times New Roman;serif"/>
          <w:b w:val="false"/>
          <w:color w:val="19415E"/>
          <w:sz w:val="20"/>
          <w:u w:val="single"/>
        </w:rPr>
      </w:pPr>
      <w:r>
        <w:rPr>
          <w:rFonts w:ascii="Times New Roman;serif" w:hAnsi="Times New Roman;serif"/>
          <w:b w:val="false"/>
          <w:color w:val="19415E"/>
          <w:sz w:val="20"/>
          <w:u w:val="single"/>
        </w:rPr>
        <w:t>Services Revenues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Services revenues decreased $2.2 million, or 31%, to $5.0 million for the three months ended March 31, 2026. The decrease was primarily attributable to a decline in production at the Company’s Winnipeg facility.</w:t>
      </w:r>
    </w:p>
    <w:p>
      <w:pPr>
        <w:pStyle w:val="TextBody"/>
        <w:bidi w:val="0"/>
        <w:spacing w:lineRule="auto" w:line="288" w:before="0" w:after="180"/>
        <w:jc w:val="both"/>
        <w:rPr>
          <w:rFonts w:ascii="Times New Roman;serif" w:hAnsi="Times New Roman;serif"/>
          <w:b w:val="false"/>
          <w:color w:val="19415E"/>
          <w:sz w:val="20"/>
          <w:u w:val="single"/>
        </w:rPr>
      </w:pPr>
      <w:r>
        <w:rPr>
          <w:rFonts w:ascii="Times New Roman;serif" w:hAnsi="Times New Roman;serif"/>
          <w:b w:val="false"/>
          <w:color w:val="19415E"/>
          <w:sz w:val="20"/>
          <w:u w:val="single"/>
        </w:rPr>
        <w:t>Contracts and Grants</w:t>
      </w:r>
    </w:p>
    <w:p>
      <w:pPr>
        <w:pStyle w:val="TextBody"/>
        <w:bidi w:val="0"/>
        <w:spacing w:lineRule="auto" w:line="288" w:before="0" w:after="180"/>
        <w:ind w:left="0" w:right="0" w:firstLine="360"/>
        <w:jc w:val="both"/>
        <w:rPr/>
      </w:pPr>
      <w:r>
        <w:rPr>
          <w:rFonts w:ascii="Times New Roman;serif" w:hAnsi="Times New Roman;serif"/>
          <w:b w:val="false"/>
          <w:color w:val="000000"/>
          <w:sz w:val="20"/>
        </w:rPr>
        <w:t>Contracts and grants revenue decreased $6.7 million, or 51%, to $6.4 million for the three months ended March 31, 2026. The decrease was primarily due to lower project spend on Ebanga</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related </w:t>
      </w:r>
      <w:r>
        <w:rPr>
          <w:rFonts w:ascii="Times New Roman;serif" w:hAnsi="Times New Roman;serif"/>
          <w:b w:val="false"/>
          <w:color w:val="000000"/>
          <w:sz w:val="20"/>
        </w:rPr>
        <w:t>development work.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FINANCIAL CONDITION, LIQUIDITY AND CAPITAL RESOURCES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financial condition is summarized as follows:</w:t>
      </w:r>
    </w:p>
    <w:tbl>
      <w:tblPr>
        <w:tblW w:w="7688" w:type="dxa"/>
        <w:jc w:val="left"/>
        <w:tblInd w:w="0" w:type="dxa"/>
        <w:tblLayout w:type="fixed"/>
        <w:tblCellMar>
          <w:top w:w="28" w:type="dxa"/>
          <w:left w:w="28" w:type="dxa"/>
          <w:bottom w:w="28" w:type="dxa"/>
          <w:right w:w="28" w:type="dxa"/>
        </w:tblCellMar>
      </w:tblPr>
      <w:tblGrid>
        <w:gridCol w:w="1429"/>
        <w:gridCol w:w="1253"/>
        <w:gridCol w:w="1263"/>
        <w:gridCol w:w="211"/>
        <w:gridCol w:w="616"/>
        <w:gridCol w:w="109"/>
        <w:gridCol w:w="109"/>
        <w:gridCol w:w="109"/>
        <w:gridCol w:w="109"/>
        <w:gridCol w:w="257"/>
        <w:gridCol w:w="750"/>
        <w:gridCol w:w="132"/>
        <w:gridCol w:w="109"/>
        <w:gridCol w:w="109"/>
        <w:gridCol w:w="109"/>
        <w:gridCol w:w="218"/>
        <w:gridCol w:w="218"/>
        <w:gridCol w:w="578"/>
      </w:tblGrid>
      <w:tr>
        <w:trPr/>
        <w:tc>
          <w:tcPr>
            <w:tcW w:w="1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March 31,</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December 31,</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FFFFFF"/>
                <w:sz w:val="20"/>
              </w:rPr>
            </w:pPr>
            <w:r>
              <w:rPr>
                <w:rFonts w:ascii="Times New Roman;serif" w:hAnsi="Times New Roman;serif"/>
                <w:b w:val="false"/>
                <w:i/>
                <w:color w:val="FFFFFF"/>
                <w:sz w:val="20"/>
              </w:rPr>
              <w:t>(dollars in millions)</w:t>
            </w:r>
          </w:p>
        </w:tc>
        <w:tc>
          <w:tcPr>
            <w:tcW w:w="936"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Change %</w:t>
            </w:r>
          </w:p>
        </w:tc>
      </w:tr>
      <w:tr>
        <w:trPr/>
        <w:tc>
          <w:tcPr>
            <w:tcW w:w="3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Borrowings: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net of unamortized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borrowings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Working capital:</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working capital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Principal Sources of Capital Resources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our capital resources included $160.3 million of cash and cash equivalents and an available borrowing capacity of up to $100.0 million under the Revolving Credit Agreement. We have historically financed our operating and capital expenditures through existing cash and cash equivalents, cash from operations, development contracts and grant funding and borrowings under various credit agreements, including the Term Loan Agreement, the Prior Term Loan Agreement and other lines of credit we have established from time to time. We also occasionally obtain financing from the sale of our common stock upon exercise of stock options. As of March 31, 2026, the Company believes that its sources of liquidity, including debt and cash flows from operating activities, are adequate to fund its operations for at least the next twelve months from the issuance of these condensed consolidated financial statements.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Unused Credit Capacity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Available room under the commitments with respect to the Revolving Credit Agreement (the “Revolving Loans”) as of March 31, 2026 and December 31, 2025 was:</w:t>
      </w:r>
    </w:p>
    <w:tbl>
      <w:tblPr>
        <w:tblW w:w="4721" w:type="dxa"/>
        <w:jc w:val="left"/>
        <w:tblInd w:w="0" w:type="dxa"/>
        <w:tblLayout w:type="fixed"/>
        <w:tblCellMar>
          <w:top w:w="28" w:type="dxa"/>
          <w:left w:w="28" w:type="dxa"/>
          <w:bottom w:w="28" w:type="dxa"/>
          <w:right w:w="28" w:type="dxa"/>
        </w:tblCellMar>
      </w:tblPr>
      <w:tblGrid>
        <w:gridCol w:w="549"/>
        <w:gridCol w:w="481"/>
        <w:gridCol w:w="484"/>
        <w:gridCol w:w="291"/>
        <w:gridCol w:w="849"/>
        <w:gridCol w:w="150"/>
        <w:gridCol w:w="109"/>
        <w:gridCol w:w="109"/>
        <w:gridCol w:w="109"/>
        <w:gridCol w:w="342"/>
        <w:gridCol w:w="999"/>
        <w:gridCol w:w="249"/>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FFFFFF"/>
                <w:sz w:val="20"/>
              </w:rPr>
            </w:pPr>
            <w:r>
              <w:rPr>
                <w:rFonts w:ascii="Times New Roman;serif" w:hAnsi="Times New Roman;serif"/>
                <w:b w:val="false"/>
                <w:i/>
                <w:color w:val="FFFFFF"/>
                <w:sz w:val="20"/>
              </w:rPr>
              <w:t>(in millions)</w:t>
            </w:r>
          </w:p>
        </w:tc>
        <w:tc>
          <w:tcPr>
            <w:tcW w:w="1290"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March 31, 2026</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December 31, 2025</w:t>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Capacity</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Unused Capacity</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07"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Principal Uses of Capital Resources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Future Uses of Capital Resources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our future capital requirements will principally consist of funds required for:</w:t>
      </w:r>
    </w:p>
    <w:p>
      <w:pPr>
        <w:pStyle w:val="TextBody"/>
        <w:bidi w:val="0"/>
        <w:spacing w:lineRule="auto" w:line="288" w:before="0" w:after="20"/>
        <w:ind w:left="0" w:right="0" w:hanging="360"/>
        <w:jc w:val="both"/>
        <w:rPr/>
      </w:pPr>
      <w:r>
        <w:rPr>
          <w:color w:val="19415E"/>
        </w:rPr>
        <w:t>•</w:t>
      </w:r>
      <w:r>
        <w:rPr>
          <w:rFonts w:ascii="Times New Roman;serif" w:hAnsi="Times New Roman;serif"/>
          <w:b w:val="false"/>
          <w:color w:val="000000"/>
          <w:sz w:val="20"/>
        </w:rPr>
        <w:t>operating and general corporate expenses;</w:t>
      </w:r>
    </w:p>
    <w:p>
      <w:pPr>
        <w:pStyle w:val="TextBody"/>
        <w:bidi w:val="0"/>
        <w:spacing w:lineRule="auto" w:line="288" w:before="0" w:after="20"/>
        <w:ind w:left="0" w:right="0" w:hanging="360"/>
        <w:jc w:val="both"/>
        <w:rPr/>
      </w:pPr>
      <w:r>
        <w:rPr>
          <w:color w:val="19415E"/>
        </w:rPr>
        <w:t>•</w:t>
      </w:r>
      <w:r>
        <w:rPr>
          <w:rFonts w:ascii="Times New Roman;serif" w:hAnsi="Times New Roman;serif"/>
          <w:b w:val="false"/>
          <w:color w:val="000000"/>
          <w:sz w:val="20"/>
        </w:rPr>
        <w:t>capital expenditures;</w:t>
      </w:r>
    </w:p>
    <w:p>
      <w:pPr>
        <w:pStyle w:val="TextBody"/>
        <w:bidi w:val="0"/>
        <w:spacing w:lineRule="auto" w:line="288" w:before="0" w:after="20"/>
        <w:ind w:left="0" w:right="0" w:hanging="360"/>
        <w:jc w:val="both"/>
        <w:rPr/>
      </w:pPr>
      <w:r>
        <w:rPr>
          <w:color w:val="19415E"/>
        </w:rPr>
        <w:t>•</w:t>
      </w:r>
      <w:r>
        <w:rPr>
          <w:rFonts w:ascii="Times New Roman;serif" w:hAnsi="Times New Roman;serif"/>
          <w:b w:val="false"/>
          <w:color w:val="000000"/>
          <w:sz w:val="20"/>
        </w:rPr>
        <w:t>debt service requirements, including interest payments;</w:t>
      </w:r>
    </w:p>
    <w:p>
      <w:pPr>
        <w:pStyle w:val="TextBody"/>
        <w:bidi w:val="0"/>
        <w:spacing w:lineRule="auto" w:line="288" w:before="0" w:after="20"/>
        <w:ind w:left="0" w:right="0" w:hanging="360"/>
        <w:jc w:val="both"/>
        <w:rPr/>
      </w:pPr>
      <w:r>
        <w:rPr>
          <w:color w:val="19415E"/>
        </w:rPr>
        <w:t>•</w:t>
      </w:r>
      <w:r>
        <w:rPr>
          <w:rFonts w:ascii="Times New Roman;serif" w:hAnsi="Times New Roman;serif"/>
          <w:b w:val="false"/>
          <w:color w:val="000000"/>
          <w:sz w:val="20"/>
        </w:rPr>
        <w:t>compensation to designated executive management under our various long-term incentive compensation programs;</w:t>
      </w:r>
    </w:p>
    <w:p>
      <w:pPr>
        <w:pStyle w:val="TextBody"/>
        <w:bidi w:val="0"/>
        <w:spacing w:lineRule="auto" w:line="288" w:before="0" w:after="20"/>
        <w:ind w:left="0" w:right="0" w:hanging="360"/>
        <w:jc w:val="both"/>
        <w:rPr/>
      </w:pPr>
      <w:r>
        <w:rPr>
          <w:color w:val="19415E"/>
        </w:rPr>
        <w:t>•</w:t>
      </w:r>
      <w:r>
        <w:rPr>
          <w:rFonts w:ascii="Times New Roman;serif" w:hAnsi="Times New Roman;serif"/>
          <w:b w:val="false"/>
          <w:color w:val="000000"/>
          <w:sz w:val="20"/>
        </w:rPr>
        <w:t>discretionary funding of the Reauthorized Share Repurchase Program and repurchases of Senior Unsecured Notes;</w:t>
      </w:r>
    </w:p>
    <w:p>
      <w:pPr>
        <w:pStyle w:val="TextBody"/>
        <w:bidi w:val="0"/>
        <w:spacing w:lineRule="auto" w:line="288" w:before="0" w:after="20"/>
        <w:ind w:left="0" w:right="0" w:hanging="360"/>
        <w:jc w:val="both"/>
        <w:rPr/>
      </w:pPr>
      <w:r>
        <w:rPr>
          <w:color w:val="19415E"/>
        </w:rPr>
        <w:t>•</w:t>
      </w:r>
      <w:r>
        <w:rPr>
          <w:rFonts w:ascii="Times New Roman;serif" w:hAnsi="Times New Roman;serif"/>
          <w:b w:val="false"/>
          <w:color w:val="000000"/>
          <w:sz w:val="20"/>
        </w:rPr>
        <w:t>contingent obligations related to our acquisitions;</w:t>
      </w:r>
    </w:p>
    <w:p>
      <w:pPr>
        <w:pStyle w:val="TextBody"/>
        <w:bidi w:val="0"/>
        <w:spacing w:lineRule="auto" w:line="288" w:before="0" w:after="20"/>
        <w:ind w:left="0" w:right="0" w:hanging="360"/>
        <w:jc w:val="both"/>
        <w:rPr/>
      </w:pPr>
      <w:r>
        <w:rPr>
          <w:color w:val="19415E"/>
        </w:rPr>
        <w:t>•</w:t>
      </w:r>
      <w:r>
        <w:rPr>
          <w:rFonts w:ascii="Times New Roman;serif" w:hAnsi="Times New Roman;serif"/>
          <w:b w:val="false"/>
          <w:color w:val="000000"/>
          <w:sz w:val="20"/>
        </w:rPr>
        <w:t>potential acquisitions of businesses; and</w:t>
      </w:r>
    </w:p>
    <w:p>
      <w:pPr>
        <w:pStyle w:val="TextBody"/>
        <w:bidi w:val="0"/>
        <w:spacing w:lineRule="auto" w:line="288" w:before="0" w:after="20"/>
        <w:ind w:left="0" w:right="0" w:hanging="360"/>
        <w:jc w:val="both"/>
        <w:rPr/>
      </w:pPr>
      <w:r>
        <w:rPr>
          <w:color w:val="19415E"/>
        </w:rPr>
        <w:t>•</w:t>
      </w:r>
      <w:r>
        <w:rPr>
          <w:rFonts w:ascii="Times New Roman;serif" w:hAnsi="Times New Roman;serif"/>
          <w:b w:val="false"/>
          <w:color w:val="000000"/>
          <w:sz w:val="20"/>
        </w:rPr>
        <w:t>other known future contractual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Share Repurchase Program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announced that its Board of Directors had authorized the repurchase of up to $50.0 million of the Company’s common stock on or before March 27, 2026. In February 2026, the Company reauthorized the 2025 Share Repurchase Program for the repurchase of up to $50.0 million of the Company's common stock through March 31, 2027. Repurchases under the Reauthorized Share Repurchase Program may be made from time to time on the open market or in privately negotiated transactions. The timing and amount of any shares repurchased will be determined by the Company’s management based on its evaluation of market conditions and other factors, including the market price of the Company’s common shares, macroeconomic environment and other investment opportunities, consistent with applicable law. The Reauthorized Share Repurchase Program may be suspended or discontinued at any time. The Inflation Reduction Act of 2022, which was enacted on August 16, 2022, imposed a nondeductible 1% excise tax on the net value of certain stock repurchases made after December 31, 2022. Excise tax accrued during the three months ended March 31, 2026 was $0.1 million.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utilized $9.1 million to repurchase 0.9 million shares at an average price of $10.21 per share, excluding commissions and excise taxes, respectively. As of March 31, 2026, the Company had $46.5 million available to repurchase shares under the Reauthorized Share Repurchase Program.</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Senior Unsecured Note Repurchase</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May 2025, the Board of Directors authorized the Company to repurchase up to $30.0 million aggregate principal amount of the Company’s </w:t>
      </w:r>
      <w:r>
        <w:rPr>
          <w:rFonts w:ascii="Times New Roman;serif" w:hAnsi="Times New Roman;serif"/>
          <w:b w:val="false"/>
          <w:color w:val="000000"/>
          <w:sz w:val="20"/>
          <w:shd w:fill="FFFFFF" w:val="clear"/>
        </w:rPr>
        <w:t>Senior Unsecured Notes</w:t>
      </w:r>
      <w:r>
        <w:rPr>
          <w:rFonts w:ascii="Times New Roman;serif" w:hAnsi="Times New Roman;serif"/>
          <w:b w:val="false"/>
          <w:color w:val="000000"/>
          <w:sz w:val="20"/>
        </w:rPr>
        <w:t xml:space="preserve">. The Company may seek to opportunistically use this authority to repurchase its Senior Unsecured Notes in open market purchases, privately negotiated transactions or otherwise. Any such repurchases will depend upon prevailing market conditions, our liquidity requirements, contractual restrictions, applicable securities law and other factors. The Company did not have any principal repurchases of its Senior Unsecured Notes during the three months ended March 31, 2026. As of March 31, 2026, we had $19.7 million available to repurchase additional Senior Unsecured Notes. </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Future Contractual Obligations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future contractual obligations as of March 31, 2026 primarily included long-term obligations related to our outstanding borrowings under our Prior Term Loan Agreement, which was repaid in April 2026 with proceeds from the Term Loan Agreement, and the Senior Unsecured Notes, as well as lease arrangements and purchase commitments. As of March 31, 2026, the Company had $589.7 million of fixed and variable rate debt with varying maturities. See Note 8, “Debt” in the Notes to Condensed Consolidated Financial Statements in Part I, Item 1, of this Form 10-Q for further discussion.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amounts reflect future unconditional payments and are based on the terms of the relevant agreements, appropriate classification of items under GAAP currently in effect and certain assumptions such as interest rates. Future events could cause actual payments to differ from these amounts.</w:t>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Cash Flows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cash flows for the three months ended March 31, 2026 and 2025:</w:t>
      </w:r>
    </w:p>
    <w:tbl>
      <w:tblPr>
        <w:tblW w:w="8952" w:type="dxa"/>
        <w:jc w:val="left"/>
        <w:tblInd w:w="0" w:type="dxa"/>
        <w:tblLayout w:type="fixed"/>
        <w:tblCellMar>
          <w:top w:w="28" w:type="dxa"/>
          <w:left w:w="28" w:type="dxa"/>
          <w:bottom w:w="28" w:type="dxa"/>
          <w:right w:w="28" w:type="dxa"/>
        </w:tblCellMar>
      </w:tblPr>
      <w:tblGrid>
        <w:gridCol w:w="2293"/>
        <w:gridCol w:w="2010"/>
        <w:gridCol w:w="2026"/>
        <w:gridCol w:w="253"/>
        <w:gridCol w:w="704"/>
        <w:gridCol w:w="131"/>
        <w:gridCol w:w="131"/>
        <w:gridCol w:w="131"/>
        <w:gridCol w:w="131"/>
        <w:gridCol w:w="253"/>
        <w:gridCol w:w="704"/>
        <w:gridCol w:w="185"/>
      </w:tblGrid>
      <w:tr>
        <w:trPr/>
        <w:tc>
          <w:tcPr>
            <w:tcW w:w="2293"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623" w:type="dxa"/>
            <w:gridSpan w:val="9"/>
            <w:tcBorders/>
            <w:shd w:fill="19415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Three Months Ended March 31,</w:t>
            </w:r>
          </w:p>
        </w:tc>
      </w:tr>
      <w:tr>
        <w:trPr/>
        <w:tc>
          <w:tcPr>
            <w:tcW w:w="6329"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FFFFFF"/>
                <w:sz w:val="20"/>
              </w:rPr>
            </w:pPr>
            <w:r>
              <w:rPr>
                <w:rFonts w:ascii="Times New Roman;serif" w:hAnsi="Times New Roman;serif"/>
                <w:b w:val="false"/>
                <w:i/>
                <w:color w:val="FFFFFF"/>
                <w:sz w:val="20"/>
              </w:rPr>
              <w:t>(in millions)</w:t>
            </w:r>
          </w:p>
        </w:tc>
        <w:tc>
          <w:tcPr>
            <w:tcW w:w="1088"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2026</w:t>
            </w:r>
          </w:p>
        </w:tc>
        <w:tc>
          <w:tcPr>
            <w:tcW w:w="393"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2025</w:t>
            </w:r>
          </w:p>
        </w:tc>
      </w:tr>
      <w:tr>
        <w:trPr/>
        <w:tc>
          <w:tcPr>
            <w:tcW w:w="6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Operating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for the three months ended March 31, 2026 increased $22.6 million as compared with the three months ended March 31, 2025. The increase was primarily driven by lower net income and a prior year non-cash impairment charge of $12.2 million related to the prior year held-for-sale write-down on certain Bioservices long-lived assets, partially offset by a decrease in cash used for accounts receivable.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Investing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for the three months ended March 31, 2026 decreased $61.9 million from net cash provided activities for three months ended March 31, 2025. The decrease was primarily attributable to prior year proceeds from the sale of property, plant and equipment, including proceeds from the sale of our Baltimore-Bayview facility to Syngene and milestone payments received related to the sale of our travel health business to Bavarian Nordic, partially offset by the purchase of a note receivable in the prior year. </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Financing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for the three months ended March 31, 2026 increased $11.0 million as compared with the three months ended March 31, 2025. The increase was primarily driven by increases in the purchases of treasury stock and taxes paid for stock-based compensation activity. </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Uncertainties and Trends Affecting Funding Requirements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to continue to fund our short-term and long-term anticipated operating expenses, capital expenditures and debt service requirements, any future debt repurchases and any future repurchases of our common stock from the following sources: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existing cash and cash equivalents;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net proceeds from the sale of our products and Bioservices;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 xml:space="preserve">development contracts and grant funding; </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proceeds from potential asset sales;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our Term Loan Agreement and Revolving Loans.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numerous risks and uncertainties associated with product sales and with the development and commercialization of our product candidates. We may seek additional external financing to provide additional financial flexibility. Our future capital requirements will depend on many factors, including (but not limited to):</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the level, timing and cost of product sales and services sales;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the extent to which we acquire or invest in and integrate companies, businesses, products or technologies;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the acquisition of new facilities and capital improvements to new or existing facilities;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the payment obligations under our indebtedness;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the scope, progress, results and costs of our development activities;</w:t>
      </w:r>
    </w:p>
    <w:p>
      <w:pPr>
        <w:pStyle w:val="TextBody"/>
        <w:bidi w:val="0"/>
        <w:spacing w:lineRule="auto" w:line="288" w:before="0" w:after="80"/>
        <w:ind w:left="0" w:right="0" w:hanging="360"/>
        <w:jc w:val="both"/>
        <w:rPr/>
      </w:pPr>
      <w:r>
        <w:rPr>
          <w:color w:val="19415E"/>
        </w:rPr>
        <w:t>•</w:t>
      </w:r>
      <w:r>
        <w:rPr>
          <w:rFonts w:ascii="Times New Roman;serif" w:hAnsi="Times New Roman;serif"/>
          <w:b w:val="false"/>
          <w:color w:val="000000"/>
          <w:sz w:val="20"/>
        </w:rPr>
        <w:t>our ability to obtain funding from collaborative partners, government entities and non-governmental organizations for our development programs; and</w:t>
      </w:r>
    </w:p>
    <w:p>
      <w:pPr>
        <w:pStyle w:val="TextBody"/>
        <w:bidi w:val="0"/>
        <w:spacing w:lineRule="auto" w:line="288" w:before="0" w:after="180"/>
        <w:ind w:left="0" w:right="0" w:hanging="360"/>
        <w:jc w:val="both"/>
        <w:rPr/>
      </w:pPr>
      <w:r>
        <w:rPr>
          <w:color w:val="19415E"/>
        </w:rPr>
        <w:t>•</w:t>
      </w:r>
      <w:r>
        <w:rPr>
          <w:rFonts w:ascii="Times New Roman;serif" w:hAnsi="Times New Roman;serif"/>
          <w:b w:val="false"/>
          <w:color w:val="000000"/>
          <w:sz w:val="20"/>
        </w:rPr>
        <w:t>the costs of commercialization activities, including product marketing, sales and distribution.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our capital resources are insufficient to meet our future capital requirements, we will need to finance our cash needs through public or private equity or debt offerings, bank loans, collaboration and licensing arrangements, cost reductions, assets sales or a combination of these options.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raise funds by issuing equity securities, our stockholders may experience dilution. Public or bank debt financing, if available, may involve agreements that include covenants, like those contained in our Senior Unsecured Notes, our Term Loan Agreement and our Revolving Credit Agreement, which could limit or restrict our ability to take specific actions, such as incurring additional debt, making capital expenditures, pursuing acquisition opportunities, buying back shares or declaring dividends. If we raise funds through collaboration and licensing arrangements with third parties, it may be necessary to relinquish valuable rights to our technologies or product candidates or grant licenses on terms that may not be favorable to us.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Economic conditions, including market volatility and adverse impacts on financial markets, may make it more difficult to obtain financing on attractive terms, or at all. Any new debt funding, if available, may be on terms less favorable to us than our Senior Unsecured Notes, our Credit Agreement or our Revolving Credit Agreement. If financing is unavailable or lost, our business, operating results, financial condition and cash flows would be adversely affected, and we could be forced to delay, reduce the scope of or eliminate many of our planned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3. QUANTITATIVE AND QUALITATIVE DISCLOSURES ABOUT MARKET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a discussion of additional risks arising from our operations, see the Company’s Annual Report on Form 10-K for the year ended December 31, 2025, under the heading “Item 1A. Risk Factors” in addition to updates contained in “Item 1A. Risk Factors” of this Quarterly Report on Form 10-Q. </w:t>
      </w:r>
    </w:p>
    <w:p>
      <w:pPr>
        <w:pStyle w:val="TextBody"/>
        <w:bidi w:val="0"/>
        <w:spacing w:lineRule="auto" w:line="288" w:before="0" w:after="180"/>
        <w:jc w:val="both"/>
        <w:rPr>
          <w:rFonts w:ascii="Times New Roman;serif" w:hAnsi="Times New Roman;serif"/>
          <w:b/>
          <w:color w:val="19415E"/>
          <w:sz w:val="20"/>
        </w:rPr>
      </w:pPr>
      <w:r>
        <w:rPr>
          <w:rFonts w:ascii="Times New Roman;serif" w:hAnsi="Times New Roman;serif"/>
          <w:b/>
          <w:color w:val="19415E"/>
          <w:sz w:val="20"/>
        </w:rPr>
        <w:t>Market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interest rate and foreign currency market risk. Because of the short-term maturities of our cash and cash equivalents, we believe that an increase in market rates would likely not have a significant impact on the realized value of our investments.</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Interest rate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debt with a mix of fixed and variable rates of interest and we are satisfied with the current fix-float mix of the Company's debt portfolio. Floating rate debt carries interest based generally on the eurocurrency rate, plus an applicable margin. Increases in interest rates could result in an increase in interest payments for our floating rate debt. See Note 8, "Debt" in the Notes to Condensed Consolidated Financial Statements in Part I, Item 1, of this Form 10-Q.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may use derivative instruments to manage our interest rate risk and market risk exposure.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assessed our exposure to changes in interest rates by analyzing the sensitivity to our operating results assuming various changes in market interest rates. A hypothetical increase of one percentage point in the SOFR rate as of March 31, 2026 would increase our interest expense by approximately $1.5 million annually.</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Foreign currency exchange rate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exposure to foreign currency exchange rate fluctuations worldwide and primarily with respect to the Euro, Canadian dollar, Singapore dollar, Swiss franc, British pound and Danish krone. We manage our foreign currency exchange rate risk primarily by either entering into foreign currency hedging transactions or incurring operating expenses in the local currency in the countries in which we operate, to the extent practical. We currently do not hedge all of our foreign currency exchange exposure and the movement of foreign currency exchange rates could have an adverse or positive impact on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4. CONTROLS AND PROCEDURES</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Evaluation of disclosure controls and procedures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of March 31, 2026. The term "disclosure controls and procedures," as defined in Rules 13a-15(e) and 15d-15(e) under the Securities Exchange Act of 1934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chief executive officer and chief financial officer concluded that, as of such date, our disclosure controls and procedures were effective at the reasonable assurance level.</w:t>
      </w:r>
    </w:p>
    <w:p>
      <w:pPr>
        <w:pStyle w:val="TextBody"/>
        <w:bidi w:val="0"/>
        <w:spacing w:lineRule="auto" w:line="288" w:before="0" w:after="180"/>
        <w:ind w:left="0" w:right="0" w:hanging="360"/>
        <w:jc w:val="both"/>
        <w:rPr>
          <w:rFonts w:ascii="Times New Roman;serif" w:hAnsi="Times New Roman;serif"/>
          <w:b/>
          <w:color w:val="19415E"/>
          <w:sz w:val="20"/>
        </w:rPr>
      </w:pPr>
      <w:r>
        <w:rPr>
          <w:rFonts w:ascii="Times New Roman;serif" w:hAnsi="Times New Roman;serif"/>
          <w:b/>
          <w:color w:val="19415E"/>
          <w:sz w:val="20"/>
        </w:rPr>
        <w:t>Changes in internal control over financial reporting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not been any changes in our internal control over financial reporting, as defined in Rules 13a-15(f) and 15d-15(f) under the Exchange Act that occurred during the three months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1. LEGAL PROCEEDINGS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See Note 14, “Litigation” in the Notes to Condensed Consolidated Financial Statements in Part I, Item 1, of this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1A. RISK FACTORS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Annual Report on Form 10-K for the year ended December 31, 2025 contains disclosure regarding the risks and uncertainties related to the Company’s business under the heading Item 1A. Risk Factors. There have been no material changes to the Company’s risk factors as presented in the Company’s 2025 Form 10-K, except as described below:</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We are currently dependent on third-party manufacturers for the manufacture of all or part of most Emergent products. Failure of such manufacturers to maintain regulatory compliance may be expensive and time-consuming and may cause interruptions to our supply of our products to customers.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currently dependent on third-party manufacturers for the manufacture of all or part of most Emergent products. Certain of our third-party manufacturers constitute the sole source of manufacture of drug product, drug substance, components and raw materials. We have a limited ability to control the costs or the manufacturing process related to the third-party manufacture of our products. Increases in the prices we pay our manufacturers, interruptions in the supply of our products, lapses in quality, or the inability to supply finished product could adversely impact our margins, profitability and cash flows. In addition, we are reliant on our third-party manufacturers to maintain the facilities at which they manufacture our products in compliance with all FDA and other applicable regulatory requirements. If these manufacturers fail to maintain compliance with FDA or other applicable regulatory requirements, they could be ordered to cease manufacturing, which could have a materially adverse impact on our revenues and operating results, including the inability to supply products for sale to our customers. We may be forced to consider entering into additional or replacement manufacturing arrangements with other third-party manufacturers. Because of contractual restraints and the lead-time necessary to obtain FDA approval of a new manufacturer, replacement of any of our current manufacturers may be expensive and time-consuming and may cause interruptions to our supply of these products to our customers. </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Political or social factors may delay or impair our ability to market and sell our products and may require us to spend significant management time and financial resources to address these issues.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Products developed to counter the potential impact of PHTs are subject to changing political and social environments. The political responses and social awareness of the risks of these threats on military personnel or civilians and the level of emphasis placed on such risks by the USG may vary over time. If the threat of terrorism were to decline, then the public perception of the risk on public health and safety may be reduced. This perception, as well as political or social pressures (including as a result of negative publicity we have received based on our longstanding ties to the USG), could delay or cause resistance to bringing our products in development to market or limit pricing or purchases of our products, any of which could negatively affect our revenues and our business, financial condition, operating results and cash flows.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substantial delays or cancellations of purchases could result from protests or challenges from third parties. Lawsuits brought against us by third parties or activists, even if not successful, could require us to spend significant management time and financial resources defending the related litigation and could potentially damage the public's perception of us and our products. Any publicity campaigns or other negative publicity may adversely affect the degree of market acceptance of our MCMs and thereby limit the demand for our products, which would adversely affect our business, financial condition, operating results and cash flows. Further, to the extent the USG exerts a preference for U.S. made products, the USG may elect to reduce or eliminate purchases of products that we currently make in our Winnipeg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2. UNREGISTERED SALES OF EQUITY SECURITIES, USE OF PROCEEDS, AND ISSUER PURCHASES OF EQUITY SECURITIES</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Recent sales of unregistered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Use of proceeds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180"/>
        <w:ind w:left="0" w:right="0" w:hanging="360"/>
        <w:jc w:val="left"/>
        <w:rPr>
          <w:rFonts w:ascii="Times New Roman;serif" w:hAnsi="Times New Roman;serif"/>
          <w:b/>
          <w:color w:val="19415E"/>
          <w:sz w:val="20"/>
        </w:rPr>
      </w:pPr>
      <w:r>
        <w:rPr>
          <w:rFonts w:ascii="Times New Roman;serif" w:hAnsi="Times New Roman;serif"/>
          <w:b/>
          <w:color w:val="19415E"/>
          <w:sz w:val="20"/>
        </w:rPr>
        <w:t>Purchases of equity securities</w:t>
      </w:r>
    </w:p>
    <w:p>
      <w:pPr>
        <w:pStyle w:val="TextBody"/>
        <w:bidi w:val="0"/>
        <w:spacing w:lineRule="auto" w:line="288" w:before="0" w:after="180"/>
        <w:jc w:val="left"/>
        <w:rPr>
          <w:rFonts w:ascii="Times New Roman;serif" w:hAnsi="Times New Roman;serif"/>
          <w:b w:val="false"/>
          <w:i/>
          <w:color w:val="19415E"/>
          <w:sz w:val="20"/>
          <w:u w:val="single"/>
        </w:rPr>
      </w:pPr>
      <w:r>
        <w:rPr>
          <w:rFonts w:ascii="Times New Roman;serif" w:hAnsi="Times New Roman;serif"/>
          <w:b w:val="false"/>
          <w:i/>
          <w:color w:val="19415E"/>
          <w:sz w:val="20"/>
          <w:u w:val="single"/>
        </w:rPr>
        <w:t>Share Repurchase Program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announced that its Board of Directors authorized the repurchase of up to $50.0 million of the Company’s common stock (the “2025 Share Repurchase Program”) on or before March 27, 2026. In February 2026, the Company reauthorized the 2025 Share Repurchase Program for the repurchase of up to $50.0 million of the Company's common stock (the “Reauthorized Share Repurchase Program”) through March 31, 2027. Repurchases under the Reauthorized Share Repurchase Program may be made from time to time on the open market or in privately negotiated transactions. The timing and amount of any shares repurchased will be determined by the Company’s management based on its evaluation of market conditions and other factors, including the market price of the company’s common shares, macroeconomic environment and other investment opportunities, consistent with applicable law. The Reauthorized Share Repurchase Program may be suspended or discontinued at any time.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presents information regarding shares of our common stock that we repurchased during the three months ended March 31, 2026 under the 2025 Share Repurchase Program and the Reauthorized Share Repurchase Program:</w:t>
      </w:r>
    </w:p>
    <w:tbl>
      <w:tblPr>
        <w:tblW w:w="10205" w:type="dxa"/>
        <w:jc w:val="left"/>
        <w:tblInd w:w="0" w:type="dxa"/>
        <w:tblLayout w:type="fixed"/>
        <w:tblCellMar>
          <w:top w:w="28" w:type="dxa"/>
          <w:left w:w="28" w:type="dxa"/>
          <w:bottom w:w="28" w:type="dxa"/>
          <w:right w:w="28" w:type="dxa"/>
        </w:tblCellMar>
      </w:tblPr>
      <w:tblGrid>
        <w:gridCol w:w="538"/>
        <w:gridCol w:w="409"/>
        <w:gridCol w:w="414"/>
        <w:gridCol w:w="109"/>
        <w:gridCol w:w="109"/>
        <w:gridCol w:w="109"/>
        <w:gridCol w:w="600"/>
        <w:gridCol w:w="425"/>
        <w:gridCol w:w="427"/>
        <w:gridCol w:w="109"/>
        <w:gridCol w:w="109"/>
        <w:gridCol w:w="109"/>
        <w:gridCol w:w="279"/>
        <w:gridCol w:w="816"/>
        <w:gridCol w:w="144"/>
        <w:gridCol w:w="109"/>
        <w:gridCol w:w="109"/>
        <w:gridCol w:w="109"/>
        <w:gridCol w:w="820"/>
        <w:gridCol w:w="694"/>
        <w:gridCol w:w="696"/>
        <w:gridCol w:w="109"/>
        <w:gridCol w:w="109"/>
        <w:gridCol w:w="109"/>
        <w:gridCol w:w="383"/>
        <w:gridCol w:w="1965"/>
        <w:gridCol w:w="287"/>
      </w:tblGrid>
      <w:tr>
        <w:trPr/>
        <w:tc>
          <w:tcPr>
            <w:tcW w:w="5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Issuer Purchases of Equity Securities</w:t>
            </w:r>
          </w:p>
        </w:tc>
      </w:tr>
      <w:tr>
        <w:trPr/>
        <w:tc>
          <w:tcPr>
            <w:tcW w:w="1361"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Periods</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Total Number of Shares Purchased</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FFFFFF"/>
                <w:sz w:val="19"/>
              </w:rPr>
              <w:t xml:space="preserve">Average Price Paid Per Share </w:t>
            </w:r>
            <w:r>
              <w:rPr>
                <w:rFonts w:ascii="Times New Roman;serif" w:hAnsi="Times New Roman;serif"/>
                <w:b/>
                <w:color w:val="FFFFFF"/>
                <w:sz w:val="12"/>
              </w:rPr>
              <w:t>(1)</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FFFFFF"/>
                <w:sz w:val="19"/>
              </w:rPr>
            </w:pPr>
            <w:r>
              <w:rPr>
                <w:rFonts w:ascii="Times New Roman;serif" w:hAnsi="Times New Roman;serif"/>
                <w:b/>
                <w:color w:val="FFFFFF"/>
                <w:sz w:val="19"/>
              </w:rPr>
              <w:t>Total Number of Shares Purchased as Part of Publicly Announced Plans or Programs</w:t>
            </w:r>
          </w:p>
        </w:tc>
        <w:tc>
          <w:tcPr>
            <w:tcW w:w="327" w:type="dxa"/>
            <w:gridSpan w:val="3"/>
            <w:tcBorders>
              <w:top w:val="single" w:sz="8" w:space="0" w:color="000000"/>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3"/>
            <w:tcBorders>
              <w:top w:val="single" w:sz="8" w:space="0" w:color="000000"/>
            </w:tcBorders>
            <w:shd w:fill="19415E"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FFFFFF"/>
                <w:sz w:val="19"/>
              </w:rPr>
              <w:t xml:space="preserve">Approximate Dollar Value of Shares That May Yet Be Purchased Under the Plans or Programs </w:t>
            </w:r>
            <w:r>
              <w:rPr>
                <w:rFonts w:ascii="Times New Roman;serif" w:hAnsi="Times New Roman;serif"/>
                <w:b/>
                <w:color w:val="FFFFFF"/>
                <w:sz w:val="12"/>
              </w:rPr>
              <w:t>(2)</w:t>
            </w:r>
          </w:p>
        </w:tc>
      </w:tr>
      <w:tr>
        <w:trPr/>
        <w:tc>
          <w:tcPr>
            <w:tcW w:w="1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243,507 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243,507 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21,879,879 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2026 -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267,126 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267,126 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49,660,304 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2026 -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371,791 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371,791 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46,549,346 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882,424 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882,424 </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Exclusive of commissions and nondeductible 1% excise tax, which excise was imposed pursuant to the Inflation Reduction Act of 2022.</w:t>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Dollar amounts presented are inclusive of commissions and nondeductible 1% excise tax.</w:t>
            </w:r>
          </w:p>
        </w:tc>
      </w:tr>
      <w:tr>
        <w:trPr/>
        <w:tc>
          <w:tcPr>
            <w:tcW w:w="1361" w:type="dxa"/>
            <w:gridSpan w:val="3"/>
            <w:tcBorders/>
            <w:vAlign w:val="center"/>
          </w:tcPr>
          <w:p>
            <w:pPr>
              <w:pStyle w:val="TableContents"/>
              <w:bidi w:val="0"/>
              <w:spacing w:before="0" w:after="283"/>
              <w:jc w:val="left"/>
              <w:rPr>
                <w:sz w:val="4"/>
                <w:szCs w:val="4"/>
              </w:rPr>
            </w:pPr>
            <w:r>
              <w:rPr>
                <w:sz w:val="4"/>
                <w:szCs w:val="4"/>
              </w:rPr>
            </w:r>
          </w:p>
        </w:tc>
        <w:tc>
          <w:tcPr>
            <w:tcW w:w="8844" w:type="dxa"/>
            <w:gridSpan w:val="2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3. DEFAULTS UPON SENIOR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4. MINE SAFETY DISCLOSURES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5. OTHER INFORMATION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none of the Company's directors or officers (as defined in Exchange Act Rule 16a-1(f)) adopted or terminated any written plans for the sale of the Company’s common stock intended to satisfy the affirmative defense conditions of Exchange Act Rule 10b5-1(c) or non-Rule 10b5-1 trading arrangement (as such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19415E"/>
          <w:sz w:val="20"/>
        </w:rPr>
      </w:pPr>
      <w:r>
        <w:rPr>
          <w:rFonts w:ascii="Times New Roman;serif" w:hAnsi="Times New Roman;serif"/>
          <w:b/>
          <w:color w:val="19415E"/>
          <w:sz w:val="20"/>
        </w:rPr>
        <w:t>ITEM 6. EXHIBITS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exhibits required to be filed by Item 601 of Regulation S-K are listed in the Exhibit Index immediately preceding the exhibits 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0"/>
        <w:jc w:val="left"/>
        <w:rPr>
          <w:rFonts w:ascii="Times New Roman;serif" w:hAnsi="Times New Roman;serif"/>
          <w:b/>
          <w:color w:val="19415E"/>
          <w:sz w:val="20"/>
        </w:rPr>
      </w:pPr>
      <w:r>
        <w:rPr>
          <w:rFonts w:ascii="Times New Roman;serif" w:hAnsi="Times New Roman;serif"/>
          <w:b/>
          <w:color w:val="19415E"/>
          <w:sz w:val="20"/>
        </w:rPr>
        <w:t>Exhibit Index</w:t>
      </w:r>
    </w:p>
    <w:tbl>
      <w:tblPr>
        <w:tblW w:w="10205" w:type="dxa"/>
        <w:jc w:val="left"/>
        <w:tblInd w:w="0" w:type="dxa"/>
        <w:tblLayout w:type="fixed"/>
        <w:tblCellMar>
          <w:top w:w="28" w:type="dxa"/>
          <w:left w:w="28" w:type="dxa"/>
          <w:bottom w:w="28" w:type="dxa"/>
          <w:right w:w="28" w:type="dxa"/>
        </w:tblCellMar>
      </w:tblPr>
      <w:tblGrid>
        <w:gridCol w:w="277"/>
        <w:gridCol w:w="244"/>
        <w:gridCol w:w="245"/>
        <w:gridCol w:w="3143"/>
        <w:gridCol w:w="3056"/>
        <w:gridCol w:w="3084"/>
        <w:gridCol w:w="156"/>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143"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FFFFFF"/>
                <w:sz w:val="19"/>
              </w:rPr>
            </w:pPr>
            <w:r>
              <w:rPr>
                <w:rFonts w:ascii="Times New Roman;serif" w:hAnsi="Times New Roman;serif"/>
                <w:b/>
                <w:color w:val="FFFFFF"/>
                <w:sz w:val="19"/>
              </w:rPr>
              <w:t>Exhibit</w:t>
              <w:br/>
              <w:t>Number</w:t>
            </w:r>
          </w:p>
        </w:tc>
        <w:tc>
          <w:tcPr>
            <w:tcW w:w="9283" w:type="dxa"/>
            <w:gridSpan w:val="3"/>
            <w:tcBorders/>
            <w:shd w:fill="19415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FFFFFF"/>
                <w:sz w:val="19"/>
              </w:rPr>
            </w:pPr>
            <w:r>
              <w:rPr>
                <w:rFonts w:ascii="Times New Roman;serif" w:hAnsi="Times New Roman;serif"/>
                <w:b/>
                <w:color w:val="FFFFFF"/>
                <w:sz w:val="19"/>
              </w:rPr>
              <w:t>Description</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2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Credit Agreement dated April 16, 2026, by and among Emergent BioSolutions Inc., the guarantors party thereto, the lenders party thereto and OrbiMed Royalty &amp; Credit Opportunity V LP, as administrative agent (filed as Exhibit 10.1 to the Company’s Current Report on Form 8-K filed April 17, 2026).</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2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Amendment No. 1 to Credit Agreement dated April 16, 2026 by and among Emergent BioSolutions Inc. and the other borrowers party thereto, the lenders party thereto and Wells Fargo Bank, National Association, as administrative agent (filed as Exhibit 10.2 to the Company’s Current Report on Form 8-K filed April 17, 2026).</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 #</w:t>
            </w:r>
          </w:p>
        </w:tc>
        <w:tc>
          <w:tcPr>
            <w:tcW w:w="92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311-papacert033126.htm">
              <w:r>
                <w:rPr>
                  <w:rStyle w:val="InternetLink"/>
                  <w:rFonts w:ascii="Times New Roman;serif" w:hAnsi="Times New Roman;serif"/>
                  <w:b w:val="false"/>
                  <w:color w:val="0000FF"/>
                  <w:sz w:val="20"/>
                  <w:u w:val="single"/>
                </w:rPr>
                <w:t>Certification of the Chief Executive Officer, pursuant to Exchange Act rule 13a-14(a)</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 #</w:t>
            </w:r>
          </w:p>
        </w:tc>
        <w:tc>
          <w:tcPr>
            <w:tcW w:w="92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312-lindahlcert033126.htm">
              <w:r>
                <w:rPr>
                  <w:rStyle w:val="InternetLink"/>
                  <w:rFonts w:ascii="Times New Roman;serif" w:hAnsi="Times New Roman;serif"/>
                  <w:b w:val="false"/>
                  <w:color w:val="0000FF"/>
                  <w:sz w:val="20"/>
                  <w:u w:val="single"/>
                </w:rPr>
                <w:t>Certification of the Chief Financial Officer pursuant to Exchange Act Rule 13a-14(a).</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 #</w:t>
            </w:r>
          </w:p>
        </w:tc>
        <w:tc>
          <w:tcPr>
            <w:tcW w:w="92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321-papacert033126.htm">
              <w:r>
                <w:rPr>
                  <w:rStyle w:val="InternetLink"/>
                  <w:rFonts w:ascii="Times New Roman;serif" w:hAnsi="Times New Roman;serif"/>
                  <w:b w:val="false"/>
                  <w:color w:val="0000FF"/>
                  <w:sz w:val="20"/>
                  <w:u w:val="single"/>
                </w:rPr>
                <w:t>Certification of the Chief Executive Officer pursuant to 18 U.S.C. Section 1350, as adopted pursuant to Section 906 of the Sarbanes-Oxley Act of 2002.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 #</w:t>
            </w:r>
          </w:p>
        </w:tc>
        <w:tc>
          <w:tcPr>
            <w:tcW w:w="92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322-lindahlcert033126.htm">
              <w:r>
                <w:rPr>
                  <w:rStyle w:val="InternetLink"/>
                  <w:rFonts w:ascii="Times New Roman;serif" w:hAnsi="Times New Roman;serif"/>
                  <w:b w:val="false"/>
                  <w:color w:val="0000FF"/>
                  <w:sz w:val="20"/>
                  <w:u w:val="single"/>
                </w:rPr>
                <w:t>Certification of the Chief Financial Officer pursuant to 18 U.S.C. Section 1350, as adopted pursuant to Section 906 of the Sarbanes-Oxley Act of 2002.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 #</w:t>
            </w:r>
          </w:p>
        </w:tc>
        <w:tc>
          <w:tcPr>
            <w:tcW w:w="9283"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financial information related to the Company’s Quarterly Report on Form 10-Q for the quarter ended March 31, 2026, formatted in iXBRL (Inline Extensible Business Reporting Language): (i) the Condensed Consolidated Balance Sheets, (ii) the Condensed Consolidated Statements of Operations, (iii) the Condensed Consolidated Statements of Comprehensive Income, (iv) the Condensed Consolidated Statements of Cash Flows, (v) the Condensed Consolidated Statement of Changes in Stockholders' Equity; and (vi) the related Notes to the Condensed Consolidated Financial Statements.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 #</w:t>
            </w:r>
          </w:p>
        </w:tc>
        <w:tc>
          <w:tcPr>
            <w:tcW w:w="92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iXBRL and contained in Exhibit 101.</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9283"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9283"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180"/>
        <w:jc w:val="center"/>
        <w:rPr>
          <w:rFonts w:ascii="Times New Roman;serif" w:hAnsi="Times New Roman;serif"/>
          <w:b/>
          <w:color w:val="19415E"/>
          <w:sz w:val="20"/>
        </w:rPr>
      </w:pPr>
      <w:r>
        <w:rPr>
          <w:rFonts w:ascii="Times New Roman;serif" w:hAnsi="Times New Roman;serif"/>
          <w:b/>
          <w:color w:val="19415E"/>
          <w:sz w:val="20"/>
        </w:rPr>
        <w:t>SIGNATURES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155" w:type="dxa"/>
        <w:jc w:val="left"/>
        <w:tblInd w:w="0" w:type="dxa"/>
        <w:tblLayout w:type="fixed"/>
        <w:tblCellMar>
          <w:top w:w="28" w:type="dxa"/>
          <w:left w:w="28" w:type="dxa"/>
          <w:bottom w:w="28" w:type="dxa"/>
          <w:right w:w="28" w:type="dxa"/>
        </w:tblCellMar>
      </w:tblPr>
      <w:tblGrid>
        <w:gridCol w:w="1330"/>
        <w:gridCol w:w="1169"/>
        <w:gridCol w:w="1656"/>
      </w:tblGrid>
      <w:tr>
        <w:trPr/>
        <w:tc>
          <w:tcPr>
            <w:tcW w:w="133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EMERGENT BIOSOLUTIONS INC.</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/s/JOSEPH C. PAPA</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Joseph C. Papa</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Date: April 30, 2026</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/s/RICHARD S. LINDAHL</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Richard S. Lindahl</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Date: April 30,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right"/>
        <w:rPr>
          <w:rFonts w:ascii="Franklin Gothic Book;sans-serif" w:hAnsi="Franklin Gothic Book;sans-serif"/>
          <w:b/>
          <w:color w:val="000000"/>
          <w:sz w:val="20"/>
        </w:rPr>
      </w:pPr>
      <w:r>
        <w:rPr>
          <w:rFonts w:ascii="Franklin Gothic Book;sans-serif" w:hAnsi="Franklin Gothic Book;sans-serif"/>
          <w:b/>
          <w:color w:val="000000"/>
          <w:sz w:val="20"/>
        </w:rPr>
        <w:t>EXHIBIT 31.1</w:t>
      </w:r>
    </w:p>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CERTIFICATION</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 Joseph C. Papa, certify that: </w: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(1)    I have reviewed this Quarterly Report on Form 10-Q of Emergent BioSolutions Inc.;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76"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Date: April 30, 2026 </w:t>
      </w:r>
    </w:p>
    <w:p>
      <w:pPr>
        <w:pStyle w:val="TextBody"/>
        <w:bidi w:val="0"/>
        <w:spacing w:before="0" w:after="0"/>
        <w:jc w:val="left"/>
        <w:rPr/>
      </w:pPr>
      <w:r>
        <w:rPr/>
      </w:r>
    </w:p>
    <w:p>
      <w:pPr>
        <w:pStyle w:val="TextBody"/>
        <w:bidi w:val="0"/>
        <w:spacing w:lineRule="auto" w:line="276" w:before="0" w:after="0"/>
        <w:jc w:val="left"/>
        <w:rPr>
          <w:rFonts w:ascii="Franklin Gothic Book;sans-serif" w:hAnsi="Franklin Gothic Book;sans-serif"/>
          <w:b w:val="false"/>
          <w:color w:val="000000"/>
          <w:sz w:val="20"/>
          <w:u w:val="single"/>
        </w:rPr>
      </w:pPr>
      <w:r>
        <w:rPr>
          <w:rFonts w:ascii="Franklin Gothic Book;sans-serif" w:hAnsi="Franklin Gothic Book;sans-serif"/>
          <w:b w:val="false"/>
          <w:color w:val="000000"/>
          <w:sz w:val="20"/>
          <w:u w:val="single"/>
        </w:rPr>
        <w:t>/s/Joseph C. Papa</w:t>
      </w:r>
    </w:p>
    <w:p>
      <w:pPr>
        <w:pStyle w:val="TextBody"/>
        <w:bidi w:val="0"/>
        <w:spacing w:lineRule="auto" w:line="276"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Joseph C. Papa</w:t>
      </w:r>
    </w:p>
    <w:p>
      <w:pPr>
        <w:pStyle w:val="TextBody"/>
        <w:bidi w:val="0"/>
        <w:spacing w:lineRule="auto" w:line="276"/>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President and 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Franklin Gothic Book;sans-serif" w:hAnsi="Franklin Gothic Book;sans-serif"/>
          <w:b/>
          <w:color w:val="000000"/>
          <w:sz w:val="20"/>
        </w:rPr>
      </w:pPr>
      <w:r>
        <w:rPr>
          <w:rFonts w:ascii="Franklin Gothic Book;sans-serif" w:hAnsi="Franklin Gothic Book;sans-serif"/>
          <w:b/>
          <w:color w:val="000000"/>
          <w:sz w:val="20"/>
        </w:rPr>
        <w:t>EXHIBIT 31.2</w:t>
      </w:r>
    </w:p>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CERTIFICATION</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 Richard S. Lindahl, certify that: </w: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(1)    I have reviewed this Quarterly Report on Form 10-Q of Emergent BioSolutions Inc.;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Date: April 30, 2026</w:t>
      </w:r>
    </w:p>
    <w:p>
      <w:pPr>
        <w:pStyle w:val="TextBody"/>
        <w:bidi w:val="0"/>
        <w:spacing w:before="0" w:after="2"/>
        <w:jc w:val="left"/>
        <w:rPr/>
      </w:pPr>
      <w:r>
        <w:rPr/>
      </w:r>
    </w:p>
    <w:p>
      <w:pPr>
        <w:pStyle w:val="TextBody"/>
        <w:bidi w:val="0"/>
        <w:spacing w:lineRule="auto" w:line="300" w:before="0" w:after="2"/>
        <w:jc w:val="left"/>
        <w:rPr>
          <w:rFonts w:ascii="Franklin Gothic Book;sans-serif" w:hAnsi="Franklin Gothic Book;sans-serif"/>
          <w:b w:val="false"/>
          <w:color w:val="000000"/>
          <w:sz w:val="20"/>
          <w:u w:val="single"/>
        </w:rPr>
      </w:pPr>
      <w:r>
        <w:rPr>
          <w:rFonts w:ascii="Franklin Gothic Book;sans-serif" w:hAnsi="Franklin Gothic Book;sans-serif"/>
          <w:b w:val="false"/>
          <w:color w:val="000000"/>
          <w:sz w:val="20"/>
          <w:u w:val="single"/>
        </w:rPr>
        <w:t>/s/RICHARD S. LINDAHL</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Richard S. Lindahl</w:t>
      </w:r>
    </w:p>
    <w:p>
      <w:pPr>
        <w:pStyle w:val="TextBody"/>
        <w:bidi w:val="0"/>
        <w:spacing w:lineRule="auto" w:line="288"/>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Franklin Gothic Medium;sans-serif" w:hAnsi="Franklin Gothic Medium;sans-serif"/>
          <w:b/>
          <w:color w:val="000000"/>
          <w:sz w:val="20"/>
        </w:rPr>
      </w:pPr>
      <w:r>
        <w:rPr>
          <w:rFonts w:ascii="Franklin Gothic Medium;sans-serif" w:hAnsi="Franklin Gothic Medium;sans-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CERTIFICATION PURSUANT TO 18 U.S.C. SECTION 1350, AS ADOPTED PURSUANT TO</w:t>
      </w:r>
    </w:p>
    <w:p>
      <w:pPr>
        <w:pStyle w:val="TextBody"/>
        <w:bidi w:val="0"/>
        <w:spacing w:lineRule="auto" w:line="288"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 connection with the Quarterly Report on Form 10-Q of Emergent BioSolutions Inc. (the "Company") for the period ended March 31, 2026 as filed with the Securities and Exchange Commission on the date hereof (the "Report"), the undersigned, Joseph C. Papa, President and Chief Executive Officer of the Company, hereby certifies, pursuant to 18 U.S.C. Section 1350, that:</w:t>
      </w:r>
    </w:p>
    <w:p>
      <w:pPr>
        <w:pStyle w:val="TextBody"/>
        <w:bidi w:val="0"/>
        <w:spacing w:before="0" w:after="0"/>
        <w:jc w:val="left"/>
        <w:rPr/>
      </w:pPr>
      <w:r>
        <w:rPr/>
      </w:r>
    </w:p>
    <w:p>
      <w:pPr>
        <w:pStyle w:val="TextBody"/>
        <w:bidi w:val="0"/>
        <w:spacing w:lineRule="auto" w:line="288" w:before="0" w:after="0"/>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    The Report fully complies with the requirements of Section 13(a) or 15(d) of the Securities Exchange Act of 1934;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27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Date: April 30, 2026</w: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20"/>
          <w:u w:val="single"/>
        </w:rPr>
      </w:pPr>
      <w:r>
        <w:rPr>
          <w:rFonts w:ascii="Franklin Gothic Book;sans-serif" w:hAnsi="Franklin Gothic Book;sans-serif"/>
          <w:b w:val="false"/>
          <w:color w:val="000000"/>
          <w:sz w:val="20"/>
          <w:u w:val="single"/>
        </w:rPr>
        <w:t>/s/Joseph C. Papa</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Joseph C. Papa</w:t>
      </w:r>
    </w:p>
    <w:p>
      <w:pPr>
        <w:pStyle w:val="TextBody"/>
        <w:bidi w:val="0"/>
        <w:spacing w:lineRule="auto" w:line="288"/>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President and 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45" w:before="0" w:after="0"/>
        <w:jc w:val="right"/>
        <w:rPr>
          <w:rFonts w:ascii="Franklin Gothic Medium;sans-serif" w:hAnsi="Franklin Gothic Medium;sans-serif"/>
          <w:b/>
          <w:color w:val="000000"/>
          <w:sz w:val="20"/>
        </w:rPr>
      </w:pPr>
      <w:r>
        <w:rPr>
          <w:rFonts w:ascii="Franklin Gothic Medium;sans-serif" w:hAnsi="Franklin Gothic Medium;sans-serif"/>
          <w:b/>
          <w:color w:val="000000"/>
          <w:sz w:val="20"/>
        </w:rPr>
        <w:t>EXHIBIT 32.2</w:t>
      </w:r>
    </w:p>
    <w:p>
      <w:pPr>
        <w:pStyle w:val="TextBody"/>
        <w:bidi w:val="0"/>
        <w:spacing w:lineRule="auto" w:line="345"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CERTIFICATION PURSUANT TO 18 U.S.C. SECTION 1350, AS ADOPTED PURSUANT TO</w:t>
      </w:r>
    </w:p>
    <w:p>
      <w:pPr>
        <w:pStyle w:val="TextBody"/>
        <w:bidi w:val="0"/>
        <w:spacing w:lineRule="auto" w:line="345"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In connection with the Quarterly Report on Form 10-Q of Emergent BioSolutions Inc. (the "Company") for the period ended March 31, 2026 as filed with the Securities and Exchange Commission on the date hereof (the "Report"), the undersigned, Richard S. Lindahl, Chief Financial Officer of the Company, hereby certifies, pursuant to 18 U.S.C. Section 1350, that: </w:t>
      </w:r>
    </w:p>
    <w:p>
      <w:pPr>
        <w:pStyle w:val="TextBody"/>
        <w:bidi w:val="0"/>
        <w:spacing w:before="0" w:after="0"/>
        <w:jc w:val="left"/>
        <w:rPr/>
      </w:pPr>
      <w:r>
        <w:rPr/>
      </w:r>
    </w:p>
    <w:p>
      <w:pPr>
        <w:pStyle w:val="TextBody"/>
        <w:bidi w:val="0"/>
        <w:spacing w:lineRule="auto" w:line="288" w:before="0" w:after="0"/>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(1)    The Report fully complies with the requirements of Section 13(a) or 15(d) of the Securities Exchange Act of 1934;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345"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Date: April 30, 2026</w:t>
      </w:r>
    </w:p>
    <w:p>
      <w:pPr>
        <w:pStyle w:val="TextBody"/>
        <w:bidi w:val="0"/>
        <w:spacing w:before="0" w:after="0"/>
        <w:jc w:val="left"/>
        <w:rPr/>
      </w:pPr>
      <w:r>
        <w:rPr/>
      </w:r>
    </w:p>
    <w:p>
      <w:pPr>
        <w:pStyle w:val="TextBody"/>
        <w:bidi w:val="0"/>
        <w:spacing w:lineRule="auto" w:line="345" w:before="0" w:after="0"/>
        <w:jc w:val="left"/>
        <w:rPr>
          <w:rFonts w:ascii="Franklin Gothic Book;sans-serif" w:hAnsi="Franklin Gothic Book;sans-serif"/>
          <w:b w:val="false"/>
          <w:color w:val="000000"/>
          <w:sz w:val="20"/>
          <w:u w:val="single"/>
        </w:rPr>
      </w:pPr>
      <w:r>
        <w:rPr>
          <w:rFonts w:ascii="Franklin Gothic Book;sans-serif" w:hAnsi="Franklin Gothic Book;sans-serif"/>
          <w:b w:val="false"/>
          <w:color w:val="000000"/>
          <w:sz w:val="20"/>
          <w:u w:val="single"/>
        </w:rPr>
        <w:t>/s/RICHARD S. LINDAHL</w:t>
      </w:r>
    </w:p>
    <w:p>
      <w:pPr>
        <w:pStyle w:val="TextBody"/>
        <w:bidi w:val="0"/>
        <w:spacing w:lineRule="auto" w:line="345"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Richard S. Lindahl</w:t>
      </w:r>
    </w:p>
    <w:p>
      <w:pPr>
        <w:pStyle w:val="TextBody"/>
        <w:bidi w:val="0"/>
        <w:spacing w:lineRule="auto" w:line="345"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Chief Financial Officer</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Franklin Gothic Book">
    <w:altName w:val="sans-serif"/>
    <w:charset w:val="01"/>
    <w:family w:val="auto"/>
    <w:pitch w:val="default"/>
  </w:font>
  <w:font w:name="Franklin Gothic Medium">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67644/000136764426000038/exhibit101termloancredit.htm" TargetMode="External"/><Relationship Id="rId4" Type="http://schemas.openxmlformats.org/officeDocument/2006/relationships/hyperlink" Target="https://www.sec.gov/Archives/edgar/data/1367644/000136764426000038/exhibit102-ablcoveramend.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21306</Words>
  <Characters>119035</Characters>
  <CharactersWithSpaces>139134</CharactersWithSpaces>
  <Paragraphs>2180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