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EMERGENT BIOSOLUTIONS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4" w:type="dxa"/>
        <w:tblCellMar>
          <w:top w:w="0" w:type="dxa"/>
          <w:left w:w="0" w:type="dxa"/>
          <w:bottom w:w="0" w:type="dxa"/>
          <w:right w:w="0" w:type="dxa"/>
        </w:tblCellMar>
      </w:tblPr>
      <w:tr>
        <w:trPr>
          <w:trHeight w:val="212"/>
        </w:trPr>
        <w:tc>
          <w:tcPr>
            <w:tcW w:w="3560" w:type="dxa"/>
            <w:vAlign w:val="bottom"/>
          </w:tcPr>
          <w:p>
            <w:pPr>
              <w:jc w:val="center"/>
              <w:ind w:right="1859"/>
              <w:spacing w:after="0"/>
              <w:rPr>
                <w:sz w:val="20"/>
                <w:szCs w:val="20"/>
                <w:color w:val="auto"/>
              </w:rPr>
            </w:pPr>
            <w:r>
              <w:rPr>
                <w:rFonts w:ascii="Arial" w:cs="Arial" w:eastAsia="Arial" w:hAnsi="Arial"/>
                <w:sz w:val="18"/>
                <w:szCs w:val="18"/>
                <w:b w:val="1"/>
                <w:bCs w:val="1"/>
                <w:color w:val="auto"/>
                <w:w w:val="93"/>
              </w:rPr>
              <w:t>Delaware</w:t>
            </w:r>
          </w:p>
        </w:tc>
        <w:tc>
          <w:tcPr>
            <w:tcW w:w="2400" w:type="dxa"/>
            <w:vAlign w:val="bottom"/>
          </w:tcPr>
          <w:p>
            <w:pPr>
              <w:ind w:left="600"/>
              <w:spacing w:after="0"/>
              <w:rPr>
                <w:sz w:val="20"/>
                <w:szCs w:val="20"/>
                <w:color w:val="auto"/>
              </w:rPr>
            </w:pPr>
            <w:r>
              <w:rPr>
                <w:rFonts w:ascii="Arial" w:cs="Arial" w:eastAsia="Arial" w:hAnsi="Arial"/>
                <w:sz w:val="18"/>
                <w:szCs w:val="18"/>
                <w:b w:val="1"/>
                <w:bCs w:val="1"/>
                <w:color w:val="auto"/>
              </w:rPr>
              <w:t>001-33137</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14-1902018</w:t>
            </w:r>
          </w:p>
        </w:tc>
      </w:tr>
      <w:tr>
        <w:trPr>
          <w:trHeight w:val="148"/>
        </w:trPr>
        <w:tc>
          <w:tcPr>
            <w:tcW w:w="356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2"/>
              </w:rPr>
              <w:t>(State or other jurisdiction</w:t>
            </w:r>
          </w:p>
        </w:tc>
        <w:tc>
          <w:tcPr>
            <w:tcW w:w="240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6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5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60" w:type="dxa"/>
            <w:vAlign w:val="bottom"/>
          </w:tcPr>
          <w:p>
            <w:pPr>
              <w:jc w:val="center"/>
              <w:ind w:right="39"/>
              <w:spacing w:after="0"/>
              <w:rPr>
                <w:sz w:val="20"/>
                <w:szCs w:val="20"/>
                <w:color w:val="auto"/>
              </w:rPr>
            </w:pPr>
            <w:r>
              <w:rPr>
                <w:rFonts w:ascii="Arial" w:cs="Arial" w:eastAsia="Arial" w:hAnsi="Arial"/>
                <w:sz w:val="18"/>
                <w:szCs w:val="18"/>
                <w:b w:val="1"/>
                <w:bCs w:val="1"/>
                <w:color w:val="auto"/>
                <w:w w:val="89"/>
              </w:rPr>
              <w:t>400 Professional Drive, Suite 400</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60" w:type="dxa"/>
            <w:vAlign w:val="bottom"/>
          </w:tcPr>
          <w:p>
            <w:pPr>
              <w:jc w:val="center"/>
              <w:ind w:right="59"/>
              <w:spacing w:after="0"/>
              <w:rPr>
                <w:sz w:val="20"/>
                <w:szCs w:val="20"/>
                <w:color w:val="auto"/>
              </w:rPr>
            </w:pPr>
            <w:r>
              <w:rPr>
                <w:rFonts w:ascii="Arial" w:cs="Arial" w:eastAsia="Arial" w:hAnsi="Arial"/>
                <w:sz w:val="18"/>
                <w:szCs w:val="18"/>
                <w:b w:val="1"/>
                <w:bCs w:val="1"/>
                <w:color w:val="auto"/>
                <w:w w:val="94"/>
              </w:rPr>
              <w:t>Gaithersburg, Maryland</w:t>
            </w:r>
          </w:p>
        </w:tc>
        <w:tc>
          <w:tcPr>
            <w:tcW w:w="24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20879</w:t>
            </w:r>
          </w:p>
        </w:tc>
      </w:tr>
      <w:tr>
        <w:trPr>
          <w:trHeight w:val="186"/>
        </w:trPr>
        <w:tc>
          <w:tcPr>
            <w:tcW w:w="35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631-3200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EBS</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Extension of Senior Secured Credit Facilities</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On May 15, 2023, Emergent BioSolutions Inc. (the “Company”) entered into that certain Fourth Amendment to Amended and Restated Credit Agreement, Waiver and First Amendment to Amended and Restated Collateral Agreement (the “Credit Agreement Amendment”), among the Company, as borrower, certain subsidiaries of the Company, as guarantors, Wells Fargo Bank, National Association, as administrative agent (in such capacity, the “Administrative Agent”) and certain lenders party thereto. The Credit Agreement Amendment amends the Amended and Restated Credit Agreement, dated as of October 15, 2018, among the Company, the lenders party thereto from time to time and the Administrative Agent (as previously amended, modified and supplemented, the “Existing Credit Agreement”), relating to the Company’s senior secured credit facilities consisting of a senior revolving credit facility (the “Revolving Credit Facility”) and a senior term loan facility (the “Term Loan Facility” and together with the Revolving Credit Facility, the “Senior Secured Credit Facilities”).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Credit Agreement Amendment amends the Existing Credit Agreement to, among other things, (a) extend the maturity date of the Senior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Secured Credit Facilities from October 13, 2023 to May 15, 2025, (b) reduce the available commitments under the Revolving Credit Facility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$600.0 million to $300.0 million, (c) remove the Company’s ability to incur incremental loans and (d) amend certain mandatory prepayment triggers,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affirmative covenants, negative covenants and events of default thereunder. In connection with the Credit Agreement Amendment, the Company 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approximately $270.0 million of proceeds from the previously announced sale of its travel health business to Bavarian Nordic, which closed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15, 2023, together with approximately $217.2 million of cash on hand, to repay approximately $144.4 million in outstanding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loans under the Term Loan Facility and $342.8 million outstanding principal amount of loans under the Revolving Credit Facility.</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Credit Agreement Amendment also (w) amends the consolidated debt service coverage ratio financial covenant to require the minimum level to be 2.25 to 1.00 for the fiscal quarters ending March 31, 2024, June 30, 2024, September 30, 2024 and December 31, 2024, and then 2.50 to 1.00 for each fiscal quarter ending thereafter, (x) amends the consolidated leverage ratio to require the maximum level to be 4.50 to 1.00 for the fiscal quarter ending March 31, 2024 and each fiscal quarter ending thereafter, (y) adds minimum Consolidated EBITDA requirements and maximum capital expenditure requirements for each of the months ending April 30, 2023 through February 29, 2024 and a minimum liquidity requirement as of the end of each calendar month and (z) requires the Company to increase its liquidity by April 30, 2024 by raising at least $75.0 million of equity or unsecured indebtedness.</w:t>
      </w:r>
    </w:p>
    <w:p>
      <w:pPr>
        <w:spacing w:after="0" w:line="195"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In addition, the Credit Agreement Amendment replaces the interest rate benchmark such that borrowings under the Revolving Credit Facility and the outstanding principal amount of the Term Loan Facility shall bear interest at a rate per annum equal to (a) a rate based on SOFR, EURIBOR or CDOR plus a margin of 6.00% until March 31, 2024 and thereafter, a margin ranging from 2.75% to 4.00% depending on the Company’s consolidated leverage ratio, or (b) a base rate (which is the highest of the prime rate, the federal funds rate plus 0.50%, and a SOFR rate for an interest period of one month plus 1%) plus a margin of 5.00% until March 31, 2024 and thereafter, a margin ranging from 1.75% to 3.00% depending on the Company’s consolidated leverage ratio. In addition, the commitment fee the Company is required to pay in respect of the annual daily unused commitments under the Revolving Credit Facility shall be 0.15% to 0.40% per annum, depending on the Company’s consolidated leverage ratio.</w:t>
      </w:r>
    </w:p>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Under the Credit Agreement Amendment, the Company and the other guarantors have also agreed to provide a lien over certain assets as</w:t>
      </w:r>
    </w:p>
    <w:p>
      <w:pPr>
        <w:spacing w:after="0" w:line="3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additional collateral for the benefit of the lenders, including owned real property, equity interests of foreign subsidiaries and certain deposit accounts.</w:t>
      </w:r>
    </w:p>
    <w:p>
      <w:pPr>
        <w:spacing w:after="0" w:line="23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foregoing description of the Credit Agreement Amendment does not purport to be complete and is qualified in its entirety by reference to the full text of the Credit Agreement Amendment, a copy of which is filed herewith as Exhibit 10.1 and is incorporated herein by reference. The Credit Agreement Amendment contains representations, warranties and covenants that were made only for purposes of such agreement and as of specific dates, that are solely for the benefit of the parties to such agreement, and that may be subject to limitations agreed upon by the contracting parties. The Credit Agreement Amendment is not intended to provide investors and the public with factual information about the Company’s current state of affairs. Rather, investors and the public should look to other disclosures contained in the Company’s filings with the U.S. Securities and Exchange Commission (the “SEC”).</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Facility</w:t>
      </w:r>
    </w:p>
    <w:p>
      <w:pPr>
        <w:spacing w:after="0" w:line="11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On May 17, 2023, the Company entered into an Equity Distribution Agreement (the “Distribution Agreement”) with Evercore Group L.L.C. and RBC Capital Markets, LLC (together, the “Managers”), as sales agents, under which the Company may offer and sell its common stock, par value $0.001 per share, from time to time having an aggregate offering price of up to $150,000,000 (the “Shares”) during the term of the Distribution Agreement through the Managers. The Company will file a prospectus supplement relating to the offer and sale of the Shares pursuant to the Distribution Agreement, which will form a part of the Company’s Registration Statement on Form S-3 (File No. 333-258634), which was initially filed with the SEC and became automatically effective on August 9, 2021.</w:t>
      </w:r>
    </w:p>
    <w:p>
      <w:pPr>
        <w:spacing w:after="0" w:line="19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Under the Distribution Agreement, the Company will set the parameters for the sale of the Shares, including the number of shares to be issued, the time period during which sales are requested to be made and any minimum price below which sales may not be made. Subject to the terms and conditions of the Distribution Agreement, the Managers will use commercially reasonable efforts to sell</w:t>
      </w:r>
    </w:p>
    <w:p>
      <w:pPr>
        <w:sectPr>
          <w:pgSz w:w="11900" w:h="16838" w:orient="portrait"/>
          <w:cols w:equalWidth="0" w:num="1">
            <w:col w:w="10980"/>
          </w:cols>
          <w:pgMar w:left="440" w:top="513" w:right="479" w:bottom="1440" w:gutter="0" w:footer="0" w:header="0"/>
        </w:sectPr>
      </w:pPr>
    </w:p>
    <w:bookmarkStart w:id="2" w:name="page3"/>
    <w:bookmarkEnd w:id="2"/>
    <w:p>
      <w:pPr>
        <w:ind w:left="4"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Shares by methods deemed to be an “at the market offering” as defined in Rule 415 under the Securities Act of 1933, as amended, including sales made directly on the New York Stock Exchange or any other trading market for the Company’s stock. The Company will pay the Managers a commission of up to 3.0% of the aggregate gross proceeds of any Shares sold by the Managers, if any.</w:t>
      </w:r>
    </w:p>
    <w:p>
      <w:pPr>
        <w:spacing w:after="0" w:line="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not obligated to sell any Shares pursuant to the Distribution Agreement. The Distribution Agreement contains customary representations, warrantees and agreements between the Company and the Managers, including customary indemnification rights, including for liabilities under the Securities Act. The offering of Shares pursuant to the Distribution Agreement will terminate upon the termination of the Distribution Agreement in accordance with its terms. The Company and the Managers may terminate the Distribution Agreement at any time by providing each other with written notice.</w:t>
      </w:r>
    </w:p>
    <w:p>
      <w:pPr>
        <w:spacing w:after="0" w:line="188"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foregoing summary of the Distribution Agreement does not purport to be complete and is qualified in its entirety by reference to the full text of the Distribution Agreement, a copy of which is filed as Exhibit 10.1 hereto and is incorporated herein by reference. The Distribution Agreement contains representations, warranties and covenants that were made only for purposes of such agreement and as of specific dates, that are solely for the benefit of the parties to such agreement, and that may be subject to limitations agreed upon by the contracting parties. The Distribution Agreement is not intended to provide investors and the public with factual information about the Company’s current state of affairs. Rather, investors and the public should look to other disclosures contained in the Company’s filings with the SEC.</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legal opinion of Covington &amp; Burling LLP relating to the Shares is filed herewith as Exhibit 5.1.</w:t>
      </w:r>
    </w:p>
    <w:p>
      <w:pPr>
        <w:spacing w:after="0" w:line="37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jc w:val="both"/>
        <w:ind w:left="4" w:right="60" w:firstLine="440"/>
        <w:spacing w:after="0" w:line="277" w:lineRule="auto"/>
        <w:rPr>
          <w:sz w:val="20"/>
          <w:szCs w:val="20"/>
          <w:color w:val="auto"/>
        </w:rPr>
      </w:pPr>
      <w:r>
        <w:rPr>
          <w:rFonts w:ascii="Arial" w:cs="Arial" w:eastAsia="Arial" w:hAnsi="Arial"/>
          <w:sz w:val="18"/>
          <w:szCs w:val="18"/>
          <w:color w:val="auto"/>
        </w:rPr>
        <w:t>The information contained in Item 1.01 of this Form 8-K under the subheading “</w:t>
      </w:r>
      <w:r>
        <w:rPr>
          <w:rFonts w:ascii="Arial" w:cs="Arial" w:eastAsia="Arial" w:hAnsi="Arial"/>
          <w:sz w:val="18"/>
          <w:szCs w:val="18"/>
          <w:i w:val="1"/>
          <w:iCs w:val="1"/>
          <w:color w:val="auto"/>
        </w:rPr>
        <w:t>Amendment and Extension of Senior Secured Credit Facilities</w:t>
      </w:r>
      <w:r>
        <w:rPr>
          <w:rFonts w:ascii="Arial" w:cs="Arial" w:eastAsia="Arial" w:hAnsi="Arial"/>
          <w:sz w:val="18"/>
          <w:szCs w:val="18"/>
          <w:color w:val="auto"/>
        </w:rPr>
        <w:t>” is incorporated into this Item 2.03 by reference.</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On May 17, 2023, the Company issued a statement announcing an amendment to its Existing Credit Agreement, which is furnished as Exhibit 99.1 hereto.</w:t>
      </w:r>
    </w:p>
    <w:p>
      <w:pPr>
        <w:spacing w:after="0" w:line="170"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The information contained in this Item 7.01 shall not be deemed “filed” for the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27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5"/>
              </w:rPr>
              <w:t>Opinion of Covington &amp; Burling LLP.</w:t>
            </w:r>
          </w:p>
        </w:tc>
        <w:tc>
          <w:tcPr>
            <w:tcW w:w="1920" w:type="dxa"/>
            <w:vAlign w:val="bottom"/>
            <w:gridSpan w:val="3"/>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9660" w:type="dxa"/>
            <w:vAlign w:val="bottom"/>
            <w:gridSpan w:val="10"/>
          </w:tcPr>
          <w:p>
            <w:pPr>
              <w:spacing w:after="0"/>
              <w:rPr>
                <w:sz w:val="20"/>
                <w:szCs w:val="20"/>
                <w:color w:val="auto"/>
              </w:rPr>
            </w:pPr>
            <w:r>
              <w:rPr>
                <w:rFonts w:ascii="Arial" w:cs="Arial" w:eastAsia="Arial" w:hAnsi="Arial"/>
                <w:sz w:val="18"/>
                <w:szCs w:val="18"/>
                <w:color w:val="0000EE"/>
                <w:w w:val="91"/>
              </w:rPr>
              <w:t>Fourth Amendment to Amended and Restated Credit Agreement, Waiver and First Amendment to Amended and Restated Collateral</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Agreement, dated May 15, 2023, among Emergent BioSolutions Inc., the guarantors party thereto, the lenders party thereto, and Wells</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10"/>
          </w:tcPr>
          <w:p>
            <w:pPr>
              <w:spacing w:after="0" w:line="196" w:lineRule="exact"/>
              <w:rPr>
                <w:sz w:val="20"/>
                <w:szCs w:val="20"/>
                <w:color w:val="auto"/>
              </w:rPr>
            </w:pPr>
            <w:r>
              <w:rPr>
                <w:rFonts w:ascii="Arial" w:cs="Arial" w:eastAsia="Arial" w:hAnsi="Arial"/>
                <w:sz w:val="18"/>
                <w:szCs w:val="18"/>
                <w:color w:val="0000EE"/>
              </w:rPr>
              <w:t>Fargo Bank, National Association, as administrative agent.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9660" w:type="dxa"/>
            <w:vAlign w:val="bottom"/>
            <w:gridSpan w:val="10"/>
          </w:tcPr>
          <w:p>
            <w:pPr>
              <w:spacing w:after="0"/>
              <w:rPr>
                <w:sz w:val="20"/>
                <w:szCs w:val="20"/>
                <w:color w:val="auto"/>
              </w:rPr>
            </w:pPr>
            <w:r>
              <w:rPr>
                <w:rFonts w:ascii="Arial" w:cs="Arial" w:eastAsia="Arial" w:hAnsi="Arial"/>
                <w:sz w:val="18"/>
                <w:szCs w:val="18"/>
                <w:color w:val="0000EE"/>
                <w:w w:val="93"/>
              </w:rPr>
              <w:t>Equity Distribution Agreement, dated May 17, 2023, between Emergent BioSolutions Inc., Evercore Group L.L.C. and RBC Capital</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Markets, LLC.</w:t>
            </w:r>
          </w:p>
        </w:tc>
        <w:tc>
          <w:tcPr>
            <w:tcW w:w="846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9660" w:type="dxa"/>
            <w:vAlign w:val="bottom"/>
            <w:gridSpan w:val="10"/>
          </w:tcPr>
          <w:p>
            <w:pPr>
              <w:spacing w:after="0"/>
              <w:rPr>
                <w:sz w:val="20"/>
                <w:szCs w:val="20"/>
                <w:color w:val="auto"/>
              </w:rPr>
            </w:pPr>
            <w:r>
              <w:rPr>
                <w:rFonts w:ascii="Arial" w:cs="Arial" w:eastAsia="Arial" w:hAnsi="Arial"/>
                <w:sz w:val="18"/>
                <w:szCs w:val="18"/>
                <w:color w:val="0000EE"/>
              </w:rPr>
              <w:t>Consent of Covington &amp; Burling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80" w:type="dxa"/>
            <w:vAlign w:val="bottom"/>
            <w:gridSpan w:val="4"/>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5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Company statement issued by Emergent BioSolutions Inc. on May 17, 2023.</w:t>
            </w:r>
          </w:p>
        </w:tc>
        <w:tc>
          <w:tcPr>
            <w:tcW w:w="4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 w:right="4260" w:hanging="4"/>
        <w:spacing w:after="0" w:line="418" w:lineRule="auto"/>
        <w:tabs>
          <w:tab w:leader="none" w:pos="94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Certain portions of this exhibit have been redacted.</w:t>
      </w:r>
    </w:p>
    <w:p>
      <w:pPr>
        <w:sectPr>
          <w:pgSz w:w="11900" w:h="16838" w:orient="portrait"/>
          <w:cols w:equalWidth="0" w:num="1">
            <w:col w:w="11004"/>
          </w:cols>
          <w:pgMar w:left="436" w:top="517"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Dated: May 17, 2023</w:t>
            </w:r>
          </w:p>
        </w:tc>
        <w:tc>
          <w:tcPr>
            <w:tcW w:w="7500" w:type="dxa"/>
            <w:vAlign w:val="bottom"/>
            <w:gridSpan w:val="2"/>
          </w:tcPr>
          <w:p>
            <w:pPr>
              <w:ind w:left="1980"/>
              <w:spacing w:after="0"/>
              <w:rPr>
                <w:sz w:val="20"/>
                <w:szCs w:val="20"/>
                <w:color w:val="auto"/>
              </w:rPr>
            </w:pPr>
            <w:r>
              <w:rPr>
                <w:rFonts w:ascii="Arial" w:cs="Arial" w:eastAsia="Arial" w:hAnsi="Arial"/>
                <w:sz w:val="18"/>
                <w:szCs w:val="18"/>
                <w:color w:val="auto"/>
              </w:rPr>
              <w:t>EMERGENT BIOSOLUTIONS INC.</w:t>
            </w:r>
          </w:p>
        </w:tc>
      </w:tr>
      <w:tr>
        <w:trPr>
          <w:trHeight w:val="432"/>
        </w:trPr>
        <w:tc>
          <w:tcPr>
            <w:tcW w:w="3520" w:type="dxa"/>
            <w:vAlign w:val="bottom"/>
          </w:tcPr>
          <w:p>
            <w:pPr>
              <w:spacing w:after="0"/>
              <w:rPr>
                <w:sz w:val="24"/>
                <w:szCs w:val="24"/>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 Lindahl</w:t>
            </w:r>
          </w:p>
        </w:tc>
      </w:tr>
      <w:tr>
        <w:trPr>
          <w:trHeight w:val="209"/>
        </w:trPr>
        <w:tc>
          <w:tcPr>
            <w:tcW w:w="3520" w:type="dxa"/>
            <w:vAlign w:val="bottom"/>
          </w:tcPr>
          <w:p>
            <w:pPr>
              <w:spacing w:after="0"/>
              <w:rPr>
                <w:sz w:val="18"/>
                <w:szCs w:val="18"/>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Richard S. Lindahl</w:t>
            </w:r>
          </w:p>
        </w:tc>
      </w:tr>
      <w:tr>
        <w:trPr>
          <w:trHeight w:val="216"/>
        </w:trPr>
        <w:tc>
          <w:tcPr>
            <w:tcW w:w="3520" w:type="dxa"/>
            <w:vAlign w:val="bottom"/>
          </w:tcPr>
          <w:p>
            <w:pPr>
              <w:spacing w:after="0"/>
              <w:rPr>
                <w:sz w:val="18"/>
                <w:szCs w:val="18"/>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020"/>
          </w:cols>
          <w:pgMar w:left="440" w:top="513" w:right="439" w:bottom="1440" w:gutter="0" w:footer="0" w:header="0"/>
        </w:sectPr>
      </w:pPr>
    </w:p>
    <w:bookmarkStart w:id="4" w:name="page5"/>
    <w:bookmarkEnd w:id="4"/>
    <w:p>
      <w:pPr>
        <w:ind w:left="1018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501523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15230" cy="59182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Gaithersburg, Maryland 20879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We have acted as counsel to Emergent BioSolutions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the registration by the Company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of the offer and sale of shares of the Company’s common stock, par value $0.001 per share, having an aggregate offering price of up to $150,000,000 (the “</w:t>
      </w:r>
      <w:r>
        <w:rPr>
          <w:rFonts w:ascii="Arial" w:cs="Arial" w:eastAsia="Arial" w:hAnsi="Arial"/>
          <w:sz w:val="16"/>
          <w:szCs w:val="16"/>
          <w:i w:val="1"/>
          <w:iCs w:val="1"/>
          <w:color w:val="auto"/>
        </w:rPr>
        <w:t>Shares</w:t>
      </w:r>
      <w:r>
        <w:rPr>
          <w:rFonts w:ascii="Arial" w:cs="Arial" w:eastAsia="Arial" w:hAnsi="Arial"/>
          <w:sz w:val="16"/>
          <w:szCs w:val="16"/>
          <w:color w:val="auto"/>
        </w:rPr>
        <w:t>”), pursuant to the Equity Distribution Agreement, dated</w:t>
      </w:r>
    </w:p>
    <w:p>
      <w:pPr>
        <w:spacing w:after="0" w:line="2"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May 17, 2023, among the Company and Evercore Group L.L.C. and RBC Capital Markets, LLC, as sales agents (the “</w:t>
      </w:r>
      <w:r>
        <w:rPr>
          <w:rFonts w:ascii="Arial" w:cs="Arial" w:eastAsia="Arial" w:hAnsi="Arial"/>
          <w:sz w:val="16"/>
          <w:szCs w:val="16"/>
          <w:i w:val="1"/>
          <w:iCs w:val="1"/>
          <w:color w:val="auto"/>
        </w:rPr>
        <w:t>Distribution Agreement</w:t>
      </w:r>
      <w:r>
        <w:rPr>
          <w:rFonts w:ascii="Arial" w:cs="Arial" w:eastAsia="Arial" w:hAnsi="Arial"/>
          <w:sz w:val="16"/>
          <w:szCs w:val="16"/>
          <w:color w:val="auto"/>
        </w:rPr>
        <w:t>”). The offer and sale of the Shares are being registered under the Securities Act pursuant to the Company’s Registration Statement on Form S-3 (File</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No. 333-258634), which was filed with the Securities and Exchange Commission on August 9, 2021 (such registration statement is herein referred to as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w:t>
      </w:r>
    </w:p>
    <w:p>
      <w:pPr>
        <w:spacing w:after="0" w:line="18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We have reviewed the Distribution Agreement, the Registration Statement and the prospectus, dated August 9, 2021, as supplemented by a prospectus supplement dated May 17, 2023, with respect to the offer and sale of the Shares, as filed with the Securities and Exchange Commission on May 17, 2023. We have also reviewed such corporate records, certificates and other documents, and such questions of law, as we have considered necessary or appropriate for the purposes of this opinion.</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We have assumed that all signatures are genuine, that all documents submitted to us as originals are authentic and that all copies of documents submitted to us conform to the originals.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Based upon the foregoing, we are of the opinion that the Shares have been duly authorized, and when issued and sold by the Company pursuant to the terms of the Distribution Agreement and upon receipt by the Company of full payment therefor in accordance with the Distribution Agreement, will be validly issued, fully paid and non-assessable.</w:t>
      </w:r>
    </w:p>
    <w:p>
      <w:pPr>
        <w:spacing w:after="0" w:line="18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We are members of the bar of the District of Columbia. We do not express any opinion herein on any laws other than the Delaware General Corporation Law.</w:t>
      </w:r>
    </w:p>
    <w:p>
      <w:pPr>
        <w:sectPr>
          <w:pgSz w:w="11900" w:h="16838" w:orient="portrait"/>
          <w:cols w:equalWidth="0" w:num="1">
            <w:col w:w="11020"/>
          </w:cols>
          <w:pgMar w:left="440" w:top="121" w:right="4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9340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34085" cy="137160"/>
                    </a:xfrm>
                    <a:prstGeom prst="rect">
                      <a:avLst/>
                    </a:prstGeom>
                    <a:noFill/>
                  </pic:spPr>
                </pic:pic>
              </a:graphicData>
            </a:graphic>
          </wp:anchor>
        </w:drawing>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dated the date hereof related to the offering of the Shares. We also hereby consent to the reference to our firm under the heading “Legal Matters” in the prospectus constituting part of the Registration Statement. In giving such consent, we do not thereby admit that we are in the category of persons whose consent is required under Section 7 of the Securities Act.</w:t>
      </w:r>
    </w:p>
    <w:p>
      <w:pPr>
        <w:spacing w:after="0" w:line="21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Covington &amp; Burling LLP</w:t>
      </w:r>
    </w:p>
    <w:p>
      <w:pPr>
        <w:sectPr>
          <w:pgSz w:w="11900" w:h="16838" w:orient="portrait"/>
          <w:cols w:equalWidth="0" w:num="1">
            <w:col w:w="10820"/>
          </w:cols>
          <w:pgMar w:left="440" w:top="706" w:right="6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ind w:left="9424"/>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XECUTION</w:t>
      </w:r>
      <w:r>
        <w:rPr>
          <w:rFonts w:ascii="Arial" w:cs="Arial" w:eastAsia="Arial" w:hAnsi="Arial"/>
          <w:sz w:val="18"/>
          <w:szCs w:val="18"/>
          <w:color w:val="auto"/>
        </w:rPr>
        <w:t xml:space="preserve"> V</w:t>
      </w:r>
      <w:r>
        <w:rPr>
          <w:rFonts w:ascii="Arial" w:cs="Arial" w:eastAsia="Arial" w:hAnsi="Arial"/>
          <w:sz w:val="14"/>
          <w:szCs w:val="14"/>
          <w:color w:val="auto"/>
        </w:rPr>
        <w:t>ERSION</w:t>
      </w:r>
    </w:p>
    <w:p>
      <w:pPr>
        <w:spacing w:after="0" w:line="207" w:lineRule="exact"/>
        <w:rPr>
          <w:sz w:val="20"/>
          <w:szCs w:val="20"/>
          <w:color w:val="auto"/>
        </w:rPr>
      </w:pPr>
    </w:p>
    <w:p>
      <w:pPr>
        <w:jc w:val="center"/>
        <w:ind w:right="16"/>
        <w:spacing w:after="0" w:line="282" w:lineRule="auto"/>
        <w:rPr>
          <w:sz w:val="20"/>
          <w:szCs w:val="20"/>
          <w:color w:val="auto"/>
        </w:rPr>
      </w:pPr>
      <w:r>
        <w:rPr>
          <w:rFonts w:ascii="Arial" w:cs="Arial" w:eastAsia="Arial" w:hAnsi="Arial"/>
          <w:sz w:val="18"/>
          <w:szCs w:val="18"/>
          <w:b w:val="1"/>
          <w:bCs w:val="1"/>
          <w:color w:val="auto"/>
        </w:rPr>
        <w:t>Pursuant to Item 601(b)(10)(iv) of Regulation S-K, certain information (indicated by [***]) has been omitted from Exhibit 10.1 because (i) it is not material and (ii) the Registrant customarily and actually treats such information as private or confidential.</w:t>
      </w:r>
    </w:p>
    <w:p>
      <w:pPr>
        <w:spacing w:after="0" w:line="54"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FOURTH AMENDMENT TO AMENDED AND RESTATED CREDIT AGREEMENT, WAIVER AND FIRST AMENDMENT TO AMENDED AND RESTATED COLLATERAL AGREEMENT</w:t>
      </w:r>
    </w:p>
    <w:p>
      <w:pPr>
        <w:spacing w:after="0" w:line="58"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FOURTH AMENDMENT TO AMENDED AND RESTATED CREDIT AGREEMENT, WAIVER, AND FIRST AMENDMENT TO AMENDED AND RESTATED COLLATERAL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May 15, 2023, among EMERGENT BIOSOLUTIONS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(as defined in the Credit Agreement referred to below) party hereto, the Lenders (as defined in the Credit Agreement referred to below), and WELLS FARGO BANK, NATIONAL ASSOCIATION, as administrative agent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Unless otherwise indicated, all capitalized terms used herein and not otherwise defined herein shall have the respective meanings provided such terms in the Credit Agreement referred to below.</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WHEREAS, the Borrower, the lenders party thereto from time to time (the “</w:t>
      </w:r>
      <w:r>
        <w:rPr>
          <w:rFonts w:ascii="Arial" w:cs="Arial" w:eastAsia="Arial" w:hAnsi="Arial"/>
          <w:sz w:val="16"/>
          <w:szCs w:val="16"/>
          <w:u w:val="single" w:color="auto"/>
          <w:color w:val="auto"/>
        </w:rPr>
        <w:t>Lenders</w:t>
      </w:r>
      <w:r>
        <w:rPr>
          <w:rFonts w:ascii="Arial" w:cs="Arial" w:eastAsia="Arial" w:hAnsi="Arial"/>
          <w:sz w:val="16"/>
          <w:szCs w:val="16"/>
          <w:color w:val="auto"/>
        </w:rPr>
        <w:t>”) and the Administrative Agent have entered into that certain Amended and Restated Credit Agreement, dated as of October 15, 2018 (as amended by the First Amendment to Amended and Restated Credit Agreement dated as of June 27, 2019, as further amended by the Second Amendment to Amended and Restated Credit Agreement dated as of August 7, 2020, as further amended by the Consent, Limited Waiver and Third Amendment to Amended and Restated Credit Agreement dated as of February 14, 2023 (the “</w:t>
      </w:r>
      <w:r>
        <w:rPr>
          <w:rFonts w:ascii="Arial" w:cs="Arial" w:eastAsia="Arial" w:hAnsi="Arial"/>
          <w:sz w:val="16"/>
          <w:szCs w:val="16"/>
          <w:u w:val="single" w:color="auto"/>
          <w:color w:val="auto"/>
        </w:rPr>
        <w:t>Third Amendment</w:t>
      </w:r>
      <w:r>
        <w:rPr>
          <w:rFonts w:ascii="Arial" w:cs="Arial" w:eastAsia="Arial" w:hAnsi="Arial"/>
          <w:sz w:val="16"/>
          <w:szCs w:val="16"/>
          <w:color w:val="auto"/>
        </w:rPr>
        <w:t>”), and as may further be amended, restated, amended and restated, supplemented or otherwise modified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the Existing Credit Agreement, as amended by this Amendment,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64"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WHEREAS, in connection with the Existing Credit Agreement, the Credit Parties entered into that certain Amended and Restated Collateral Agreement, dated as of October 15, 2018 (as amended, restated, amended and restated, supplemented or otherwise modified prior to the date hereof, the “</w:t>
      </w:r>
      <w:r>
        <w:rPr>
          <w:rFonts w:ascii="Arial" w:cs="Arial" w:eastAsia="Arial" w:hAnsi="Arial"/>
          <w:sz w:val="17"/>
          <w:szCs w:val="17"/>
          <w:u w:val="single" w:color="auto"/>
          <w:color w:val="auto"/>
        </w:rPr>
        <w:t>Existing Collateral Agreement</w:t>
      </w:r>
      <w:r>
        <w:rPr>
          <w:rFonts w:ascii="Arial" w:cs="Arial" w:eastAsia="Arial" w:hAnsi="Arial"/>
          <w:sz w:val="17"/>
          <w:szCs w:val="17"/>
          <w:color w:val="auto"/>
        </w:rPr>
        <w:t>”; the Existing Collateral Agreement, as amended by this Amendment, the “</w:t>
      </w:r>
      <w:r>
        <w:rPr>
          <w:rFonts w:ascii="Arial" w:cs="Arial" w:eastAsia="Arial" w:hAnsi="Arial"/>
          <w:sz w:val="17"/>
          <w:szCs w:val="17"/>
          <w:u w:val="single" w:color="auto"/>
          <w:color w:val="auto"/>
        </w:rPr>
        <w:t>Collateral Agreement</w:t>
      </w:r>
      <w:r>
        <w:rPr>
          <w:rFonts w:ascii="Arial" w:cs="Arial" w:eastAsia="Arial" w:hAnsi="Arial"/>
          <w:sz w:val="17"/>
          <w:szCs w:val="17"/>
          <w:color w:val="auto"/>
        </w:rPr>
        <w:t>”);</w:t>
      </w:r>
    </w:p>
    <w:p>
      <w:pPr>
        <w:spacing w:after="0" w:line="165" w:lineRule="exact"/>
        <w:rPr>
          <w:sz w:val="20"/>
          <w:szCs w:val="20"/>
          <w:color w:val="auto"/>
        </w:rPr>
      </w:pPr>
    </w:p>
    <w:p>
      <w:pPr>
        <w:ind w:left="4" w:right="300" w:firstLine="440"/>
        <w:spacing w:after="0" w:line="291" w:lineRule="auto"/>
        <w:rPr>
          <w:sz w:val="20"/>
          <w:szCs w:val="20"/>
          <w:color w:val="auto"/>
        </w:rPr>
      </w:pPr>
      <w:r>
        <w:rPr>
          <w:rFonts w:ascii="Arial" w:cs="Arial" w:eastAsia="Arial" w:hAnsi="Arial"/>
          <w:sz w:val="16"/>
          <w:szCs w:val="16"/>
          <w:color w:val="auto"/>
        </w:rPr>
        <w:t>WHEREAS, pursuant to the Third Amendment, certain Lenders agreed to temporarily waive (x) any Default or Event of Default arising from Borrower’s non-compliance with the Going Concern Requirement with respect to the 2022 Financials (each as defined in the Third Amendment) and</w:t>
      </w:r>
    </w:p>
    <w:p>
      <w:pPr>
        <w:ind w:left="4" w:right="260" w:hanging="4"/>
        <w:spacing w:after="0" w:line="290" w:lineRule="auto"/>
        <w:tabs>
          <w:tab w:leader="none" w:pos="259"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Default or Event of Default arising from Borrower’s non-compliance with the Financial Covenants (each as defined in the Third Amendment) for the fiscal quarters ending December 31, 2022 and March 31, 2023 (the foregoing, collectively, the “</w:t>
      </w:r>
      <w:r>
        <w:rPr>
          <w:rFonts w:ascii="Arial" w:cs="Arial" w:eastAsia="Arial" w:hAnsi="Arial"/>
          <w:sz w:val="17"/>
          <w:szCs w:val="17"/>
          <w:u w:val="single" w:color="auto"/>
          <w:color w:val="auto"/>
        </w:rPr>
        <w:t>Existing Defaults</w:t>
      </w:r>
      <w:r>
        <w:rPr>
          <w:rFonts w:ascii="Arial" w:cs="Arial" w:eastAsia="Arial" w:hAnsi="Arial"/>
          <w:sz w:val="17"/>
          <w:szCs w:val="17"/>
          <w:color w:val="auto"/>
        </w:rPr>
        <w:t>”); and</w:t>
      </w:r>
    </w:p>
    <w:p>
      <w:pPr>
        <w:spacing w:after="0" w:line="161"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 xml:space="preserve">WHEREAS, the Borrower has requested, and subject to the terms and conditions set forth herein, the Administrative Agent and the Lenders have agreed, to (i) waiver of the Existing Defaults as set forth in Section 1 hereof, (ii) the amendments to the Existing Credit Agreement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and (iii) the amendments to the Existing Collateral Agreement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184"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it is agreed as follows:</w:t>
      </w:r>
    </w:p>
    <w:p>
      <w:pPr>
        <w:spacing w:after="0" w:line="170"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Waiver of Existing Defaults</w:t>
      </w:r>
      <w:r>
        <w:rPr>
          <w:rFonts w:ascii="Arial" w:cs="Arial" w:eastAsia="Arial" w:hAnsi="Arial"/>
          <w:sz w:val="17"/>
          <w:szCs w:val="17"/>
          <w:color w:val="auto"/>
        </w:rPr>
        <w:t>. Pursuant to the request of the Borrower and Guarantors, subject to the terms and conditions set forth herein and in reliance upon the representations and warranties set forth herein, the Lenders hereby agree to waive each of the Existing Defaults under the Loan Documents. The waiver set forth in the preceding sentence shall be limited precisely as written and shall not be deemed to constitute: (a) an amendment, consent or waiver of any other terms or conditions of the Credit Agreement; or (b) a consent to any future amendment, consent or waiver, whether of any subsequent breach of the same provisions or otherwise.</w:t>
      </w:r>
    </w:p>
    <w:p>
      <w:pPr>
        <w:sectPr>
          <w:pgSz w:w="11900" w:h="16838" w:orient="portrait"/>
          <w:cols w:equalWidth="0" w:num="1">
            <w:col w:w="11024"/>
          </w:cols>
          <w:pgMar w:left="436" w:top="121" w:right="439" w:bottom="1440" w:gutter="0" w:footer="0" w:header="0"/>
        </w:sectPr>
      </w:pPr>
    </w:p>
    <w:bookmarkStart w:id="7" w:name="page8"/>
    <w:bookmarkEnd w:id="7"/>
    <w:p>
      <w:pPr>
        <w:ind w:left="4"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Amendments to Existing Credit Agreement</w:t>
      </w:r>
      <w:r>
        <w:rPr>
          <w:rFonts w:ascii="Arial" w:cs="Arial" w:eastAsia="Arial" w:hAnsi="Arial"/>
          <w:sz w:val="18"/>
          <w:szCs w:val="18"/>
          <w:color w:val="auto"/>
        </w:rPr>
        <w:t>. Subject to and in accordance of the terms and conditions set forth herein, the parties hereto agree that the Existing Credit Agreement is amended as follows:</w:t>
      </w:r>
    </w:p>
    <w:p>
      <w:pPr>
        <w:spacing w:after="0" w:line="170" w:lineRule="exact"/>
        <w:rPr>
          <w:sz w:val="20"/>
          <w:szCs w:val="20"/>
          <w:color w:val="auto"/>
        </w:rPr>
      </w:pPr>
    </w:p>
    <w:p>
      <w:pPr>
        <w:ind w:left="4" w:firstLine="436"/>
        <w:spacing w:after="0" w:line="259" w:lineRule="auto"/>
        <w:tabs>
          <w:tab w:leader="none" w:pos="68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body of the Existing Credit Agreement is hereby amended (a) to delete red or green stricken text (indicated textually in the same manner as the following examples: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w:t>
      </w:r>
      <w:r>
        <w:rPr>
          <w:rFonts w:ascii="Arial" w:cs="Arial" w:eastAsia="Arial" w:hAnsi="Arial"/>
          <w:sz w:val="18"/>
          <w:szCs w:val="18"/>
          <w:color w:val="008000"/>
          <w:strike w:val="1"/>
        </w:rPr>
        <w:t>stricken text</w:t>
      </w:r>
      <w:r>
        <w:rPr>
          <w:rFonts w:ascii="Arial" w:cs="Arial" w:eastAsia="Arial" w:hAnsi="Arial"/>
          <w:sz w:val="18"/>
          <w:szCs w:val="18"/>
          <w:color w:val="auto"/>
        </w:rPr>
        <w:t xml:space="preserve">) and (b) to add the blue or green double-underlined text (indicated textually in the same manner as the following examples: </w:t>
      </w:r>
      <w:r>
        <w:rPr>
          <w:rFonts w:ascii="Arial" w:cs="Arial" w:eastAsia="Arial" w:hAnsi="Arial"/>
          <w:sz w:val="18"/>
          <w:szCs w:val="18"/>
          <w:u w:val="single" w:color="auto"/>
          <w:color w:val="0000FF"/>
        </w:rPr>
        <w:t>double-underlined text</w:t>
      </w:r>
      <w:r>
        <w:rPr>
          <w:rFonts w:ascii="Arial" w:cs="Arial" w:eastAsia="Arial" w:hAnsi="Arial"/>
          <w:sz w:val="18"/>
          <w:szCs w:val="18"/>
          <w:color w:val="auto"/>
        </w:rPr>
        <w:t xml:space="preserve"> and </w:t>
      </w:r>
      <w:r>
        <w:rPr>
          <w:rFonts w:ascii="Arial" w:cs="Arial" w:eastAsia="Arial" w:hAnsi="Arial"/>
          <w:sz w:val="18"/>
          <w:szCs w:val="18"/>
          <w:u w:val="single" w:color="auto"/>
          <w:color w:val="008000"/>
        </w:rPr>
        <w:t>double-underlined text</w:t>
      </w:r>
      <w:r>
        <w:rPr>
          <w:rFonts w:ascii="Arial" w:cs="Arial" w:eastAsia="Arial" w:hAnsi="Arial"/>
          <w:sz w:val="18"/>
          <w:szCs w:val="18"/>
          <w:color w:val="auto"/>
        </w:rPr>
        <w:t xml:space="preserve">), in each case as set forth in the Credit Agreement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firstLine="436"/>
        <w:spacing w:after="0" w:line="311" w:lineRule="auto"/>
        <w:tabs>
          <w:tab w:leader="none" w:pos="699"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(Form of Notice of Borrowing),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(Form of Notice of Prepayment),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(Form of Notice of Conversion/Continuation) and Exhibit F (Form of Compliance Certificate) to the Existing Credit Agreement are hereby amended and restated such that, after giving effect to all such amendments, Exhibits B, D, E and F to the Credit Agreement shall read in their entirety as set forth on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attached hereto.</w:t>
      </w:r>
    </w:p>
    <w:p>
      <w:pPr>
        <w:spacing w:after="0" w:line="148" w:lineRule="exact"/>
        <w:rPr>
          <w:rFonts w:ascii="Arial" w:cs="Arial" w:eastAsia="Arial" w:hAnsi="Arial"/>
          <w:sz w:val="16"/>
          <w:szCs w:val="16"/>
          <w:color w:val="auto"/>
        </w:rPr>
      </w:pPr>
    </w:p>
    <w:p>
      <w:pPr>
        <w:ind w:left="4" w:right="80" w:firstLine="436"/>
        <w:spacing w:after="0" w:line="311" w:lineRule="auto"/>
        <w:tabs>
          <w:tab w:leader="none" w:pos="689"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Schedules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w:t>
      </w:r>
      <w:r>
        <w:rPr>
          <w:rFonts w:ascii="Arial" w:cs="Arial" w:eastAsia="Arial" w:hAnsi="Arial"/>
          <w:sz w:val="16"/>
          <w:szCs w:val="16"/>
          <w:u w:val="single" w:color="auto"/>
          <w:color w:val="auto"/>
        </w:rPr>
        <w:t>1.1(c)</w:t>
      </w:r>
      <w:r>
        <w:rPr>
          <w:rFonts w:ascii="Arial" w:cs="Arial" w:eastAsia="Arial" w:hAnsi="Arial"/>
          <w:sz w:val="16"/>
          <w:szCs w:val="16"/>
          <w:color w:val="auto"/>
        </w:rPr>
        <w:t xml:space="preserve">, </w:t>
      </w:r>
      <w:r>
        <w:rPr>
          <w:rFonts w:ascii="Arial" w:cs="Arial" w:eastAsia="Arial" w:hAnsi="Arial"/>
          <w:sz w:val="16"/>
          <w:szCs w:val="16"/>
          <w:u w:val="single" w:color="auto"/>
          <w:color w:val="auto"/>
        </w:rPr>
        <w:t>1.1(d)</w:t>
      </w:r>
      <w:r>
        <w:rPr>
          <w:rFonts w:ascii="Arial" w:cs="Arial" w:eastAsia="Arial" w:hAnsi="Arial"/>
          <w:sz w:val="16"/>
          <w:szCs w:val="16"/>
          <w:color w:val="auto"/>
        </w:rPr>
        <w:t xml:space="preserve">, </w:t>
      </w:r>
      <w:r>
        <w:rPr>
          <w:rFonts w:ascii="Arial" w:cs="Arial" w:eastAsia="Arial" w:hAnsi="Arial"/>
          <w:sz w:val="16"/>
          <w:szCs w:val="16"/>
          <w:u w:val="single" w:color="auto"/>
          <w:color w:val="auto"/>
        </w:rPr>
        <w:t>7.8(b)</w:t>
      </w:r>
      <w:r>
        <w:rPr>
          <w:rFonts w:ascii="Arial" w:cs="Arial" w:eastAsia="Arial" w:hAnsi="Arial"/>
          <w:sz w:val="16"/>
          <w:szCs w:val="16"/>
          <w:color w:val="auto"/>
        </w:rPr>
        <w:t xml:space="preserve">, </w:t>
      </w:r>
      <w:r>
        <w:rPr>
          <w:rFonts w:ascii="Arial" w:cs="Arial" w:eastAsia="Arial" w:hAnsi="Arial"/>
          <w:sz w:val="16"/>
          <w:szCs w:val="16"/>
          <w:u w:val="single" w:color="auto"/>
          <w:color w:val="auto"/>
        </w:rPr>
        <w:t>7.8(c)</w:t>
      </w:r>
      <w:r>
        <w:rPr>
          <w:rFonts w:ascii="Arial" w:cs="Arial" w:eastAsia="Arial" w:hAnsi="Arial"/>
          <w:sz w:val="16"/>
          <w:szCs w:val="16"/>
          <w:color w:val="auto"/>
        </w:rPr>
        <w:t xml:space="preserve">, </w:t>
      </w:r>
      <w:r>
        <w:rPr>
          <w:rFonts w:ascii="Arial" w:cs="Arial" w:eastAsia="Arial" w:hAnsi="Arial"/>
          <w:sz w:val="16"/>
          <w:szCs w:val="16"/>
          <w:u w:val="single" w:color="auto"/>
          <w:color w:val="auto"/>
        </w:rPr>
        <w:t>7.8(d)</w:t>
      </w:r>
      <w:r>
        <w:rPr>
          <w:rFonts w:ascii="Arial" w:cs="Arial" w:eastAsia="Arial" w:hAnsi="Arial"/>
          <w:sz w:val="16"/>
          <w:szCs w:val="16"/>
          <w:color w:val="auto"/>
        </w:rPr>
        <w:t xml:space="preserve">, </w:t>
      </w:r>
      <w:r>
        <w:rPr>
          <w:rFonts w:ascii="Arial" w:cs="Arial" w:eastAsia="Arial" w:hAnsi="Arial"/>
          <w:sz w:val="16"/>
          <w:szCs w:val="16"/>
          <w:u w:val="single" w:color="auto"/>
          <w:color w:val="auto"/>
        </w:rPr>
        <w:t>7.9</w:t>
      </w:r>
      <w:r>
        <w:rPr>
          <w:rFonts w:ascii="Arial" w:cs="Arial" w:eastAsia="Arial" w:hAnsi="Arial"/>
          <w:sz w:val="16"/>
          <w:szCs w:val="16"/>
          <w:color w:val="auto"/>
        </w:rPr>
        <w:t xml:space="preserve">, </w:t>
      </w:r>
      <w:r>
        <w:rPr>
          <w:rFonts w:ascii="Arial" w:cs="Arial" w:eastAsia="Arial" w:hAnsi="Arial"/>
          <w:sz w:val="16"/>
          <w:szCs w:val="16"/>
          <w:u w:val="single" w:color="auto"/>
          <w:color w:val="auto"/>
        </w:rPr>
        <w:t>7.13</w:t>
      </w:r>
      <w:r>
        <w:rPr>
          <w:rFonts w:ascii="Arial" w:cs="Arial" w:eastAsia="Arial" w:hAnsi="Arial"/>
          <w:sz w:val="16"/>
          <w:szCs w:val="16"/>
          <w:color w:val="auto"/>
        </w:rPr>
        <w:t xml:space="preserve">,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9.9</w:t>
      </w:r>
      <w:r>
        <w:rPr>
          <w:rFonts w:ascii="Arial" w:cs="Arial" w:eastAsia="Arial" w:hAnsi="Arial"/>
          <w:sz w:val="16"/>
          <w:szCs w:val="16"/>
          <w:color w:val="auto"/>
        </w:rPr>
        <w:t xml:space="preserve"> to the Existing Credit Agreement are hereby amended and restated in their entirety as of the Amendment Effective Date with </w:t>
      </w:r>
      <w:r>
        <w:rPr>
          <w:rFonts w:ascii="Arial" w:cs="Arial" w:eastAsia="Arial" w:hAnsi="Arial"/>
          <w:sz w:val="16"/>
          <w:szCs w:val="16"/>
          <w:u w:val="single" w:color="auto"/>
          <w:color w:val="auto"/>
        </w:rPr>
        <w:t>Schedules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w:t>
      </w:r>
      <w:r>
        <w:rPr>
          <w:rFonts w:ascii="Arial" w:cs="Arial" w:eastAsia="Arial" w:hAnsi="Arial"/>
          <w:sz w:val="16"/>
          <w:szCs w:val="16"/>
          <w:u w:val="single" w:color="auto"/>
          <w:color w:val="auto"/>
        </w:rPr>
        <w:t>1.1(c)</w:t>
      </w:r>
      <w:r>
        <w:rPr>
          <w:rFonts w:ascii="Arial" w:cs="Arial" w:eastAsia="Arial" w:hAnsi="Arial"/>
          <w:sz w:val="16"/>
          <w:szCs w:val="16"/>
          <w:color w:val="auto"/>
        </w:rPr>
        <w:t xml:space="preserve">, </w:t>
      </w:r>
      <w:r>
        <w:rPr>
          <w:rFonts w:ascii="Arial" w:cs="Arial" w:eastAsia="Arial" w:hAnsi="Arial"/>
          <w:sz w:val="16"/>
          <w:szCs w:val="16"/>
          <w:u w:val="single" w:color="auto"/>
          <w:color w:val="auto"/>
        </w:rPr>
        <w:t>1.1(d)</w:t>
      </w:r>
      <w:r>
        <w:rPr>
          <w:rFonts w:ascii="Arial" w:cs="Arial" w:eastAsia="Arial" w:hAnsi="Arial"/>
          <w:sz w:val="16"/>
          <w:szCs w:val="16"/>
          <w:color w:val="auto"/>
        </w:rPr>
        <w:t xml:space="preserve">, </w:t>
      </w:r>
      <w:r>
        <w:rPr>
          <w:rFonts w:ascii="Arial" w:cs="Arial" w:eastAsia="Arial" w:hAnsi="Arial"/>
          <w:sz w:val="16"/>
          <w:szCs w:val="16"/>
          <w:u w:val="single" w:color="auto"/>
          <w:color w:val="auto"/>
        </w:rPr>
        <w:t>7.8(b)</w:t>
      </w:r>
      <w:r>
        <w:rPr>
          <w:rFonts w:ascii="Arial" w:cs="Arial" w:eastAsia="Arial" w:hAnsi="Arial"/>
          <w:sz w:val="16"/>
          <w:szCs w:val="16"/>
          <w:color w:val="auto"/>
        </w:rPr>
        <w:t xml:space="preserve">, </w:t>
      </w:r>
      <w:r>
        <w:rPr>
          <w:rFonts w:ascii="Arial" w:cs="Arial" w:eastAsia="Arial" w:hAnsi="Arial"/>
          <w:sz w:val="16"/>
          <w:szCs w:val="16"/>
          <w:u w:val="single" w:color="auto"/>
          <w:color w:val="auto"/>
        </w:rPr>
        <w:t>7.8(c)</w:t>
      </w:r>
      <w:r>
        <w:rPr>
          <w:rFonts w:ascii="Arial" w:cs="Arial" w:eastAsia="Arial" w:hAnsi="Arial"/>
          <w:sz w:val="16"/>
          <w:szCs w:val="16"/>
          <w:color w:val="auto"/>
        </w:rPr>
        <w:t xml:space="preserve">, </w:t>
      </w:r>
      <w:r>
        <w:rPr>
          <w:rFonts w:ascii="Arial" w:cs="Arial" w:eastAsia="Arial" w:hAnsi="Arial"/>
          <w:sz w:val="16"/>
          <w:szCs w:val="16"/>
          <w:u w:val="single" w:color="auto"/>
          <w:color w:val="auto"/>
        </w:rPr>
        <w:t>7.8(d)</w:t>
      </w:r>
      <w:r>
        <w:rPr>
          <w:rFonts w:ascii="Arial" w:cs="Arial" w:eastAsia="Arial" w:hAnsi="Arial"/>
          <w:sz w:val="16"/>
          <w:szCs w:val="16"/>
          <w:color w:val="auto"/>
        </w:rPr>
        <w:t xml:space="preserve">, </w:t>
      </w:r>
      <w:r>
        <w:rPr>
          <w:rFonts w:ascii="Arial" w:cs="Arial" w:eastAsia="Arial" w:hAnsi="Arial"/>
          <w:sz w:val="16"/>
          <w:szCs w:val="16"/>
          <w:u w:val="single" w:color="auto"/>
          <w:color w:val="auto"/>
        </w:rPr>
        <w:t>7.9</w:t>
      </w:r>
      <w:r>
        <w:rPr>
          <w:rFonts w:ascii="Arial" w:cs="Arial" w:eastAsia="Arial" w:hAnsi="Arial"/>
          <w:sz w:val="16"/>
          <w:szCs w:val="16"/>
          <w:color w:val="auto"/>
        </w:rPr>
        <w:t xml:space="preserve">, </w:t>
      </w:r>
      <w:r>
        <w:rPr>
          <w:rFonts w:ascii="Arial" w:cs="Arial" w:eastAsia="Arial" w:hAnsi="Arial"/>
          <w:sz w:val="16"/>
          <w:szCs w:val="16"/>
          <w:u w:val="single" w:color="auto"/>
          <w:color w:val="auto"/>
        </w:rPr>
        <w:t>7.13</w:t>
      </w:r>
      <w:r>
        <w:rPr>
          <w:rFonts w:ascii="Arial" w:cs="Arial" w:eastAsia="Arial" w:hAnsi="Arial"/>
          <w:sz w:val="16"/>
          <w:szCs w:val="16"/>
          <w:color w:val="auto"/>
        </w:rPr>
        <w:t xml:space="preserve">,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9.9</w:t>
      </w:r>
      <w:r>
        <w:rPr>
          <w:rFonts w:ascii="Arial" w:cs="Arial" w:eastAsia="Arial" w:hAnsi="Arial"/>
          <w:sz w:val="16"/>
          <w:szCs w:val="16"/>
          <w:color w:val="auto"/>
        </w:rPr>
        <w:t xml:space="preserve">, respectively, attached hereto as </w:t>
      </w:r>
      <w:r>
        <w:rPr>
          <w:rFonts w:ascii="Arial" w:cs="Arial" w:eastAsia="Arial" w:hAnsi="Arial"/>
          <w:sz w:val="16"/>
          <w:szCs w:val="16"/>
          <w:u w:val="single" w:color="auto"/>
          <w:color w:val="auto"/>
        </w:rPr>
        <w:t>Annex C</w:t>
      </w:r>
      <w:r>
        <w:rPr>
          <w:rFonts w:ascii="Arial" w:cs="Arial" w:eastAsia="Arial" w:hAnsi="Arial"/>
          <w:sz w:val="16"/>
          <w:szCs w:val="16"/>
          <w:color w:val="auto"/>
        </w:rPr>
        <w:t>., and each such schedule sets forth the information required therein as of the Amendment Effective Date.</w:t>
      </w:r>
    </w:p>
    <w:p>
      <w:pPr>
        <w:spacing w:after="0" w:line="149"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SECTION 3. Amendments to Existing Collateral Agreement. Subject to and in accordance of the terms and conditions set forth herein, the parties hereto agree that the Existing Collateral Agreement is amended as follows: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The definition of “</w:t>
      </w:r>
      <w:r>
        <w:rPr>
          <w:rFonts w:ascii="Arial" w:cs="Arial" w:eastAsia="Arial" w:hAnsi="Arial"/>
          <w:sz w:val="18"/>
          <w:szCs w:val="18"/>
          <w:u w:val="single" w:color="auto"/>
          <w:color w:val="auto"/>
        </w:rPr>
        <w:t>Excluded Assets</w:t>
      </w:r>
      <w:r>
        <w:rPr>
          <w:rFonts w:ascii="Arial" w:cs="Arial" w:eastAsia="Arial" w:hAnsi="Arial"/>
          <w:sz w:val="18"/>
          <w:szCs w:val="18"/>
          <w:color w:val="auto"/>
        </w:rPr>
        <w:t>” in Section 1.2 of the Existing Collateral Agreement is hereby amended as follows:</w:t>
      </w:r>
    </w:p>
    <w:p>
      <w:pPr>
        <w:spacing w:after="0" w:line="117" w:lineRule="exact"/>
        <w:rPr>
          <w:sz w:val="20"/>
          <w:szCs w:val="20"/>
          <w:color w:val="auto"/>
        </w:rPr>
      </w:pPr>
    </w:p>
    <w:p>
      <w:pPr>
        <w:ind w:left="1424" w:right="3360" w:hanging="561"/>
        <w:spacing w:after="0" w:line="375" w:lineRule="auto"/>
        <w:tabs>
          <w:tab w:leader="none" w:pos="107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Paragraph (a) of such definition is amended in its entirety and replaced with the following: “(a) any leasehold interests in real property leased by a Grantor;”</w:t>
      </w:r>
    </w:p>
    <w:p>
      <w:pPr>
        <w:spacing w:after="0" w:line="1" w:lineRule="exact"/>
        <w:rPr>
          <w:rFonts w:ascii="Arial" w:cs="Arial" w:eastAsia="Arial" w:hAnsi="Arial"/>
          <w:sz w:val="18"/>
          <w:szCs w:val="18"/>
          <w:color w:val="auto"/>
        </w:rPr>
      </w:pPr>
    </w:p>
    <w:p>
      <w:pPr>
        <w:ind w:left="1124" w:hanging="261"/>
        <w:spacing w:after="0"/>
        <w:tabs>
          <w:tab w:leader="none" w:pos="1124"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Paragraph (g) of such definition is amended in its entirety and replaced with the following:</w:t>
      </w:r>
    </w:p>
    <w:p>
      <w:pPr>
        <w:spacing w:after="0" w:line="117" w:lineRule="exact"/>
        <w:rPr>
          <w:sz w:val="20"/>
          <w:szCs w:val="20"/>
          <w:color w:val="auto"/>
        </w:rPr>
      </w:pPr>
    </w:p>
    <w:p>
      <w:pPr>
        <w:jc w:val="both"/>
        <w:ind w:left="1424" w:right="60"/>
        <w:spacing w:after="0" w:line="257" w:lineRule="auto"/>
        <w:rPr>
          <w:sz w:val="20"/>
          <w:szCs w:val="20"/>
          <w:color w:val="auto"/>
        </w:rPr>
      </w:pPr>
      <w:r>
        <w:rPr>
          <w:rFonts w:ascii="Arial" w:cs="Arial" w:eastAsia="Arial" w:hAnsi="Arial"/>
          <w:sz w:val="18"/>
          <w:szCs w:val="18"/>
          <w:color w:val="auto"/>
        </w:rPr>
        <w:t>“(g) any Equity Interests in or assets of (i) each CFC in excess of 65% of the outstanding voting Equity Interests and 100% of the non-voting Equity Interests of such CFC (excluding any CFC that is treated as a disregarded entity for tax purposes), except to the extent that a pledge of 100% of such outstanding voting Equity Interest would not cause a material adverse tax consequence for the Borrower and its Subsidiaries, taken as a whole, as confirmed by the Administrative Agent in its reasonable discretion, and (ii) each Domestic Subsidiary of a Foreign Subsidiary;”</w:t>
      </w:r>
    </w:p>
    <w:p>
      <w:pPr>
        <w:spacing w:after="0" w:line="188" w:lineRule="exact"/>
        <w:rPr>
          <w:sz w:val="20"/>
          <w:szCs w:val="20"/>
          <w:color w:val="auto"/>
        </w:rPr>
      </w:pPr>
    </w:p>
    <w:p>
      <w:pPr>
        <w:ind w:left="684" w:hanging="244"/>
        <w:spacing w:after="0"/>
        <w:tabs>
          <w:tab w:leader="none" w:pos="684"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u w:val="single" w:color="auto"/>
          <w:color w:val="auto"/>
        </w:rPr>
        <w:t>Excluded Deposit Account</w:t>
      </w:r>
      <w:r>
        <w:rPr>
          <w:rFonts w:ascii="Arial" w:cs="Arial" w:eastAsia="Arial" w:hAnsi="Arial"/>
          <w:sz w:val="17"/>
          <w:szCs w:val="17"/>
          <w:color w:val="auto"/>
        </w:rPr>
        <w:t>” in Section 1.2 of the Existing Collateral Agreement is hereby amended by deleting clause</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therein and replacing it with the following: “(d) [reserved],”</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490" w:right="499" w:bottom="1440" w:gutter="0" w:footer="0" w:header="0"/>
        </w:sectPr>
      </w:pPr>
    </w:p>
    <w:bookmarkStart w:id="8" w:name="page9"/>
    <w:bookmarkEnd w:id="8"/>
    <w:p>
      <w:pPr>
        <w:ind w:left="684" w:hanging="244"/>
        <w:spacing w:after="0"/>
        <w:tabs>
          <w:tab w:leader="none" w:pos="684" w:val="left"/>
        </w:tabs>
        <w:numPr>
          <w:ilvl w:val="1"/>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definition of “</w:t>
      </w:r>
      <w:r>
        <w:rPr>
          <w:rFonts w:ascii="Arial" w:cs="Arial" w:eastAsia="Arial" w:hAnsi="Arial"/>
          <w:sz w:val="17"/>
          <w:szCs w:val="17"/>
          <w:u w:val="single" w:color="auto"/>
          <w:color w:val="auto"/>
        </w:rPr>
        <w:t>Excluded Perfection Action</w:t>
      </w:r>
      <w:r>
        <w:rPr>
          <w:rFonts w:ascii="Arial" w:cs="Arial" w:eastAsia="Arial" w:hAnsi="Arial"/>
          <w:sz w:val="17"/>
          <w:szCs w:val="17"/>
          <w:color w:val="auto"/>
        </w:rPr>
        <w:t>” in Section 1.2 of the Existing Collateral Agreement is hereby amended by (i) deleting clause</w:t>
      </w:r>
    </w:p>
    <w:p>
      <w:pPr>
        <w:spacing w:after="0" w:line="34" w:lineRule="exact"/>
        <w:rPr>
          <w:rFonts w:ascii="Arial" w:cs="Arial" w:eastAsia="Arial" w:hAnsi="Arial"/>
          <w:sz w:val="17"/>
          <w:szCs w:val="17"/>
          <w:color w:val="auto"/>
        </w:rPr>
      </w:pPr>
    </w:p>
    <w:p>
      <w:pPr>
        <w:ind w:left="244" w:hanging="244"/>
        <w:spacing w:after="0"/>
        <w:tabs>
          <w:tab w:leader="none" w:pos="2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therein in its entirety, and (ii) re-lettering clauses (b) through (e) as clauses (a) through (d).</w:t>
      </w:r>
    </w:p>
    <w:p>
      <w:pPr>
        <w:spacing w:after="0" w:line="210" w:lineRule="exact"/>
        <w:rPr>
          <w:rFonts w:ascii="Arial" w:cs="Arial" w:eastAsia="Arial" w:hAnsi="Arial"/>
          <w:sz w:val="18"/>
          <w:szCs w:val="18"/>
          <w:color w:val="auto"/>
        </w:rPr>
      </w:pPr>
    </w:p>
    <w:p>
      <w:pPr>
        <w:ind w:left="4" w:right="300" w:firstLine="436"/>
        <w:spacing w:after="0" w:line="263" w:lineRule="auto"/>
        <w:tabs>
          <w:tab w:leader="none" w:pos="69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Schedules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w:t>
      </w:r>
      <w:r>
        <w:rPr>
          <w:rFonts w:ascii="Arial" w:cs="Arial" w:eastAsia="Arial" w:hAnsi="Arial"/>
          <w:sz w:val="18"/>
          <w:szCs w:val="18"/>
          <w:u w:val="single" w:color="auto"/>
          <w:color w:val="auto"/>
        </w:rPr>
        <w:t>3.8</w:t>
      </w:r>
      <w:r>
        <w:rPr>
          <w:rFonts w:ascii="Arial" w:cs="Arial" w:eastAsia="Arial" w:hAnsi="Arial"/>
          <w:sz w:val="18"/>
          <w:szCs w:val="18"/>
          <w:color w:val="auto"/>
        </w:rPr>
        <w:t xml:space="preserve">, </w:t>
      </w:r>
      <w:r>
        <w:rPr>
          <w:rFonts w:ascii="Arial" w:cs="Arial" w:eastAsia="Arial" w:hAnsi="Arial"/>
          <w:sz w:val="18"/>
          <w:szCs w:val="18"/>
          <w:u w:val="single" w:color="auto"/>
          <w:color w:val="auto"/>
        </w:rPr>
        <w:t>3.10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to the Existing Collateral Agreement are hereby amended and restated in their entirety as of the Amendment Effective Date with </w:t>
      </w:r>
      <w:r>
        <w:rPr>
          <w:rFonts w:ascii="Arial" w:cs="Arial" w:eastAsia="Arial" w:hAnsi="Arial"/>
          <w:sz w:val="18"/>
          <w:szCs w:val="18"/>
          <w:u w:val="single" w:color="auto"/>
          <w:color w:val="auto"/>
        </w:rPr>
        <w:t>Schedules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w:t>
      </w:r>
      <w:r>
        <w:rPr>
          <w:rFonts w:ascii="Arial" w:cs="Arial" w:eastAsia="Arial" w:hAnsi="Arial"/>
          <w:sz w:val="18"/>
          <w:szCs w:val="18"/>
          <w:u w:val="single" w:color="auto"/>
          <w:color w:val="auto"/>
        </w:rPr>
        <w:t>3.8</w:t>
      </w:r>
      <w:r>
        <w:rPr>
          <w:rFonts w:ascii="Arial" w:cs="Arial" w:eastAsia="Arial" w:hAnsi="Arial"/>
          <w:sz w:val="18"/>
          <w:szCs w:val="18"/>
          <w:color w:val="auto"/>
        </w:rPr>
        <w:t xml:space="preserve">, </w:t>
      </w:r>
      <w:r>
        <w:rPr>
          <w:rFonts w:ascii="Arial" w:cs="Arial" w:eastAsia="Arial" w:hAnsi="Arial"/>
          <w:sz w:val="18"/>
          <w:szCs w:val="18"/>
          <w:u w:val="single" w:color="auto"/>
          <w:color w:val="auto"/>
        </w:rPr>
        <w:t>3.10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3.12</w:t>
      </w:r>
      <w:r>
        <w:rPr>
          <w:rFonts w:ascii="Arial" w:cs="Arial" w:eastAsia="Arial" w:hAnsi="Arial"/>
          <w:sz w:val="18"/>
          <w:szCs w:val="18"/>
          <w:color w:val="auto"/>
        </w:rPr>
        <w:t>, respectively, attached hereto as Annex D, and each such schedule sets forth the information required therein as of the Amendment Effective Date.</w:t>
      </w:r>
    </w:p>
    <w:p>
      <w:pPr>
        <w:spacing w:after="0" w:line="184" w:lineRule="exact"/>
        <w:rPr>
          <w:sz w:val="20"/>
          <w:szCs w:val="20"/>
          <w:color w:val="auto"/>
        </w:rPr>
      </w:pPr>
    </w:p>
    <w:p>
      <w:pPr>
        <w:jc w:val="both"/>
        <w:ind w:left="4" w:right="280" w:firstLine="440"/>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of Effectiveness of Amendment</w:t>
      </w:r>
      <w:r>
        <w:rPr>
          <w:rFonts w:ascii="Arial" w:cs="Arial" w:eastAsia="Arial" w:hAnsi="Arial"/>
          <w:sz w:val="18"/>
          <w:szCs w:val="18"/>
          <w:color w:val="auto"/>
        </w:rPr>
        <w:t xml:space="preserve">. This Amendment, and the waiver in Section 1 above and the amendments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shall become effective on the date (such date,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when the following conditions shall have been satisfied or waived:</w:t>
      </w:r>
    </w:p>
    <w:p>
      <w:pPr>
        <w:spacing w:after="0" w:line="184" w:lineRule="exact"/>
        <w:rPr>
          <w:sz w:val="20"/>
          <w:szCs w:val="20"/>
          <w:color w:val="auto"/>
        </w:rPr>
      </w:pPr>
    </w:p>
    <w:p>
      <w:pPr>
        <w:ind w:left="684" w:hanging="244"/>
        <w:spacing w:after="0"/>
        <w:tabs>
          <w:tab w:leader="none" w:pos="6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Administrative Agent shall have received of the following, each in form and substance reasonably satisfactory to the Administrative Agent:</w:t>
      </w:r>
    </w:p>
    <w:p>
      <w:pPr>
        <w:spacing w:after="0" w:line="140" w:lineRule="exact"/>
        <w:rPr>
          <w:rFonts w:ascii="Arial" w:cs="Arial" w:eastAsia="Arial" w:hAnsi="Arial"/>
          <w:sz w:val="16"/>
          <w:szCs w:val="16"/>
          <w:color w:val="auto"/>
        </w:rPr>
      </w:pPr>
    </w:p>
    <w:p>
      <w:pPr>
        <w:ind w:left="1084" w:hanging="221"/>
        <w:spacing w:after="0"/>
        <w:tabs>
          <w:tab w:leader="none" w:pos="1084"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this Amendment, duly executed by a Responsible Officer of each of the Credit Parties, the Administrative Agent and each of the Lenders;</w:t>
      </w:r>
    </w:p>
    <w:p>
      <w:pPr>
        <w:spacing w:after="0" w:line="140" w:lineRule="exact"/>
        <w:rPr>
          <w:rFonts w:ascii="Arial" w:cs="Arial" w:eastAsia="Arial" w:hAnsi="Arial"/>
          <w:sz w:val="16"/>
          <w:szCs w:val="16"/>
          <w:color w:val="auto"/>
        </w:rPr>
      </w:pPr>
    </w:p>
    <w:p>
      <w:pPr>
        <w:ind w:left="444" w:right="20" w:firstLine="419"/>
        <w:spacing w:after="0" w:line="291" w:lineRule="auto"/>
        <w:tabs>
          <w:tab w:leader="none" w:pos="1132"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a certificate from a Responsible Officer of the Borrower to the effect that (A) the representations and warranties of each Credit Party set forth in the Credit Agreement and in each other Loan Document to which it is a party are true and correct in all material respects on and as of the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and warranty that is qualified as to “materiality,” “Material Adverse Effect” or similar language shall be true and correct (after giving effect to any qualification therein) in all respects on such respective dates; (B) after giving effect to this Amendment, no Default or Event of Default has occurred and is continuing; and (C) Liquidity as of the Amendment Effective Date shall be not less than $75,000,000;</w:t>
      </w:r>
    </w:p>
    <w:p>
      <w:pPr>
        <w:spacing w:after="0" w:line="58" w:lineRule="exact"/>
        <w:rPr>
          <w:rFonts w:ascii="Arial" w:cs="Arial" w:eastAsia="Arial" w:hAnsi="Arial"/>
          <w:sz w:val="16"/>
          <w:szCs w:val="16"/>
          <w:color w:val="auto"/>
        </w:rPr>
      </w:pPr>
    </w:p>
    <w:p>
      <w:pPr>
        <w:ind w:left="444" w:right="60" w:firstLine="419"/>
        <w:spacing w:after="0" w:line="269" w:lineRule="auto"/>
        <w:tabs>
          <w:tab w:leader="none" w:pos="1182" w:val="left"/>
        </w:tabs>
        <w:numPr>
          <w:ilvl w:val="1"/>
          <w:numId w:val="11"/>
        </w:numPr>
        <w:rPr>
          <w:rFonts w:ascii="Arial" w:cs="Arial" w:eastAsia="Arial" w:hAnsi="Arial"/>
          <w:sz w:val="17"/>
          <w:szCs w:val="17"/>
          <w:color w:val="auto"/>
        </w:rPr>
      </w:pPr>
      <w:r>
        <w:rPr>
          <w:rFonts w:ascii="Arial" w:cs="Arial" w:eastAsia="Arial" w:hAnsi="Arial"/>
          <w:sz w:val="17"/>
          <w:szCs w:val="17"/>
          <w:color w:val="auto"/>
        </w:rPr>
        <w:t>a certificate of a Responsible Officer of each Credit Party certifying that (A) the articles or certificate of incorporation or formation (or equivalent), as applicable, of such Credit Party have not been amended since the date of the last delivered certificate, or if they have been amended, attached thereto are true, correct and complete copies of the same, certified as of a recent date by the appropriate Governmental Authority in its jurisdiction of incorporation, organization or formation (or equivalent), as applicable, (B) the bylaws or other governing document of such Credit Party have not been amended since the date of the last delivered certificate, or if they have been amended, attached thereto are true, correct and complete copies of the same, (C) attached thereto is a true, correct and complete copy of resolutions duly adopted by the board of directors (or other governing body) of such Credit Party authorizing and approving the transactions contemplated hereunder and the execution, delivery and performance of this Amendment and the Credit Agreement as amended by this Amendment and (D) attached thereto is a true, correct and complete copy of such certificates of good standing from the applicable secretary of state of the state of incorporation, organization or formation (or equivalent), as applicable, of such Credit Party;</w:t>
      </w:r>
    </w:p>
    <w:p>
      <w:pPr>
        <w:spacing w:after="0" w:line="77" w:lineRule="exact"/>
        <w:rPr>
          <w:rFonts w:ascii="Arial" w:cs="Arial" w:eastAsia="Arial" w:hAnsi="Arial"/>
          <w:sz w:val="17"/>
          <w:szCs w:val="17"/>
          <w:color w:val="auto"/>
        </w:rPr>
      </w:pPr>
    </w:p>
    <w:p>
      <w:pPr>
        <w:ind w:left="1164" w:hanging="301"/>
        <w:spacing w:after="0"/>
        <w:tabs>
          <w:tab w:leader="none" w:pos="11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legal opinions from counsel to the Credit Parties; and</w:t>
      </w:r>
    </w:p>
    <w:p>
      <w:pPr>
        <w:spacing w:after="0" w:line="117" w:lineRule="exact"/>
        <w:rPr>
          <w:rFonts w:ascii="Arial" w:cs="Arial" w:eastAsia="Arial" w:hAnsi="Arial"/>
          <w:sz w:val="18"/>
          <w:szCs w:val="18"/>
          <w:color w:val="auto"/>
        </w:rPr>
      </w:pPr>
    </w:p>
    <w:p>
      <w:pPr>
        <w:ind w:left="444" w:right="160" w:firstLine="419"/>
        <w:spacing w:after="0" w:line="263" w:lineRule="auto"/>
        <w:tabs>
          <w:tab w:leader="none" w:pos="112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appropriate Intellectual Property (as such term is defined in the Collateral Agreement) security agreements executed by each applicable Credit Party necessary to grant to the Administrative Agent a first-priority Lien on all Intellectual Property registered in the United States and owned by such Credit Party.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490" w:right="439" w:bottom="1440" w:gutter="0" w:footer="0" w:header="0"/>
        </w:sectPr>
      </w:pPr>
    </w:p>
    <w:bookmarkStart w:id="9" w:name="page10"/>
    <w:bookmarkEnd w:id="9"/>
    <w:p>
      <w:pPr>
        <w:ind w:right="160" w:firstLine="436"/>
        <w:spacing w:after="0" w:line="277" w:lineRule="auto"/>
        <w:tabs>
          <w:tab w:leader="none" w:pos="69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Borrower shall have prepaid the Initial Term Loan such that the outstanding principal amount thereof on the Amendment Effective Date does not exceed $210,000,000.</w:t>
      </w:r>
    </w:p>
    <w:p>
      <w:pPr>
        <w:spacing w:after="0" w:line="170" w:lineRule="exact"/>
        <w:rPr>
          <w:rFonts w:ascii="Arial" w:cs="Arial" w:eastAsia="Arial" w:hAnsi="Arial"/>
          <w:sz w:val="18"/>
          <w:szCs w:val="18"/>
          <w:color w:val="auto"/>
        </w:rPr>
      </w:pPr>
    </w:p>
    <w:p>
      <w:pPr>
        <w:ind w:right="180" w:firstLine="436"/>
        <w:spacing w:after="0" w:line="277" w:lineRule="auto"/>
        <w:tabs>
          <w:tab w:leader="none" w:pos="6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closing of the Project Emerald Transaction (as defined in the Third Amendment) shall have occurred (or shall occur contemporaneously with the Amendment Effective Date).</w:t>
      </w:r>
    </w:p>
    <w:p>
      <w:pPr>
        <w:spacing w:after="0" w:line="170" w:lineRule="exact"/>
        <w:rPr>
          <w:rFonts w:ascii="Arial" w:cs="Arial" w:eastAsia="Arial" w:hAnsi="Arial"/>
          <w:sz w:val="18"/>
          <w:szCs w:val="18"/>
          <w:color w:val="auto"/>
        </w:rPr>
      </w:pPr>
    </w:p>
    <w:p>
      <w:pPr>
        <w:ind w:right="80" w:firstLine="436"/>
        <w:spacing w:after="0" w:line="263" w:lineRule="auto"/>
        <w:tabs>
          <w:tab w:leader="none" w:pos="6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Administrative Agent shall have received payment from the Borrower of (i) the Effective Date Fee (as defined below) and (ii) reasonable fees, charges and disbursements of the Administrative Agent, McGuireWoods LLP, counsel for the Administrative Agent, and of RPA Advisors, LLC, financial advisor engaged on behalf of the Administrative Agent.</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Amendment Fees</w:t>
      </w:r>
      <w:r>
        <w:rPr>
          <w:rFonts w:ascii="Arial" w:cs="Arial" w:eastAsia="Arial" w:hAnsi="Arial"/>
          <w:sz w:val="18"/>
          <w:szCs w:val="18"/>
          <w:color w:val="auto"/>
        </w:rPr>
        <w:t>. The Borrower shall pay to the Administrative Agent, for the ratable benefit of each Lender (as of the date that such fee is payable), an amendment fee, which shall be fully-earned and non-refundable as of the Amendment Effective Date (defined below), payable as set forth below:</w:t>
      </w:r>
    </w:p>
    <w:p>
      <w:pPr>
        <w:spacing w:after="0" w:line="184" w:lineRule="exact"/>
        <w:rPr>
          <w:sz w:val="20"/>
          <w:szCs w:val="20"/>
          <w:color w:val="auto"/>
        </w:rPr>
      </w:pPr>
    </w:p>
    <w:p>
      <w:pPr>
        <w:ind w:firstLine="436"/>
        <w:spacing w:after="0" w:line="277"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aggregate amount equal to [***] of the Total Credit Exposure of the Lenders, as of the Amendment Effective Date (after giving effect to the Amendment), which amount shall be paid on the Amendment Effective Date (the “</w:t>
      </w:r>
      <w:r>
        <w:rPr>
          <w:rFonts w:ascii="Arial" w:cs="Arial" w:eastAsia="Arial" w:hAnsi="Arial"/>
          <w:sz w:val="18"/>
          <w:szCs w:val="18"/>
          <w:u w:val="single" w:color="auto"/>
          <w:color w:val="auto"/>
        </w:rPr>
        <w:t>Effective Date Fee</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right="100" w:firstLine="436"/>
        <w:spacing w:after="0" w:line="259"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aggregate amount equal to [***] of the Total Credit Exposure of the Lenders as of the occurrence of the earlier of (x) September 1, 2024 and (y) an Event of Default (such date, the “</w:t>
      </w:r>
      <w:r>
        <w:rPr>
          <w:rFonts w:ascii="Arial" w:cs="Arial" w:eastAsia="Arial" w:hAnsi="Arial"/>
          <w:sz w:val="18"/>
          <w:szCs w:val="18"/>
          <w:u w:val="single" w:color="auto"/>
          <w:color w:val="auto"/>
        </w:rPr>
        <w:t>2024 Fee Calculation Date</w:t>
      </w:r>
      <w:r>
        <w:rPr>
          <w:rFonts w:ascii="Arial" w:cs="Arial" w:eastAsia="Arial" w:hAnsi="Arial"/>
          <w:sz w:val="18"/>
          <w:szCs w:val="18"/>
          <w:color w:val="auto"/>
        </w:rPr>
        <w:t>”), which amount (the “</w:t>
      </w:r>
      <w:r>
        <w:rPr>
          <w:rFonts w:ascii="Arial" w:cs="Arial" w:eastAsia="Arial" w:hAnsi="Arial"/>
          <w:sz w:val="18"/>
          <w:szCs w:val="18"/>
          <w:u w:val="single" w:color="auto"/>
          <w:color w:val="auto"/>
        </w:rPr>
        <w:t>2024 Amendment Fee Amount</w:t>
      </w:r>
      <w:r>
        <w:rPr>
          <w:rFonts w:ascii="Arial" w:cs="Arial" w:eastAsia="Arial" w:hAnsi="Arial"/>
          <w:sz w:val="18"/>
          <w:szCs w:val="18"/>
          <w:color w:val="auto"/>
        </w:rPr>
        <w:t xml:space="preserve">”) shall be paid on the 2024 Fee Calculation Date; </w:t>
      </w:r>
      <w:r>
        <w:rPr>
          <w:rFonts w:ascii="Arial" w:cs="Arial" w:eastAsia="Arial" w:hAnsi="Arial"/>
          <w:sz w:val="18"/>
          <w:szCs w:val="18"/>
          <w:u w:val="single" w:color="auto"/>
          <w:color w:val="auto"/>
        </w:rPr>
        <w:t>provided</w:t>
      </w:r>
      <w:r>
        <w:rPr>
          <w:rFonts w:ascii="Arial" w:cs="Arial" w:eastAsia="Arial" w:hAnsi="Arial"/>
          <w:sz w:val="18"/>
          <w:szCs w:val="18"/>
          <w:color w:val="auto"/>
        </w:rPr>
        <w:t>, that, the Lenders hereby acknowledge and agree that the 2024 Amendment Fee Amount shall be waived in full if all Obligations have been paid in full prior to the 2024 Fee Calculation Date.</w:t>
      </w:r>
    </w:p>
    <w:p>
      <w:pPr>
        <w:spacing w:after="0" w:line="187"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Administrative Agent and the Lenders to enter into this Amendment, each Credit Party represents and warrants to the Administrative Agent and the Lenders on and as of the Amendment Effective Date that, in each case:</w:t>
      </w:r>
    </w:p>
    <w:p>
      <w:pPr>
        <w:spacing w:after="0" w:line="124" w:lineRule="exact"/>
        <w:rPr>
          <w:sz w:val="20"/>
          <w:szCs w:val="20"/>
          <w:color w:val="auto"/>
        </w:rPr>
      </w:pPr>
    </w:p>
    <w:p>
      <w:pPr>
        <w:ind w:right="40" w:firstLine="436"/>
        <w:spacing w:after="0" w:line="296" w:lineRule="auto"/>
        <w:tabs>
          <w:tab w:leader="none" w:pos="6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Credit Party set forth in the Credit Agreement and in each other Loan Document to which it is a party are true and correct in all material respects on and as of the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61" w:lineRule="exact"/>
        <w:rPr>
          <w:rFonts w:ascii="Arial" w:cs="Arial" w:eastAsia="Arial" w:hAnsi="Arial"/>
          <w:sz w:val="16"/>
          <w:szCs w:val="16"/>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for the Existing Defaults, no Default or Event of Default has occurred and is continuing;</w:t>
      </w:r>
    </w:p>
    <w:p>
      <w:pPr>
        <w:spacing w:after="0" w:line="225" w:lineRule="exact"/>
        <w:rPr>
          <w:rFonts w:ascii="Arial" w:cs="Arial" w:eastAsia="Arial" w:hAnsi="Arial"/>
          <w:sz w:val="18"/>
          <w:szCs w:val="18"/>
          <w:color w:val="auto"/>
        </w:rPr>
      </w:pPr>
    </w:p>
    <w:p>
      <w:pPr>
        <w:ind w:right="280" w:firstLine="436"/>
        <w:spacing w:after="0" w:line="277"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value of all Intellectual Property registered in any jurisdiction outside of the United States and owned by the Credit Parties is immaterial to the Credit Parties, taken as a whole (as determined in the Borrower’s good faith);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490" w:right="499" w:bottom="1440" w:gutter="0" w:footer="0" w:header="0"/>
        </w:sectPr>
      </w:pPr>
    </w:p>
    <w:bookmarkStart w:id="10" w:name="page11"/>
    <w:bookmarkEnd w:id="10"/>
    <w:p>
      <w:pPr>
        <w:ind w:right="380" w:firstLine="436"/>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it has all requisite power and authority and has taken all necessary corporate and other action to authorize the execution, delivery and performance of this Amendment and each other document executed in connection herewith to which it is a party in accordance with their respective terms and the transactions contemplated hereby; and</w:t>
      </w:r>
    </w:p>
    <w:p>
      <w:pPr>
        <w:spacing w:after="0" w:line="183" w:lineRule="exact"/>
        <w:rPr>
          <w:rFonts w:ascii="Arial" w:cs="Arial" w:eastAsia="Arial" w:hAnsi="Arial"/>
          <w:sz w:val="18"/>
          <w:szCs w:val="18"/>
          <w:color w:val="auto"/>
        </w:rPr>
      </w:pPr>
    </w:p>
    <w:p>
      <w:pPr>
        <w:jc w:val="both"/>
        <w:ind w:right="280" w:firstLine="436"/>
        <w:spacing w:after="0" w:line="259"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Amendment and each other document executed in connection herewith has been duly executed and delivered by the duly authorized officers of each Credit Party, and each such document constitutes the legal, valid and binding obligation of each such Credit Party, enforceable in accordance with its terms, subject to applicable bankruptcy, insolvency, reorganization, moratorium or other laws affecting creditors’ rights generally and subject to general principals of equity.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General Release</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85" w:lineRule="auto"/>
        <w:tabs>
          <w:tab w:leader="none" w:pos="6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consideration of, among other things, Administrative Agent’s and the Lenders’ execution and delivery of this Amendment, each of Borrower and the other Credit Parties, on behalf of itself and its Related Parties, successors and assigns (collectively, “</w:t>
      </w:r>
      <w:r>
        <w:rPr>
          <w:rFonts w:ascii="Arial" w:cs="Arial" w:eastAsia="Arial" w:hAnsi="Arial"/>
          <w:sz w:val="16"/>
          <w:szCs w:val="16"/>
          <w:u w:val="single" w:color="auto"/>
          <w:color w:val="auto"/>
        </w:rPr>
        <w:t>Releasors</w:t>
      </w:r>
      <w:r>
        <w:rPr>
          <w:rFonts w:ascii="Arial" w:cs="Arial" w:eastAsia="Arial" w:hAnsi="Arial"/>
          <w:sz w:val="16"/>
          <w:szCs w:val="16"/>
          <w:color w:val="auto"/>
        </w:rPr>
        <w:t>”), hereby forever agrees and covenants not to sue or prosecute against any Releasee (as hereinafter defined) and hereby forever waives, releases and discharges, to the fullest extent permitted by law, each Releasee from any and all claims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against the Administrative Agent (and any sub-agent thereof), each Lender and each Issuing Lender and their respective Related Parties, and their respective successors and assigns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based in whole or in part on facts, whether or not now known, existing on or before the Amendment Effective Date, that relate to, arise out of or otherwise are in connection with: (i) any or all of the Loan Documents or transactions contemplated thereby or any actions or omissions in connection therewith, or (ii) any aspect of the dealings or relationships between or among Borrower and the other Credit Parties, on the one hand, and any or all of the Administrative Agent, the Lenders and the Issuing Lenders, on the other hand, relating to any or all of the documents, transactions, actions or omissions referenced in clause (i) hereof. In entering into this Amendment, Borrower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w:t>
      </w:r>
    </w:p>
    <w:p>
      <w:pPr>
        <w:spacing w:after="0" w:line="176" w:lineRule="exact"/>
        <w:rPr>
          <w:rFonts w:ascii="Arial" w:cs="Arial" w:eastAsia="Arial" w:hAnsi="Arial"/>
          <w:sz w:val="16"/>
          <w:szCs w:val="16"/>
          <w:color w:val="auto"/>
        </w:rPr>
      </w:pPr>
    </w:p>
    <w:p>
      <w:pPr>
        <w:ind w:firstLine="436"/>
        <w:spacing w:after="0" w:line="293"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Each of Borrower and other Credit Parties, on behalf of itself and its Related Parties and its successors, assigns,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hereof. If Borrower, any other Credit Party or any of its successors, assigns or other legal representatives violates the foregoing covenant, Borrower and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spacing w:after="0" w:line="164" w:lineRule="exact"/>
        <w:rPr>
          <w:rFonts w:ascii="Arial" w:cs="Arial" w:eastAsia="Arial" w:hAnsi="Arial"/>
          <w:sz w:val="16"/>
          <w:szCs w:val="16"/>
          <w:color w:val="auto"/>
        </w:rPr>
      </w:pPr>
    </w:p>
    <w:p>
      <w:pPr>
        <w:ind w:left="680" w:hanging="244"/>
        <w:spacing w:after="0"/>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party’s obligations under this Section shall survive the termination of the Loan Documents and payment of the obligations thereunder.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90" w:right="459" w:bottom="1440" w:gutter="0" w:footer="0" w:header="0"/>
        </w:sectPr>
      </w:pPr>
    </w:p>
    <w:bookmarkStart w:id="11" w:name="page12"/>
    <w:bookmarkEnd w:id="11"/>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8. </w:t>
      </w:r>
      <w:r>
        <w:rPr>
          <w:rFonts w:ascii="Arial" w:cs="Arial" w:eastAsia="Arial" w:hAnsi="Arial"/>
          <w:sz w:val="16"/>
          <w:szCs w:val="16"/>
          <w:u w:val="single" w:color="auto"/>
          <w:color w:val="auto"/>
        </w:rPr>
        <w:t>Reference to and Effect on the Credit Agreement and the Loan Documents</w:t>
      </w:r>
      <w:r>
        <w:rPr>
          <w:rFonts w:ascii="Arial" w:cs="Arial" w:eastAsia="Arial" w:hAnsi="Arial"/>
          <w:sz w:val="16"/>
          <w:szCs w:val="16"/>
          <w:color w:val="auto"/>
        </w:rPr>
        <w:t>. Except as expressly provided herein, the Existing Credit Agreement, the Existing Collateral Agreement and the other Loan Documents shall remain unmodified and in full force and effect. This Amendment shall not be deemed (a) to be a waiver of, or consent to, or a modification or amendment of, any other term or condition of the Existing Credit Agreement, the Existing Collateral Agreement or any other Loan Document other than as expressly set forth herein, (b) to prejudice any right or rights which the Administrative Agent or the Lenders may now have or may have in the future under or in connection with the Existing Credit Agreement, the Existing Collateral Agreement or the other Loan Documents or any of the instruments or agreements referred to therein, as the same may be amended, restated, supplemented or modified from time to time, or (c) to be a commitment or any other undertaking or expression of any willingness to engage in any further discussion with the Borrower, any of its Subsidiaries or any other Person with respect to any other waiver, amendment, modification or any other change to the Existing Credit Agreement, the Existing Collateral Agreement or the Loan Documents or any rights or remedies arising in favor of the Lenders or the Administrative Agent, or any of them, under or with respect to any such documents. References in the Credit Agreement to “this Agreement” (and indirect references such as “hereunder”, “hereby”, “herein”, “hereof” or other words of like import) and in any Loan Document to the “Credit Agreement” shall be deemed to be references to the Existing Credit Agreement as modified hereby. References in the Collateral Agreement to “this Agreement” (and indirect references such as “hereunder”, “hereby”, “herein”, “hereof” or other words of like import) and in any Loan Document to the “Collateral Agreement” shall be deemed to be references to the Existing Collateral Agreement as modified hereby.</w:t>
      </w:r>
    </w:p>
    <w:p>
      <w:pPr>
        <w:spacing w:after="0" w:line="17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Credit Party agrees to, to the extent required by the Loan Documents, make, execute and deliver all such additional and further acts, things, deeds, instruments and documents as the Administrative Agent may reasonably require for the purposes of implementing or effectuating the provisions of this Amendment and the other Loan Documents.</w:t>
      </w:r>
    </w:p>
    <w:p>
      <w:pPr>
        <w:spacing w:after="0" w:line="184"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Acknowledgement and Reaffirmation</w:t>
      </w:r>
      <w:r>
        <w:rPr>
          <w:rFonts w:ascii="Arial" w:cs="Arial" w:eastAsia="Arial" w:hAnsi="Arial"/>
          <w:sz w:val="17"/>
          <w:szCs w:val="17"/>
          <w:color w:val="auto"/>
        </w:rPr>
        <w:t>. Each Credit Party (a) consents to this Amendment and agrees that the transactions contemplated by this Amendment shall not limit or diminish the obligations of such Person under, or release such Person from any obligations under, any of the Loan Documents to which it is a party (as amended pursuant to this Amendment), (b) confirms and reaffirms its obligations under each of the Loan Documents to which it is a party (as amended pursuant to this Amendment) and (c) agrees that each of the Loan Documents to which it is a party (as amended pursuant to this Amendment) remains in full force and effect and is hereby ratified and confirmed.</w:t>
      </w:r>
    </w:p>
    <w:p>
      <w:pPr>
        <w:spacing w:after="0" w:line="17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hereby reconfirms its obligations pursuant to </w:t>
      </w:r>
      <w:r>
        <w:rPr>
          <w:rFonts w:ascii="Arial" w:cs="Arial" w:eastAsia="Arial" w:hAnsi="Arial"/>
          <w:sz w:val="18"/>
          <w:szCs w:val="18"/>
          <w:u w:val="single" w:color="auto"/>
          <w:color w:val="auto"/>
        </w:rPr>
        <w:t>Section 12.3(a)</w:t>
      </w:r>
      <w:r>
        <w:rPr>
          <w:rFonts w:ascii="Arial" w:cs="Arial" w:eastAsia="Arial" w:hAnsi="Arial"/>
          <w:sz w:val="18"/>
          <w:szCs w:val="18"/>
          <w:color w:val="auto"/>
        </w:rPr>
        <w:t xml:space="preserve"> of the Credit Agreement to pay and reimburse the Administrative Agent in accordance with the terms thereof.</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 YORK.</w:t>
      </w:r>
    </w:p>
    <w:p>
      <w:pPr>
        <w:spacing w:after="0" w:line="17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the different parties hereto on separate counterparts, each of which counterparts when executed and delivered shall be an original, but all of which shall together constitute one and the same instrument. Delivery by facsimile or electronic transmission of an executed counterpart of a signature page to this Amendment shall be effective as delivery of an original executed counterpart of this Amendment.</w:t>
      </w:r>
    </w:p>
    <w:p>
      <w:pPr>
        <w:spacing w:after="0" w:line="18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is the entire agreement, and supersedes any prior agreements and contemporaneous oral agreements, of the parties concerning its subject matter. This Amendment is a Loan Document and is subject to the terms and conditions of the Credit Agreement.</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Amendment shall be binding on and inure to the benefit of the parties hereto and their successors and permitted assigns.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490" w:right="439" w:bottom="1440" w:gutter="0" w:footer="0" w:header="0"/>
        </w:sectPr>
      </w:pPr>
    </w:p>
    <w:bookmarkStart w:id="12" w:name="page13"/>
    <w:bookmarkEnd w:id="12"/>
    <w:p>
      <w:pPr>
        <w:ind w:firstLine="40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16. </w:t>
      </w:r>
      <w:r>
        <w:rPr>
          <w:rFonts w:ascii="Arial" w:cs="Arial" w:eastAsia="Arial" w:hAnsi="Arial"/>
          <w:sz w:val="16"/>
          <w:szCs w:val="16"/>
          <w:u w:val="single" w:color="auto"/>
          <w:color w:val="auto"/>
        </w:rPr>
        <w:t>Outstanding Eurocurrency Rate Loans</w:t>
      </w:r>
      <w:r>
        <w:rPr>
          <w:rFonts w:ascii="Arial" w:cs="Arial" w:eastAsia="Arial" w:hAnsi="Arial"/>
          <w:sz w:val="16"/>
          <w:szCs w:val="16"/>
          <w:color w:val="auto"/>
        </w:rPr>
        <w:t xml:space="preserve">. All Eurocurrency Rate Loans (as defined in the Existing Credit Agreement) denominated in Dollars outstanding under the Existing Credit Agreement on the Amendment Effective Date shall continue as Eurocurrency Rate Loans denominated in Dollars under the Credit Agreement (and, notwithstanding anything in this Amendment including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to the contrary, subject to the terms and conditions and applicable interest rate terms (including breakage) with respect to Eurocurrency Rate Loans under the Existing Credit Agreement) solely for the remainder of the Interest Periods applicable thereto immediately prior to the effectiveness of this Amendment; it being understood that such Eurocurrency Rate Loans and Interest Periods are not being renewed or extended as a result of this Amendment and, upon the expiration or earlier termination of such Interest Periods, such Eurocurrency Rate Loans shall be (a) repaid or (b) converted to Base Rate Loans or SOFR Loans (in each case, as defined in the Credit Agreement) as the Borrower may elect (which election shall be made in accordance with the notice requirements set forth in the Credit Agreement as though the Borrower were requesting a borrowing to be made on the effective date of such conversion).</w:t>
      </w:r>
    </w:p>
    <w:p>
      <w:pPr>
        <w:spacing w:after="0" w:line="16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20" w:top="490" w:right="479" w:bottom="1440" w:gutter="0" w:footer="0" w:header="0"/>
        </w:sectPr>
      </w:pPr>
    </w:p>
    <w:bookmarkStart w:id="13" w:name="page14"/>
    <w:bookmarkEnd w:id="1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hereto have caused their duly authorized officers to execute and deliver this Amendment as of the date first above written.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EMERGENT BIOSOLUTIONS INC., as Borrower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EVP, Chief Financial Officer and Treasurer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CANGENE BIOPHARMA LLC, as Guarantor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EMERGENT BIODEFENSE OPERATIONS LANSING</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LLC, as Guarantor,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EMERGENT MANUFACTURING OPERATIONS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BALTIMORE LLC, as Guarantor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EMERGENT PRODUCT DEVELOPMENT</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GAITHERSBURG INC., as Guarantor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Treasurer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Fourth Amendment to Amended and Restated Credit Agreement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920"/>
          </w:cols>
          <w:pgMar w:left="440" w:top="490" w:right="539" w:bottom="1440" w:gutter="0" w:footer="0" w:header="0"/>
        </w:sectPr>
      </w:pPr>
    </w:p>
    <w:bookmarkStart w:id="14" w:name="page15"/>
    <w:bookmarkEnd w:id="14"/>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EMERGENT INTERNATIONAL INC., as Guarantor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EMERGENT TRAVEL HEALTH INC. (FORMERLY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KNOWN AS PAXVAX, INC.), as Guarantor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EMERGENT DEVICES INC. (FORMERLY KNOWN AS</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ADAPT PHARMA INC.), as Guarantor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Treasurer</w:t>
      </w:r>
    </w:p>
    <w:p>
      <w:pPr>
        <w:spacing w:after="0" w:line="143"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840"/>
          </w:cols>
          <w:pgMar w:left="1440" w:top="490" w:right="619" w:bottom="1440" w:gutter="0" w:footer="0" w:header="0"/>
        </w:sectPr>
      </w:pPr>
    </w:p>
    <w:bookmarkStart w:id="15" w:name="page16"/>
    <w:bookmarkEnd w:id="15"/>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WELLS FARGO BANK, NATIONAL ASSOCIATION, as</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Administrative Agent, Swingline Lender, Issuing Lender and</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Troy Jefferson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Troy Jefferson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00"/>
          </w:cols>
          <w:pgMar w:left="1440" w:top="490" w:right="459" w:bottom="1440" w:gutter="0" w:footer="0" w:header="0"/>
        </w:sectPr>
      </w:pPr>
    </w:p>
    <w:bookmarkStart w:id="16" w:name="page17"/>
    <w:bookmarkEnd w:id="16"/>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JPMORGAN CHASE BANK, N.A., as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Ling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Ling Li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17" w:name="page18"/>
    <w:bookmarkEnd w:id="17"/>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PNC BANK, NATIONAL ASSOCIATION, as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Alison J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Alison J Ford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w:t>
      </w:r>
    </w:p>
    <w:p>
      <w:pPr>
        <w:spacing w:after="0" w:line="3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20"/>
          </w:cols>
          <w:pgMar w:left="1440" w:top="490" w:right="939" w:bottom="1440" w:gutter="0" w:footer="0" w:header="0"/>
        </w:sectPr>
      </w:pPr>
    </w:p>
    <w:bookmarkStart w:id="18" w:name="page19"/>
    <w:bookmarkEnd w:id="18"/>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ROYAL BANK OF CANADA, as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Juliet K. M. 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Juliet K. M. Eck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19" w:name="page20"/>
    <w:bookmarkEnd w:id="19"/>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BMO HARRIS BANK N.A., as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Drew Feller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Drew Feller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20" w:name="page21"/>
    <w:bookmarkEnd w:id="20"/>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CAPITAL ONE, N.A., as Lender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Ryan Guenin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Ryan Guenin</w:t>
      </w:r>
    </w:p>
    <w:p>
      <w:pPr>
        <w:spacing w:after="0" w:line="23"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Title:  Duly Authorized Signatory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21" w:name="page22"/>
    <w:bookmarkEnd w:id="21"/>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CITIZENS BANK, N.A., as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Michael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Michael Flynn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22" w:name="page23"/>
    <w:bookmarkEnd w:id="22"/>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MUFG BANK, LTD., as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David Helffrich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Helffrich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Director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23" w:name="page24"/>
    <w:bookmarkEnd w:id="23"/>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REGIONS BANK, as Lender</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Mike Zingraf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Mike Zingraf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SVP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24" w:name="page25"/>
    <w:bookmarkEnd w:id="24"/>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TRUIST BANK as Successor by Merger SunTrust Bank, as</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Juan De Jesus-Caballero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Juan De Jesus-Caballero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w:t>
      </w:r>
    </w:p>
    <w:p>
      <w:pPr>
        <w:spacing w:after="0" w:line="386"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900"/>
          </w:cols>
          <w:pgMar w:left="1440" w:top="490" w:right="559" w:bottom="1440" w:gutter="0" w:footer="0" w:header="0"/>
        </w:sectPr>
      </w:pPr>
    </w:p>
    <w:bookmarkStart w:id="25" w:name="page26"/>
    <w:bookmarkEnd w:id="25"/>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HUNTINGTON NATIONAL BANK, as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Nathan 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Nate Drews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Financial Recovery Rep.</w:t>
      </w:r>
    </w:p>
    <w:p>
      <w:pPr>
        <w:spacing w:after="0" w:line="38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480"/>
          </w:cols>
          <w:pgMar w:left="1440" w:top="490" w:right="979" w:bottom="1440" w:gutter="0" w:footer="0" w:header="0"/>
        </w:sectPr>
      </w:pPr>
    </w:p>
    <w:bookmarkStart w:id="26" w:name="page27"/>
    <w:bookmarkEnd w:id="26"/>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BANK OF AMERICA, N.A., as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Huan Z.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Huan Z. Long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27" w:name="page28"/>
    <w:bookmarkEnd w:id="27"/>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BMO HARRIS BANK N.A., successor by merger to BANK</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OF THE WEST, as a Lender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Ron Freed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Ron Freed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960"/>
          </w:cols>
          <w:pgMar w:left="1440" w:top="490" w:right="499" w:bottom="1440" w:gutter="0" w:footer="0" w:header="0"/>
        </w:sectPr>
      </w:pPr>
    </w:p>
    <w:bookmarkStart w:id="28" w:name="page29"/>
    <w:bookmarkEnd w:id="28"/>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DNB CAPITAL LLC, as a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Dania Hinedi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Dania Hinedi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Senior Vice President</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Devan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Devan Patel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Senior Vice President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29" w:name="page30"/>
    <w:bookmarkEnd w:id="29"/>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FIRST NATIONAL BANK OF PENNSYLVANIA,</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Paul Shickel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Paul Shickel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300"/>
          </w:cols>
          <w:pgMar w:left="1440" w:top="490" w:right="1159" w:bottom="1440" w:gutter="0" w:footer="0" w:header="0"/>
        </w:sectPr>
      </w:pPr>
    </w:p>
    <w:bookmarkStart w:id="30" w:name="page31"/>
    <w:bookmarkEnd w:id="30"/>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FIFTH THIRD BANK, as a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Brad McDougall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Brad McDougall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31" w:name="page32"/>
    <w:bookmarkEnd w:id="31"/>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HSBC BANK USA, N.A., as a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 Burns</w:t>
      </w:r>
    </w:p>
    <w:p>
      <w:pPr>
        <w:spacing w:after="0" w:line="23"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Title: Director, Credit Management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32" w:name="page33"/>
    <w:bookmarkEnd w:id="32"/>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MORGAN STANLEY BANK, N.A., as a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38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160"/>
          </w:cols>
          <w:pgMar w:left="1440" w:top="490" w:right="1299" w:bottom="1440" w:gutter="0" w:footer="0" w:header="0"/>
        </w:sectPr>
      </w:pPr>
    </w:p>
    <w:bookmarkStart w:id="33" w:name="page34"/>
    <w:bookmarkEnd w:id="33"/>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M&amp;T BANK, as a Lender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Francis Ballarn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jc w:val="right"/>
        <w:ind w:right="1439"/>
        <w:spacing w:after="0"/>
        <w:rPr>
          <w:sz w:val="20"/>
          <w:szCs w:val="20"/>
          <w:color w:val="auto"/>
        </w:rPr>
      </w:pPr>
      <w:r>
        <w:rPr>
          <w:rFonts w:ascii="Arial" w:cs="Arial" w:eastAsia="Arial" w:hAnsi="Arial"/>
          <w:sz w:val="18"/>
          <w:szCs w:val="18"/>
          <w:color w:val="auto"/>
        </w:rPr>
        <w:t>Name: Francis Ballarn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SVP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34" w:name="page35"/>
    <w:bookmarkEnd w:id="34"/>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TD BANK, N.A., as a Lender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Steve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Steve Levi</w:t>
      </w:r>
    </w:p>
    <w:p>
      <w:pPr>
        <w:spacing w:after="0" w:line="23" w:lineRule="exact"/>
        <w:rPr>
          <w:sz w:val="20"/>
          <w:szCs w:val="20"/>
          <w:color w:val="auto"/>
        </w:rPr>
      </w:pPr>
    </w:p>
    <w:p>
      <w:pPr>
        <w:jc w:val="right"/>
        <w:ind w:right="979"/>
        <w:spacing w:after="0"/>
        <w:rPr>
          <w:sz w:val="20"/>
          <w:szCs w:val="20"/>
          <w:color w:val="auto"/>
        </w:rPr>
      </w:pPr>
      <w:r>
        <w:rPr>
          <w:rFonts w:ascii="Arial" w:cs="Arial" w:eastAsia="Arial" w:hAnsi="Arial"/>
          <w:sz w:val="18"/>
          <w:szCs w:val="18"/>
          <w:color w:val="auto"/>
        </w:rPr>
        <w:t>Title:  Senior Vice President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490" w:right="1440" w:bottom="1440" w:gutter="0" w:footer="0" w:header="0"/>
        </w:sectPr>
      </w:pPr>
    </w:p>
    <w:bookmarkStart w:id="35" w:name="page36"/>
    <w:bookmarkEnd w:id="35"/>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U.S. BANK NATIONAL ASSOCIATION, as a Lender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Karen Royer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Karen Royer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SVP</w:t>
      </w:r>
    </w:p>
    <w:p>
      <w:pPr>
        <w:spacing w:after="0" w:line="3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Fourth Amendment to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60"/>
          </w:cols>
          <w:pgMar w:left="1440" w:top="490" w:right="8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To Fourth Amendment to Amended and Restated 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490"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ANNEX A TO FOURTH AMENDMENT 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0000FF"/>
        </w:rPr>
        <w:t>AMENDED AND RESTATED CREDIT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29100YAF0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CUSIP Number: 29100YAG8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Loan CUSIP Number: 29100YAH6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426085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477520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FF0000"/>
          <w:strike w:val="1"/>
        </w:rPr>
        <w:t>$1,050,000,000</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dated as of October 15, 2018,</w:t>
      </w:r>
    </w:p>
    <w:p>
      <w:pPr>
        <w:spacing w:after="0" w:line="23" w:lineRule="exact"/>
        <w:rPr>
          <w:sz w:val="20"/>
          <w:szCs w:val="20"/>
          <w:color w:val="auto"/>
        </w:rPr>
      </w:pPr>
    </w:p>
    <w:p>
      <w:pPr>
        <w:jc w:val="center"/>
        <w:ind w:right="16"/>
        <w:spacing w:after="0" w:line="302" w:lineRule="auto"/>
        <w:rPr>
          <w:sz w:val="20"/>
          <w:szCs w:val="20"/>
          <w:color w:val="auto"/>
        </w:rPr>
      </w:pPr>
      <w:r>
        <w:rPr>
          <w:rFonts w:ascii="Arial" w:cs="Arial" w:eastAsia="Arial" w:hAnsi="Arial"/>
          <w:sz w:val="16"/>
          <w:szCs w:val="16"/>
          <w:u w:val="single" w:color="auto"/>
          <w:color w:val="0000FF"/>
        </w:rPr>
        <w:t xml:space="preserve">(as amended by (i) First Amendment to Amended and Restated Credit Agreement dated as of June 27, 2019 and (ii) Second Amendment to Amended and Restated Credit </w:t>
      </w:r>
      <w:r>
        <w:rPr>
          <w:rFonts w:ascii="Arial" w:cs="Arial" w:eastAsia="Arial" w:hAnsi="Arial"/>
          <w:sz w:val="16"/>
          <w:szCs w:val="16"/>
          <w:u w:val="single" w:color="auto"/>
          <w:color w:val="008000"/>
        </w:rPr>
        <w:t>Agreement dated as of August</w:t>
      </w:r>
      <w:r>
        <w:rPr>
          <w:rFonts w:ascii="Arial" w:cs="Arial" w:eastAsia="Arial" w:hAnsi="Arial"/>
          <w:sz w:val="16"/>
          <w:szCs w:val="16"/>
          <w:u w:val="single" w:color="auto"/>
          <w:color w:val="0000FF"/>
        </w:rPr>
        <w:t xml:space="preserve"> 7, 2020, (iii) Consent, Limited Waiver and Third Amendment to Amended and Restated Credit Agreement dated as of February 14, 2023, and (iv) Fourth Amendment to Amended and Restated Credit Agreement dated as of May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-294640</wp:posOffset>
            </wp:positionV>
            <wp:extent cx="68065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-157480</wp:posOffset>
            </wp:positionV>
            <wp:extent cx="66522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-20320</wp:posOffset>
            </wp:positionV>
            <wp:extent cx="65151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EMERGENT BIOSOLUTIONS INC.</w:t>
      </w:r>
      <w:r>
        <w:rPr>
          <w:rFonts w:ascii="Arial" w:cs="Arial" w:eastAsia="Arial" w:hAnsi="Arial"/>
          <w:sz w:val="18"/>
          <w:szCs w:val="18"/>
          <w:color w:val="auto"/>
        </w:rPr>
        <w: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Lenders referred to herein,</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Swingline Lender and </w:t>
      </w:r>
      <w:r>
        <w:rPr>
          <w:rFonts w:ascii="Arial" w:cs="Arial" w:eastAsia="Arial" w:hAnsi="Arial"/>
          <w:sz w:val="18"/>
          <w:szCs w:val="18"/>
          <w:u w:val="single" w:color="auto"/>
          <w:color w:val="0000FF"/>
        </w:rPr>
        <w:t>an</w:t>
      </w:r>
      <w:r>
        <w:rPr>
          <w:rFonts w:ascii="Arial" w:cs="Arial" w:eastAsia="Arial" w:hAnsi="Arial"/>
          <w:sz w:val="18"/>
          <w:szCs w:val="18"/>
          <w:color w:val="auto"/>
        </w:rPr>
        <w:t xml:space="preserve">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14605</wp:posOffset>
            </wp:positionV>
            <wp:extent cx="102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PNC CAPITAL MARKETS LLC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and</w:t>
      </w:r>
    </w:p>
    <w:p>
      <w:pPr>
        <w:jc w:val="center"/>
        <w:ind w:right="-3"/>
        <w:spacing w:after="0" w:line="181" w:lineRule="auto"/>
        <w:rPr>
          <w:sz w:val="20"/>
          <w:szCs w:val="20"/>
          <w:color w:val="auto"/>
        </w:rPr>
      </w:pPr>
      <w:r>
        <w:rPr>
          <w:rFonts w:ascii="Arial" w:cs="Arial" w:eastAsia="Arial" w:hAnsi="Arial"/>
          <w:sz w:val="18"/>
          <w:szCs w:val="18"/>
          <w:b w:val="1"/>
          <w:bCs w:val="1"/>
          <w:color w:val="auto"/>
        </w:rPr>
        <w:t>RBC CAPITAL MARKETS</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Joint Lead Arranger and Joint Bookrunner</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JPMORGAN CHASE BANK, N.A., PNC BANK, NATIONAL ASSOCIATION </w:t>
      </w:r>
      <w:r>
        <w:rPr>
          <w:rFonts w:ascii="Arial" w:cs="Arial" w:eastAsia="Arial" w:hAnsi="Arial"/>
          <w:sz w:val="18"/>
          <w:szCs w:val="18"/>
          <w:color w:val="auto"/>
        </w:rPr>
        <w:t>and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Syndication Agents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REGIONS BANK, </w:t>
      </w:r>
      <w:r>
        <w:rPr>
          <w:rFonts w:ascii="Arial" w:cs="Arial" w:eastAsia="Arial" w:hAnsi="Arial"/>
          <w:sz w:val="18"/>
          <w:szCs w:val="18"/>
          <w:b w:val="1"/>
          <w:bCs w:val="1"/>
          <w:u w:val="single" w:color="auto"/>
          <w:color w:val="0000FF"/>
        </w:rPr>
        <w:t>TRUIST BANK AS SUCCESSOR BY MERGER TO</w:t>
      </w:r>
      <w:r>
        <w:rPr>
          <w:rFonts w:ascii="Arial" w:cs="Arial" w:eastAsia="Arial" w:hAnsi="Arial"/>
          <w:sz w:val="18"/>
          <w:szCs w:val="18"/>
          <w:b w:val="1"/>
          <w:bCs w:val="1"/>
          <w:color w:val="auto"/>
        </w:rPr>
        <w:t xml:space="preserve"> SUNTRUST BANK,</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BANK OF MONTREAL, CAPITAL ONE, NATIONAL ASSOCIATION, CITIZENS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-121920</wp:posOffset>
            </wp:positionV>
            <wp:extent cx="25800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18"/>
          <w:szCs w:val="18"/>
          <w:b w:val="1"/>
          <w:bCs w:val="1"/>
          <w:color w:val="auto"/>
        </w:rPr>
        <w:t xml:space="preserve">NATIONAL ASSOCIATION, MUFG </w:t>
      </w:r>
      <w:r>
        <w:rPr>
          <w:rFonts w:ascii="Arial" w:cs="Arial" w:eastAsia="Arial" w:hAnsi="Arial"/>
          <w:sz w:val="18"/>
          <w:szCs w:val="18"/>
          <w:b w:val="1"/>
          <w:bCs w:val="1"/>
          <w:color w:val="FF0000"/>
          <w:strike w:val="1"/>
        </w:rPr>
        <w:t>UNION</w:t>
      </w:r>
      <w:r>
        <w:rPr>
          <w:rFonts w:ascii="Arial" w:cs="Arial" w:eastAsia="Arial" w:hAnsi="Arial"/>
          <w:sz w:val="18"/>
          <w:szCs w:val="18"/>
          <w:b w:val="1"/>
          <w:bCs w:val="1"/>
          <w:color w:val="auto"/>
        </w:rPr>
        <w:t xml:space="preserve"> BANK, </w:t>
      </w:r>
      <w:r>
        <w:rPr>
          <w:rFonts w:ascii="Arial" w:cs="Arial" w:eastAsia="Arial" w:hAnsi="Arial"/>
          <w:sz w:val="18"/>
          <w:szCs w:val="18"/>
          <w:b w:val="1"/>
          <w:bCs w:val="1"/>
          <w:color w:val="FF0000"/>
          <w:strike w:val="1"/>
        </w:rPr>
        <w:t>N.A</w:t>
      </w:r>
      <w:r>
        <w:rPr>
          <w:rFonts w:ascii="Arial" w:cs="Arial" w:eastAsia="Arial" w:hAnsi="Arial"/>
          <w:sz w:val="18"/>
          <w:szCs w:val="18"/>
          <w:b w:val="1"/>
          <w:bCs w:val="1"/>
          <w:u w:val="single" w:color="auto"/>
          <w:color w:val="0000FF"/>
        </w:rPr>
        <w:t>LTD</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HUNTINGTON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NATIONAL BANK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-121920</wp:posOffset>
            </wp:positionV>
            <wp:extent cx="2228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580390</wp:posOffset>
            </wp:positionV>
            <wp:extent cx="6995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605790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742950</wp:posOffset>
            </wp:positionV>
            <wp:extent cx="7715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4" w:hanging="444"/>
        <w:spacing w:after="0"/>
        <w:tabs>
          <w:tab w:leader="none" w:pos="444"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RBC Capital Markets is a brand name for the capital markets businesses of Royal Bank of Canada and its affiliates.</w:t>
      </w:r>
    </w:p>
    <w:p>
      <w:pPr>
        <w:sectPr>
          <w:pgSz w:w="11900" w:h="16838" w:orient="portrait"/>
          <w:cols w:equalWidth="0" w:num="1">
            <w:col w:w="11024"/>
          </w:cols>
          <w:pgMar w:left="436" w:top="486"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gridSpan w:val="2"/>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0" w:type="dxa"/>
            <w:vAlign w:val="bottom"/>
            <w:gridSpan w:val="3"/>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0600" w:type="dxa"/>
            <w:vAlign w:val="bottom"/>
            <w:gridSpan w:val="5"/>
          </w:tcPr>
          <w:p>
            <w:pPr>
              <w:spacing w:after="0"/>
              <w:rPr>
                <w:sz w:val="20"/>
                <w:szCs w:val="20"/>
                <w:color w:val="auto"/>
              </w:rPr>
            </w:pPr>
            <w:r>
              <w:rPr>
                <w:rFonts w:ascii="Arial" w:cs="Arial" w:eastAsia="Arial" w:hAnsi="Arial"/>
                <w:sz w:val="18"/>
                <w:szCs w:val="18"/>
                <w:color w:val="auto"/>
              </w:rPr>
              <w:t>ARTICLE I DEFINITIONS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1.1 Definitions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1.2 Other Definitions and Provisions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1.3 Accounting Terms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1.4 UCC Terms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1.5 Rounding</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1.6 References to Agreement and Laws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1.7 Times of Day</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1.8 Letter of Credit Amounts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1.9 Guarantees/Earn Outs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1.10 Covenant Compliance Generally</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1.11 Exchange Rates; Currency Equivalents</w:t>
            </w:r>
            <w:r>
              <w:rPr>
                <w:rFonts w:ascii="Arial" w:cs="Arial" w:eastAsia="Arial" w:hAnsi="Arial"/>
                <w:sz w:val="18"/>
                <w:szCs w:val="18"/>
                <w:color w:val="0000FF"/>
              </w:rPr>
              <w:t>; Daily Simple SONIA Loans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43</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20" w:type="dxa"/>
            <w:vAlign w:val="bottom"/>
            <w:tcBorders>
              <w:top w:val="single" w:sz="8" w:color="0000FF"/>
              <w:bottom w:val="single" w:sz="8" w:color="0000FF"/>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1.12 Change of Currency</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1.13 Additional Alternative Currencies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1.14 Limited Condition Acquisitions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1.15 Rates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1.16 Divisions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600" w:type="dxa"/>
            <w:vAlign w:val="bottom"/>
            <w:gridSpan w:val="5"/>
          </w:tcPr>
          <w:p>
            <w:pPr>
              <w:spacing w:after="0"/>
              <w:rPr>
                <w:sz w:val="20"/>
                <w:szCs w:val="20"/>
                <w:color w:val="auto"/>
              </w:rPr>
            </w:pPr>
            <w:r>
              <w:rPr>
                <w:rFonts w:ascii="Arial" w:cs="Arial" w:eastAsia="Arial" w:hAnsi="Arial"/>
                <w:sz w:val="18"/>
                <w:szCs w:val="18"/>
                <w:color w:val="auto"/>
              </w:rPr>
              <w:t>ARTICLE II REVOLVING CREDIT FACILITY</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2.1 Revolving Credit Loans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2.2 Swingline Loans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2.3 Procedure for Advances of Revolving Credit Loans and Swingline Loans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2.4 Repayment and Prepayment of Revolving Credit and Swingline Loans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2.5 Permanent Reduction of the Revolving Credit Commitment</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50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2.6 Termination of Revolving Credit Facility</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51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600" w:type="dxa"/>
            <w:vAlign w:val="bottom"/>
            <w:gridSpan w:val="5"/>
          </w:tcPr>
          <w:p>
            <w:pPr>
              <w:spacing w:after="0"/>
              <w:rPr>
                <w:sz w:val="20"/>
                <w:szCs w:val="20"/>
                <w:color w:val="auto"/>
              </w:rPr>
            </w:pPr>
            <w:r>
              <w:rPr>
                <w:rFonts w:ascii="Arial" w:cs="Arial" w:eastAsia="Arial" w:hAnsi="Arial"/>
                <w:sz w:val="18"/>
                <w:szCs w:val="18"/>
                <w:color w:val="auto"/>
              </w:rPr>
              <w:t>ARTICLE III LETTER OF CREDIT FACILITY</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51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3.1 L/C Facility</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51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 xml:space="preserve">SECTION 3.2 Procedure for Issuance </w:t>
            </w:r>
            <w:r>
              <w:rPr>
                <w:rFonts w:ascii="Arial" w:cs="Arial" w:eastAsia="Arial" w:hAnsi="Arial"/>
                <w:sz w:val="18"/>
                <w:szCs w:val="18"/>
                <w:color w:val="0000FF"/>
              </w:rPr>
              <w:t>and Disbursement</w:t>
            </w:r>
            <w:r>
              <w:rPr>
                <w:rFonts w:ascii="Arial" w:cs="Arial" w:eastAsia="Arial" w:hAnsi="Arial"/>
                <w:sz w:val="18"/>
                <w:szCs w:val="18"/>
                <w:color w:val="auto"/>
              </w:rPr>
              <w:t xml:space="preserve"> of Letters of Credit</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52</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3.3 Commissions and Other Charges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3.4 L/C Participations</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53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600" w:type="dxa"/>
            <w:vAlign w:val="bottom"/>
            <w:gridSpan w:val="5"/>
          </w:tcPr>
          <w:p>
            <w:pPr>
              <w:ind w:left="360"/>
              <w:spacing w:after="0"/>
              <w:rPr>
                <w:sz w:val="20"/>
                <w:szCs w:val="20"/>
                <w:color w:val="auto"/>
              </w:rPr>
            </w:pPr>
            <w:r>
              <w:rPr>
                <w:rFonts w:ascii="Arial" w:cs="Arial" w:eastAsia="Arial" w:hAnsi="Arial"/>
                <w:sz w:val="18"/>
                <w:szCs w:val="18"/>
                <w:color w:val="auto"/>
              </w:rPr>
              <w:t>SECTION 3.5 Reimbursement Obligation of the Borrower</w:t>
            </w: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54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80" w:type="dxa"/>
            <w:vAlign w:val="bottom"/>
            <w:gridSpan w:val="2"/>
            <w:vMerge w:val="restart"/>
          </w:tcPr>
          <w:p>
            <w:pPr>
              <w:jc w:val="center"/>
              <w:ind w:right="4020"/>
              <w:spacing w:after="0"/>
              <w:rPr>
                <w:sz w:val="20"/>
                <w:szCs w:val="20"/>
                <w:color w:val="auto"/>
              </w:rPr>
            </w:pPr>
            <w:r>
              <w:rPr>
                <w:rFonts w:ascii="Arial" w:cs="Arial" w:eastAsia="Arial" w:hAnsi="Arial"/>
                <w:sz w:val="18"/>
                <w:szCs w:val="18"/>
                <w:color w:val="auto"/>
                <w:w w:val="99"/>
              </w:rPr>
              <w:t>-i-</w:t>
            </w: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48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0"/>
        </w:trPr>
        <w:tc>
          <w:tcPr>
            <w:tcW w:w="10520" w:type="dxa"/>
            <w:vAlign w:val="bottom"/>
            <w:gridSpan w:val="8"/>
          </w:tcPr>
          <w:p>
            <w:pPr>
              <w:ind w:left="360"/>
              <w:spacing w:after="0" w:line="190" w:lineRule="exact"/>
              <w:rPr>
                <w:sz w:val="20"/>
                <w:szCs w:val="20"/>
                <w:color w:val="auto"/>
              </w:rPr>
            </w:pPr>
            <w:r>
              <w:rPr>
                <w:rFonts w:ascii="Arial" w:cs="Arial" w:eastAsia="Arial" w:hAnsi="Arial"/>
                <w:sz w:val="18"/>
                <w:szCs w:val="18"/>
                <w:color w:val="auto"/>
              </w:rPr>
              <w:t>SECTION 3.6 Obligations Absolute</w:t>
            </w:r>
          </w:p>
        </w:tc>
        <w:tc>
          <w:tcPr>
            <w:tcW w:w="260" w:type="dxa"/>
            <w:vAlign w:val="bottom"/>
            <w:gridSpan w:val="3"/>
          </w:tcPr>
          <w:p>
            <w:pPr>
              <w:jc w:val="center"/>
              <w:spacing w:after="0" w:line="190" w:lineRule="exact"/>
              <w:rPr>
                <w:sz w:val="20"/>
                <w:szCs w:val="20"/>
                <w:color w:val="auto"/>
              </w:rPr>
            </w:pPr>
            <w:r>
              <w:rPr>
                <w:rFonts w:ascii="Arial" w:cs="Arial" w:eastAsia="Arial" w:hAnsi="Arial"/>
                <w:sz w:val="18"/>
                <w:szCs w:val="18"/>
                <w:color w:val="FF0000"/>
                <w:strike w:val="1"/>
                <w:w w:val="89"/>
              </w:rPr>
              <w:t>55</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260" w:type="dxa"/>
            <w:vAlign w:val="bottom"/>
            <w:gridSpan w:val="3"/>
          </w:tcPr>
          <w:p>
            <w:pPr>
              <w:ind w:left="360"/>
              <w:spacing w:after="0"/>
              <w:rPr>
                <w:sz w:val="20"/>
                <w:szCs w:val="20"/>
                <w:color w:val="auto"/>
              </w:rPr>
            </w:pPr>
            <w:r>
              <w:rPr>
                <w:rFonts w:ascii="Arial" w:cs="Arial" w:eastAsia="Arial" w:hAnsi="Arial"/>
                <w:sz w:val="18"/>
                <w:szCs w:val="18"/>
                <w:color w:val="auto"/>
                <w:w w:val="94"/>
              </w:rPr>
              <w:t>SECTION 3.7 Effect of Letter of Credit</w:t>
            </w:r>
          </w:p>
        </w:tc>
        <w:tc>
          <w:tcPr>
            <w:tcW w:w="860" w:type="dxa"/>
            <w:vAlign w:val="bottom"/>
            <w:gridSpan w:val="2"/>
          </w:tcPr>
          <w:p>
            <w:pPr>
              <w:spacing w:after="0"/>
              <w:rPr>
                <w:sz w:val="20"/>
                <w:szCs w:val="20"/>
                <w:color w:val="auto"/>
              </w:rPr>
            </w:pPr>
            <w:r>
              <w:rPr>
                <w:rFonts w:ascii="Arial" w:cs="Arial" w:eastAsia="Arial" w:hAnsi="Arial"/>
                <w:sz w:val="18"/>
                <w:szCs w:val="18"/>
                <w:color w:val="FF0000"/>
                <w:strike w:val="1"/>
                <w:w w:val="95"/>
              </w:rPr>
              <w:t>Application</w:t>
            </w:r>
          </w:p>
        </w:tc>
        <w:tc>
          <w:tcPr>
            <w:tcW w:w="6400" w:type="dxa"/>
            <w:vAlign w:val="bottom"/>
            <w:gridSpan w:val="3"/>
          </w:tcPr>
          <w:p>
            <w:pPr>
              <w:spacing w:after="0"/>
              <w:rPr>
                <w:sz w:val="20"/>
                <w:szCs w:val="20"/>
                <w:color w:val="auto"/>
              </w:rPr>
            </w:pPr>
            <w:r>
              <w:rPr>
                <w:rFonts w:ascii="Arial" w:cs="Arial" w:eastAsia="Arial" w:hAnsi="Arial"/>
                <w:sz w:val="18"/>
                <w:szCs w:val="18"/>
                <w:color w:val="0000FF"/>
              </w:rPr>
              <w:t>Documents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56</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bottom w:val="single" w:sz="8" w:color="0000FF"/>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3.8 Resignation of Issuing Lenders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3.9 Reporting of Letter of Credit Information and L/C Commitment</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3.10 Letters of Credit Issued for Subsidiaries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spacing w:after="0"/>
              <w:rPr>
                <w:sz w:val="20"/>
                <w:szCs w:val="20"/>
                <w:color w:val="auto"/>
              </w:rPr>
            </w:pPr>
            <w:r>
              <w:rPr>
                <w:rFonts w:ascii="Arial" w:cs="Arial" w:eastAsia="Arial" w:hAnsi="Arial"/>
                <w:sz w:val="18"/>
                <w:szCs w:val="18"/>
                <w:color w:val="auto"/>
              </w:rPr>
              <w:t>ARTICLE IV TERM LOAN FACILITY</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57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4.1 Initial Term Loan</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57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4.2 Procedure for Advance of Term Loan</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57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4.3 Repayment of Term Loans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57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4.4 Prepayments of Term Loans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58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gridSpan w:val="8"/>
          </w:tcPr>
          <w:p>
            <w:pPr>
              <w:spacing w:after="0"/>
              <w:rPr>
                <w:sz w:val="20"/>
                <w:szCs w:val="20"/>
                <w:color w:val="auto"/>
              </w:rPr>
            </w:pPr>
            <w:r>
              <w:rPr>
                <w:rFonts w:ascii="Arial" w:cs="Arial" w:eastAsia="Arial" w:hAnsi="Arial"/>
                <w:sz w:val="18"/>
                <w:szCs w:val="18"/>
                <w:color w:val="auto"/>
              </w:rPr>
              <w:t>ARTICLE V GENERAL LOAN PROVISIONS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5.1 Interest</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5.2 Notice and Manner of Conversion or Continuation of Loans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5.3 Fees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5.4 Manner of Payment</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5.5 Evidence of Indebtedness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5.6 Sharing of Payments by Lenders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5.7 Administrative Agent’s Clawback</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5.8 Changed Circumstances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5.9 Indemnity for Losses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5.10 Increased Costs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5.11 Taxes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69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5.12 Mitigation Obligations; Replacement of Lenders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520" w:type="dxa"/>
            <w:vAlign w:val="bottom"/>
          </w:tcPr>
          <w:p>
            <w:pPr>
              <w:ind w:left="360"/>
              <w:spacing w:after="0"/>
              <w:rPr>
                <w:sz w:val="20"/>
                <w:szCs w:val="20"/>
                <w:color w:val="auto"/>
              </w:rPr>
            </w:pPr>
            <w:r>
              <w:rPr>
                <w:rFonts w:ascii="Arial" w:cs="Arial" w:eastAsia="Arial" w:hAnsi="Arial"/>
                <w:sz w:val="18"/>
                <w:szCs w:val="18"/>
                <w:color w:val="auto"/>
                <w:w w:val="94"/>
              </w:rPr>
              <w:t>SECTION 5.13</w:t>
            </w:r>
          </w:p>
        </w:tc>
        <w:tc>
          <w:tcPr>
            <w:tcW w:w="1340" w:type="dxa"/>
            <w:vAlign w:val="bottom"/>
          </w:tcPr>
          <w:p>
            <w:pPr>
              <w:spacing w:after="0"/>
              <w:rPr>
                <w:sz w:val="20"/>
                <w:szCs w:val="20"/>
                <w:color w:val="auto"/>
              </w:rPr>
            </w:pPr>
            <w:r>
              <w:rPr>
                <w:rFonts w:ascii="Arial" w:cs="Arial" w:eastAsia="Arial" w:hAnsi="Arial"/>
                <w:sz w:val="18"/>
                <w:szCs w:val="18"/>
                <w:color w:val="FF0000"/>
                <w:strike w:val="1"/>
                <w:w w:val="89"/>
              </w:rPr>
              <w:t>Incremental Loans</w:t>
            </w:r>
          </w:p>
        </w:tc>
        <w:tc>
          <w:tcPr>
            <w:tcW w:w="7660" w:type="dxa"/>
            <w:vAlign w:val="bottom"/>
            <w:gridSpan w:val="6"/>
          </w:tcPr>
          <w:p>
            <w:pPr>
              <w:spacing w:after="0"/>
              <w:rPr>
                <w:sz w:val="20"/>
                <w:szCs w:val="20"/>
                <w:color w:val="auto"/>
              </w:rPr>
            </w:pPr>
            <w:r>
              <w:rPr>
                <w:rFonts w:ascii="Arial" w:cs="Arial" w:eastAsia="Arial" w:hAnsi="Arial"/>
                <w:sz w:val="18"/>
                <w:szCs w:val="18"/>
                <w:color w:val="0000FF"/>
              </w:rPr>
              <w:t>[Reserved]</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74</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5.14 Cash Collateral</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77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5.15 Defaulting Lenders</w:t>
            </w:r>
          </w:p>
        </w:tc>
        <w:tc>
          <w:tcPr>
            <w:tcW w:w="260" w:type="dxa"/>
            <w:vAlign w:val="bottom"/>
            <w:gridSpan w:val="3"/>
          </w:tcPr>
          <w:p>
            <w:pPr>
              <w:jc w:val="center"/>
              <w:spacing w:after="0"/>
              <w:rPr>
                <w:sz w:val="20"/>
                <w:szCs w:val="20"/>
                <w:color w:val="auto"/>
              </w:rPr>
            </w:pPr>
            <w:r>
              <w:rPr>
                <w:rFonts w:ascii="Arial" w:cs="Arial" w:eastAsia="Arial" w:hAnsi="Arial"/>
                <w:sz w:val="18"/>
                <w:szCs w:val="18"/>
                <w:color w:val="FF0000"/>
                <w:strike w:val="1"/>
                <w:w w:val="89"/>
              </w:rPr>
              <w:t>78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gridSpan w:val="8"/>
          </w:tcPr>
          <w:p>
            <w:pPr>
              <w:spacing w:after="0"/>
              <w:rPr>
                <w:sz w:val="20"/>
                <w:szCs w:val="20"/>
                <w:color w:val="auto"/>
              </w:rPr>
            </w:pPr>
            <w:r>
              <w:rPr>
                <w:rFonts w:ascii="Arial" w:cs="Arial" w:eastAsia="Arial" w:hAnsi="Arial"/>
                <w:sz w:val="18"/>
                <w:szCs w:val="18"/>
                <w:color w:val="auto"/>
              </w:rPr>
              <w:t>ARTICLE VI CONDITIONS OF CLOSING AND BORROWING</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80</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6.1 Conditions to Closing and Initial Extensions of Credit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80</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6.2 Conditions to All Extensions of Credit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83</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gridSpan w:val="8"/>
          </w:tcPr>
          <w:p>
            <w:pPr>
              <w:spacing w:after="0"/>
              <w:rPr>
                <w:sz w:val="20"/>
                <w:szCs w:val="20"/>
                <w:color w:val="auto"/>
              </w:rPr>
            </w:pPr>
            <w:r>
              <w:rPr>
                <w:rFonts w:ascii="Arial" w:cs="Arial" w:eastAsia="Arial" w:hAnsi="Arial"/>
                <w:sz w:val="18"/>
                <w:szCs w:val="18"/>
                <w:color w:val="auto"/>
              </w:rPr>
              <w:t>ARTICLE VII REPRESENTATIONS AND WARRANTIES OF THE CREDIT PARTIES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84</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gridSpan w:val="8"/>
          </w:tcPr>
          <w:p>
            <w:pPr>
              <w:ind w:left="360"/>
              <w:spacing w:after="0"/>
              <w:rPr>
                <w:sz w:val="20"/>
                <w:szCs w:val="20"/>
                <w:color w:val="auto"/>
              </w:rPr>
            </w:pPr>
            <w:r>
              <w:rPr>
                <w:rFonts w:ascii="Arial" w:cs="Arial" w:eastAsia="Arial" w:hAnsi="Arial"/>
                <w:sz w:val="18"/>
                <w:szCs w:val="18"/>
                <w:color w:val="auto"/>
              </w:rPr>
              <w:t>SECTION 7.1 Existence, Qualification and Power</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84</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vMerge w:val="restart"/>
          </w:tcPr>
          <w:p>
            <w:pPr>
              <w:ind w:left="460"/>
              <w:spacing w:after="0"/>
              <w:rPr>
                <w:sz w:val="20"/>
                <w:szCs w:val="20"/>
                <w:color w:val="auto"/>
              </w:rPr>
            </w:pPr>
            <w:r>
              <w:rPr>
                <w:rFonts w:ascii="Arial" w:cs="Arial" w:eastAsia="Arial" w:hAnsi="Arial"/>
                <w:sz w:val="18"/>
                <w:szCs w:val="18"/>
                <w:color w:val="auto"/>
              </w:rPr>
              <w:t>-ii-</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486" w:right="4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20" w:type="dxa"/>
            <w:vAlign w:val="bottom"/>
          </w:tcPr>
          <w:p>
            <w:pPr>
              <w:spacing w:after="0"/>
              <w:rPr>
                <w:sz w:val="14"/>
                <w:szCs w:val="14"/>
                <w:color w:val="auto"/>
              </w:rPr>
            </w:pPr>
          </w:p>
        </w:tc>
        <w:tc>
          <w:tcPr>
            <w:tcW w:w="460" w:type="dxa"/>
            <w:vAlign w:val="bottom"/>
            <w:gridSpan w:val="5"/>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10520" w:type="dxa"/>
            <w:vAlign w:val="bottom"/>
          </w:tcPr>
          <w:p>
            <w:pPr>
              <w:ind w:left="360"/>
              <w:spacing w:after="0" w:line="190" w:lineRule="exact"/>
              <w:rPr>
                <w:sz w:val="20"/>
                <w:szCs w:val="20"/>
                <w:color w:val="auto"/>
              </w:rPr>
            </w:pPr>
            <w:r>
              <w:rPr>
                <w:rFonts w:ascii="Arial" w:cs="Arial" w:eastAsia="Arial" w:hAnsi="Arial"/>
                <w:sz w:val="18"/>
                <w:szCs w:val="18"/>
                <w:color w:val="auto"/>
              </w:rPr>
              <w:t>SECTION 7.2 Authorization; No Contravention</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84</w:t>
            </w:r>
          </w:p>
        </w:tc>
        <w:tc>
          <w:tcPr>
            <w:tcW w:w="260" w:type="dxa"/>
            <w:vAlign w:val="bottom"/>
            <w:tcBorders>
              <w:bottom w:val="single" w:sz="8" w:color="0000FF"/>
            </w:tcBorders>
            <w:gridSpan w:val="3"/>
          </w:tcPr>
          <w:p>
            <w:pPr>
              <w:jc w:val="right"/>
              <w:spacing w:after="0" w:line="190" w:lineRule="exact"/>
              <w:rPr>
                <w:sz w:val="20"/>
                <w:szCs w:val="20"/>
                <w:color w:val="auto"/>
              </w:rPr>
            </w:pPr>
            <w:r>
              <w:rPr>
                <w:rFonts w:ascii="Arial" w:cs="Arial" w:eastAsia="Arial" w:hAnsi="Arial"/>
                <w:sz w:val="18"/>
                <w:szCs w:val="18"/>
                <w:color w:val="0000FF"/>
                <w:w w:val="79"/>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ind w:left="360"/>
              <w:spacing w:after="0"/>
              <w:rPr>
                <w:sz w:val="20"/>
                <w:szCs w:val="20"/>
                <w:color w:val="auto"/>
              </w:rPr>
            </w:pPr>
            <w:r>
              <w:rPr>
                <w:rFonts w:ascii="Arial" w:cs="Arial" w:eastAsia="Arial" w:hAnsi="Arial"/>
                <w:sz w:val="18"/>
                <w:szCs w:val="18"/>
                <w:color w:val="auto"/>
              </w:rPr>
              <w:t>SECTION 7.3 Governmental Authorization; Other Consents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84</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7.4 Binding Effect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85</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7.5 Financial Statements; No Material Adverse Effect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85</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7.6 Litigation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85</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7.7 No Default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ind w:left="360"/>
              <w:spacing w:after="0"/>
              <w:rPr>
                <w:sz w:val="20"/>
                <w:szCs w:val="20"/>
                <w:color w:val="auto"/>
              </w:rPr>
            </w:pPr>
            <w:r>
              <w:rPr>
                <w:rFonts w:ascii="Arial" w:cs="Arial" w:eastAsia="Arial" w:hAnsi="Arial"/>
                <w:sz w:val="18"/>
                <w:szCs w:val="18"/>
                <w:color w:val="auto"/>
              </w:rPr>
              <w:t>SECTION 7.8 Ownership of Property; Liens; Investments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7.9 Environmental Compliance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7.10 Insurance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87</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7.11 Taxes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87</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ind w:left="360"/>
              <w:spacing w:after="0"/>
              <w:rPr>
                <w:sz w:val="20"/>
                <w:szCs w:val="20"/>
                <w:color w:val="auto"/>
              </w:rPr>
            </w:pPr>
            <w:r>
              <w:rPr>
                <w:rFonts w:ascii="Arial" w:cs="Arial" w:eastAsia="Arial" w:hAnsi="Arial"/>
                <w:sz w:val="18"/>
                <w:szCs w:val="18"/>
                <w:color w:val="auto"/>
              </w:rPr>
              <w:t>SECTION 7.12 ERISA Compliance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87</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7.13 Subsidiaries; Equity Interests; Credit Parties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89</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7.14 Margin Regulations; Investment Company Act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89</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7.15 Disclosure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89</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7.16 Compliance with Laws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90</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ind w:left="360"/>
              <w:spacing w:after="0"/>
              <w:rPr>
                <w:sz w:val="20"/>
                <w:szCs w:val="20"/>
                <w:color w:val="auto"/>
              </w:rPr>
            </w:pPr>
            <w:r>
              <w:rPr>
                <w:rFonts w:ascii="Arial" w:cs="Arial" w:eastAsia="Arial" w:hAnsi="Arial"/>
                <w:sz w:val="18"/>
                <w:szCs w:val="18"/>
                <w:color w:val="auto"/>
              </w:rPr>
              <w:t>SECTION 7.17 Intellectual Property; Licenses, Etc</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91</w:t>
            </w:r>
          </w:p>
        </w:tc>
        <w:tc>
          <w:tcPr>
            <w:tcW w:w="20" w:type="dxa"/>
            <w:vAlign w:val="bottom"/>
            <w:tcBorders>
              <w:bottom w:val="single" w:sz="8" w:color="0000FF"/>
            </w:tcBorders>
          </w:tcPr>
          <w:p>
            <w:pPr>
              <w:spacing w:after="0"/>
              <w:rPr>
                <w:sz w:val="22"/>
                <w:szCs w:val="22"/>
                <w:color w:val="auto"/>
              </w:rPr>
            </w:pP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70"/>
              </w:rPr>
              <w:t>111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7.18 Anti-Corruption Laws; Anti-Money Laundering Laws and Sanctions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91</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7.19 Solvency</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92</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7.20 Casualty, Etc</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92</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ind w:left="360"/>
              <w:spacing w:after="0"/>
              <w:rPr>
                <w:sz w:val="20"/>
                <w:szCs w:val="20"/>
                <w:color w:val="auto"/>
              </w:rPr>
            </w:pPr>
            <w:r>
              <w:rPr>
                <w:rFonts w:ascii="Arial" w:cs="Arial" w:eastAsia="Arial" w:hAnsi="Arial"/>
                <w:sz w:val="18"/>
                <w:szCs w:val="18"/>
                <w:color w:val="auto"/>
              </w:rPr>
              <w:t>SECTION 7.21 Collateral Documents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92</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7.22 Material Contracts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92</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spacing w:after="0"/>
              <w:rPr>
                <w:sz w:val="20"/>
                <w:szCs w:val="20"/>
                <w:color w:val="auto"/>
              </w:rPr>
            </w:pPr>
            <w:r>
              <w:rPr>
                <w:rFonts w:ascii="Arial" w:cs="Arial" w:eastAsia="Arial" w:hAnsi="Arial"/>
                <w:sz w:val="18"/>
                <w:szCs w:val="18"/>
                <w:color w:val="auto"/>
              </w:rPr>
              <w:t>ARTICLE VIII AFFIRMATIVE COVENANTS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93</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8.1 Financial Statements and Budgets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94</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ind w:left="360"/>
              <w:spacing w:after="0"/>
              <w:rPr>
                <w:sz w:val="20"/>
                <w:szCs w:val="20"/>
                <w:color w:val="auto"/>
              </w:rPr>
            </w:pPr>
            <w:r>
              <w:rPr>
                <w:rFonts w:ascii="Arial" w:cs="Arial" w:eastAsia="Arial" w:hAnsi="Arial"/>
                <w:sz w:val="18"/>
                <w:szCs w:val="18"/>
                <w:color w:val="auto"/>
              </w:rPr>
              <w:t>SECTION 8.2 Certificates; Other Reports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94</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8.3 Notice of Litigation and Other Matters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97</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8.4 Payment of Taxes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98</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ind w:left="360"/>
              <w:spacing w:after="0"/>
              <w:rPr>
                <w:sz w:val="20"/>
                <w:szCs w:val="20"/>
                <w:color w:val="auto"/>
              </w:rPr>
            </w:pPr>
            <w:r>
              <w:rPr>
                <w:rFonts w:ascii="Arial" w:cs="Arial" w:eastAsia="Arial" w:hAnsi="Arial"/>
                <w:sz w:val="18"/>
                <w:szCs w:val="18"/>
                <w:color w:val="auto"/>
              </w:rPr>
              <w:t>SECTION 8.5 Preservation of Existence, Etc</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98</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8.6 Maintenance of Properties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98</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ind w:left="360"/>
              <w:spacing w:after="0"/>
              <w:rPr>
                <w:sz w:val="20"/>
                <w:szCs w:val="20"/>
                <w:color w:val="auto"/>
              </w:rPr>
            </w:pPr>
            <w:r>
              <w:rPr>
                <w:rFonts w:ascii="Arial" w:cs="Arial" w:eastAsia="Arial" w:hAnsi="Arial"/>
                <w:sz w:val="18"/>
                <w:szCs w:val="18"/>
                <w:color w:val="auto"/>
              </w:rPr>
              <w:t>SECTION 8.7 Maintenance of Insurance</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98</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8.8 Compliance with Laws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98</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520" w:type="dxa"/>
            <w:vAlign w:val="bottom"/>
          </w:tcPr>
          <w:p>
            <w:pPr>
              <w:ind w:left="360"/>
              <w:spacing w:after="0"/>
              <w:rPr>
                <w:sz w:val="20"/>
                <w:szCs w:val="20"/>
                <w:color w:val="auto"/>
              </w:rPr>
            </w:pPr>
            <w:r>
              <w:rPr>
                <w:rFonts w:ascii="Arial" w:cs="Arial" w:eastAsia="Arial" w:hAnsi="Arial"/>
                <w:sz w:val="18"/>
                <w:szCs w:val="18"/>
                <w:color w:val="auto"/>
              </w:rPr>
              <w:t>SECTION 8.9 Books and Records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98</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520" w:type="dxa"/>
            <w:vAlign w:val="bottom"/>
          </w:tcPr>
          <w:p>
            <w:pPr>
              <w:ind w:left="360"/>
              <w:spacing w:after="0"/>
              <w:rPr>
                <w:sz w:val="20"/>
                <w:szCs w:val="20"/>
                <w:color w:val="auto"/>
              </w:rPr>
            </w:pPr>
            <w:r>
              <w:rPr>
                <w:rFonts w:ascii="Arial" w:cs="Arial" w:eastAsia="Arial" w:hAnsi="Arial"/>
                <w:sz w:val="18"/>
                <w:szCs w:val="18"/>
                <w:color w:val="auto"/>
              </w:rPr>
              <w:t>SECTION 8.10 Inspection Rights</w:t>
            </w:r>
          </w:p>
        </w:tc>
        <w:tc>
          <w:tcPr>
            <w:tcW w:w="2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99</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520" w:type="dxa"/>
            <w:vAlign w:val="bottom"/>
            <w:vMerge w:val="restart"/>
          </w:tcPr>
          <w:p>
            <w:pPr>
              <w:ind w:left="5360"/>
              <w:spacing w:after="0"/>
              <w:rPr>
                <w:sz w:val="20"/>
                <w:szCs w:val="20"/>
                <w:color w:val="auto"/>
              </w:rPr>
            </w:pPr>
            <w:r>
              <w:rPr>
                <w:rFonts w:ascii="Arial" w:cs="Arial" w:eastAsia="Arial" w:hAnsi="Arial"/>
                <w:sz w:val="18"/>
                <w:szCs w:val="18"/>
                <w:color w:val="auto"/>
              </w:rPr>
              <w:t>-iii-</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0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486" w:right="47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40" w:type="dxa"/>
            <w:vAlign w:val="bottom"/>
            <w:gridSpan w:val="5"/>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60" w:type="dxa"/>
            <w:vAlign w:val="bottom"/>
            <w:gridSpan w:val="7"/>
          </w:tcPr>
          <w:p>
            <w:pPr>
              <w:spacing w:after="0" w:line="190" w:lineRule="exact"/>
              <w:rPr>
                <w:sz w:val="20"/>
                <w:szCs w:val="20"/>
                <w:color w:val="auto"/>
              </w:rPr>
            </w:pPr>
            <w:r>
              <w:rPr>
                <w:rFonts w:ascii="Arial" w:cs="Arial" w:eastAsia="Arial" w:hAnsi="Arial"/>
                <w:sz w:val="18"/>
                <w:szCs w:val="18"/>
                <w:color w:val="auto"/>
              </w:rPr>
              <w:t>SECTION 8.11 Use of Proceeds</w:t>
            </w:r>
          </w:p>
        </w:tc>
        <w:tc>
          <w:tcPr>
            <w:tcW w:w="280" w:type="dxa"/>
            <w:vAlign w:val="bottom"/>
            <w:gridSpan w:val="4"/>
          </w:tcPr>
          <w:p>
            <w:pPr>
              <w:jc w:val="right"/>
              <w:spacing w:after="0" w:line="190" w:lineRule="exact"/>
              <w:rPr>
                <w:sz w:val="20"/>
                <w:szCs w:val="20"/>
                <w:color w:val="auto"/>
              </w:rPr>
            </w:pPr>
            <w:r>
              <w:rPr>
                <w:rFonts w:ascii="Arial" w:cs="Arial" w:eastAsia="Arial" w:hAnsi="Arial"/>
                <w:sz w:val="18"/>
                <w:szCs w:val="18"/>
                <w:color w:val="FF0000"/>
                <w:strike w:val="1"/>
              </w:rPr>
              <w:t>99</w:t>
            </w:r>
          </w:p>
        </w:tc>
        <w:tc>
          <w:tcPr>
            <w:tcW w:w="26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79"/>
              </w:rPr>
              <w:t>119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8.12 Covenant to Guarantee Secured Obligations and Give Security</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rPr>
              <w:t>99</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8.13 Compliance With Environmental Laws</w:t>
            </w:r>
          </w:p>
        </w:tc>
        <w:tc>
          <w:tcPr>
            <w:tcW w:w="180" w:type="dxa"/>
            <w:vAlign w:val="bottom"/>
          </w:tcPr>
          <w:p>
            <w:pPr>
              <w:spacing w:after="0"/>
              <w:rPr>
                <w:sz w:val="20"/>
                <w:szCs w:val="20"/>
                <w:color w:val="auto"/>
              </w:rPr>
            </w:pPr>
            <w:r>
              <w:rPr>
                <w:rFonts w:ascii="Arial" w:cs="Arial" w:eastAsia="Arial" w:hAnsi="Arial"/>
                <w:sz w:val="18"/>
                <w:szCs w:val="18"/>
                <w:color w:val="auto"/>
                <w:w w:val="79"/>
              </w:rPr>
              <w:t>10</w:t>
            </w:r>
          </w:p>
        </w:tc>
        <w:tc>
          <w:tcPr>
            <w:tcW w:w="10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0</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w w:val="94"/>
              </w:rPr>
              <w:t>SECTION 8.14 Compliance with Anti-Corruption Laws; Beneficial Ownership Regulation, Anti-Money Laundering Laws and Sanctions</w:t>
            </w:r>
          </w:p>
        </w:tc>
        <w:tc>
          <w:tcPr>
            <w:tcW w:w="180" w:type="dxa"/>
            <w:vAlign w:val="bottom"/>
          </w:tcPr>
          <w:p>
            <w:pPr>
              <w:spacing w:after="0"/>
              <w:rPr>
                <w:sz w:val="20"/>
                <w:szCs w:val="20"/>
                <w:color w:val="auto"/>
              </w:rPr>
            </w:pPr>
            <w:r>
              <w:rPr>
                <w:rFonts w:ascii="Arial" w:cs="Arial" w:eastAsia="Arial" w:hAnsi="Arial"/>
                <w:sz w:val="18"/>
                <w:szCs w:val="18"/>
                <w:color w:val="auto"/>
                <w:w w:val="79"/>
              </w:rPr>
              <w:t>10</w:t>
            </w:r>
          </w:p>
        </w:tc>
        <w:tc>
          <w:tcPr>
            <w:tcW w:w="10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0</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8.15 Further Assurances</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79"/>
              </w:rPr>
              <w:t>10</w:t>
            </w:r>
          </w:p>
        </w:tc>
        <w:tc>
          <w:tcPr>
            <w:tcW w:w="8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1</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8.16 Compliance with Terms of Material Contracts</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79"/>
              </w:rPr>
              <w:t>10</w:t>
            </w:r>
          </w:p>
        </w:tc>
        <w:tc>
          <w:tcPr>
            <w:tcW w:w="8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1</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8.17 Cash Management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79"/>
              </w:rPr>
              <w:t>10</w:t>
            </w:r>
          </w:p>
        </w:tc>
        <w:tc>
          <w:tcPr>
            <w:tcW w:w="8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1</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8.18 Post-Closing Matters</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79"/>
              </w:rPr>
              <w:t>10</w:t>
            </w:r>
          </w:p>
        </w:tc>
        <w:tc>
          <w:tcPr>
            <w:tcW w:w="8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1</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122</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0000FF"/>
              </w:rPr>
              <w:t>SECTION 8.19 Lender Calls</w:t>
            </w:r>
          </w:p>
        </w:tc>
        <w:tc>
          <w:tcPr>
            <w:tcW w:w="540" w:type="dxa"/>
            <w:vAlign w:val="bottom"/>
            <w:gridSpan w:val="5"/>
          </w:tcPr>
          <w:p>
            <w:pPr>
              <w:ind w:left="280"/>
              <w:spacing w:after="0"/>
              <w:rPr>
                <w:sz w:val="20"/>
                <w:szCs w:val="20"/>
                <w:color w:val="auto"/>
              </w:rPr>
            </w:pPr>
            <w:r>
              <w:rPr>
                <w:rFonts w:ascii="Arial" w:cs="Arial" w:eastAsia="Arial" w:hAnsi="Arial"/>
                <w:sz w:val="18"/>
                <w:szCs w:val="18"/>
                <w:color w:val="0000FF"/>
                <w:w w:val="79"/>
              </w:rPr>
              <w:t>122</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0000FF"/>
              </w:rPr>
              <w:t>SECTION 8.20 Junior Capital Raise</w:t>
            </w:r>
          </w:p>
        </w:tc>
        <w:tc>
          <w:tcPr>
            <w:tcW w:w="540" w:type="dxa"/>
            <w:vAlign w:val="bottom"/>
            <w:gridSpan w:val="5"/>
          </w:tcPr>
          <w:p>
            <w:pPr>
              <w:ind w:left="280"/>
              <w:spacing w:after="0"/>
              <w:rPr>
                <w:sz w:val="20"/>
                <w:szCs w:val="20"/>
                <w:color w:val="auto"/>
              </w:rPr>
            </w:pPr>
            <w:r>
              <w:rPr>
                <w:rFonts w:ascii="Arial" w:cs="Arial" w:eastAsia="Arial" w:hAnsi="Arial"/>
                <w:sz w:val="18"/>
                <w:szCs w:val="18"/>
                <w:color w:val="0000FF"/>
                <w:w w:val="79"/>
              </w:rPr>
              <w:t>122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420" w:type="dxa"/>
            <w:vAlign w:val="bottom"/>
            <w:gridSpan w:val="8"/>
          </w:tcPr>
          <w:p>
            <w:pPr>
              <w:spacing w:after="0"/>
              <w:rPr>
                <w:sz w:val="20"/>
                <w:szCs w:val="20"/>
                <w:color w:val="auto"/>
              </w:rPr>
            </w:pPr>
            <w:r>
              <w:rPr>
                <w:rFonts w:ascii="Arial" w:cs="Arial" w:eastAsia="Arial" w:hAnsi="Arial"/>
                <w:sz w:val="18"/>
                <w:szCs w:val="18"/>
                <w:color w:val="auto"/>
              </w:rPr>
              <w:t>ARTICLE IX NEGATIVE COVENANTS</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79"/>
              </w:rPr>
              <w:t>10</w:t>
            </w:r>
          </w:p>
        </w:tc>
        <w:tc>
          <w:tcPr>
            <w:tcW w:w="8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1</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9.1 Liens</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79"/>
              </w:rPr>
              <w:t>10</w:t>
            </w:r>
          </w:p>
        </w:tc>
        <w:tc>
          <w:tcPr>
            <w:tcW w:w="8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1</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124</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9.2 Investments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103</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126</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9.3 Indebtedness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106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9.4 Fundamental Changes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109</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9.5 Dispositions</w:t>
            </w:r>
          </w:p>
        </w:tc>
        <w:tc>
          <w:tcPr>
            <w:tcW w:w="180" w:type="dxa"/>
            <w:vAlign w:val="bottom"/>
          </w:tcPr>
          <w:p>
            <w:pPr>
              <w:ind w:left="20"/>
              <w:spacing w:after="0"/>
              <w:rPr>
                <w:sz w:val="20"/>
                <w:szCs w:val="20"/>
                <w:color w:val="auto"/>
              </w:rPr>
            </w:pPr>
            <w:r>
              <w:rPr>
                <w:rFonts w:ascii="Arial" w:cs="Arial" w:eastAsia="Arial" w:hAnsi="Arial"/>
                <w:sz w:val="17"/>
                <w:szCs w:val="17"/>
                <w:color w:val="auto"/>
                <w:w w:val="73"/>
              </w:rPr>
              <w:t>11</w:t>
            </w:r>
          </w:p>
        </w:tc>
        <w:tc>
          <w:tcPr>
            <w:tcW w:w="10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0</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9.6 Restricted Payments</w:t>
            </w:r>
          </w:p>
        </w:tc>
        <w:tc>
          <w:tcPr>
            <w:tcW w:w="180" w:type="dxa"/>
            <w:vAlign w:val="bottom"/>
          </w:tcPr>
          <w:p>
            <w:pPr>
              <w:ind w:left="20"/>
              <w:spacing w:after="0"/>
              <w:rPr>
                <w:sz w:val="20"/>
                <w:szCs w:val="20"/>
                <w:color w:val="auto"/>
              </w:rPr>
            </w:pPr>
            <w:r>
              <w:rPr>
                <w:rFonts w:ascii="Arial" w:cs="Arial" w:eastAsia="Arial" w:hAnsi="Arial"/>
                <w:sz w:val="17"/>
                <w:szCs w:val="17"/>
                <w:color w:val="auto"/>
                <w:w w:val="73"/>
              </w:rPr>
              <w:t>11</w:t>
            </w:r>
          </w:p>
        </w:tc>
        <w:tc>
          <w:tcPr>
            <w:tcW w:w="10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2</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135</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9.7 Change in Nature of Business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113</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136</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9.8 Transactions with Affiliates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113</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9.9 Burdensome Agreements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114</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9.10 Use of Proceeds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114</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9.11 Financial Covenants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114</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280" w:type="dxa"/>
            <w:vAlign w:val="bottom"/>
            <w:gridSpan w:val="6"/>
          </w:tcPr>
          <w:p>
            <w:pPr>
              <w:spacing w:after="0"/>
              <w:rPr>
                <w:sz w:val="20"/>
                <w:szCs w:val="20"/>
                <w:color w:val="auto"/>
              </w:rPr>
            </w:pPr>
            <w:r>
              <w:rPr>
                <w:rFonts w:ascii="Arial" w:cs="Arial" w:eastAsia="Arial" w:hAnsi="Arial"/>
                <w:sz w:val="18"/>
                <w:szCs w:val="18"/>
                <w:color w:val="auto"/>
                <w:w w:val="90"/>
              </w:rPr>
              <w:t>SECTION 9.12 Amendments to Organizational Documents</w:t>
            </w:r>
          </w:p>
        </w:tc>
        <w:tc>
          <w:tcPr>
            <w:tcW w:w="5780" w:type="dxa"/>
            <w:vAlign w:val="bottom"/>
          </w:tcPr>
          <w:p>
            <w:pPr>
              <w:ind w:left="40"/>
              <w:spacing w:after="0"/>
              <w:rPr>
                <w:sz w:val="20"/>
                <w:szCs w:val="20"/>
                <w:color w:val="auto"/>
              </w:rPr>
            </w:pPr>
            <w:r>
              <w:rPr>
                <w:rFonts w:ascii="Arial" w:cs="Arial" w:eastAsia="Arial" w:hAnsi="Arial"/>
                <w:sz w:val="18"/>
                <w:szCs w:val="18"/>
                <w:color w:val="FF0000"/>
              </w:rPr>
              <w:t>and Adapt Purchase Agreement</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115</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9.13 Accounting Changes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115</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9.14 Payments, Etc. of Indebtedness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115</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139</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9.15 Amendments, Etc. of Indebtedness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9.16 Use of Proceeds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420" w:type="dxa"/>
            <w:vAlign w:val="bottom"/>
            <w:gridSpan w:val="8"/>
          </w:tcPr>
          <w:p>
            <w:pPr>
              <w:spacing w:after="0"/>
              <w:rPr>
                <w:sz w:val="20"/>
                <w:szCs w:val="20"/>
                <w:color w:val="auto"/>
              </w:rPr>
            </w:pPr>
            <w:r>
              <w:rPr>
                <w:rFonts w:ascii="Arial" w:cs="Arial" w:eastAsia="Arial" w:hAnsi="Arial"/>
                <w:sz w:val="18"/>
                <w:szCs w:val="18"/>
                <w:color w:val="auto"/>
              </w:rPr>
              <w:t>ARTICLE X DEFAULT AND REMEDIES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10.1 Events of Default</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SECTION 10.2 Remedies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119</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780" w:type="dxa"/>
            <w:vAlign w:val="bottom"/>
            <w:vMerge w:val="restart"/>
          </w:tcPr>
          <w:p>
            <w:pPr>
              <w:ind w:left="740"/>
              <w:spacing w:after="0"/>
              <w:rPr>
                <w:sz w:val="20"/>
                <w:szCs w:val="20"/>
                <w:color w:val="auto"/>
              </w:rPr>
            </w:pPr>
            <w:r>
              <w:rPr>
                <w:rFonts w:ascii="Arial" w:cs="Arial" w:eastAsia="Arial" w:hAnsi="Arial"/>
                <w:sz w:val="18"/>
                <w:szCs w:val="18"/>
                <w:color w:val="auto"/>
              </w:rPr>
              <w:t>-iv-</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-1739265</wp:posOffset>
            </wp:positionV>
            <wp:extent cx="1465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ectPr>
          <w:pgSz w:w="11900" w:h="16838" w:orient="portrait"/>
          <w:cols w:equalWidth="0" w:num="1">
            <w:col w:w="10960"/>
          </w:cols>
          <w:pgMar w:left="440" w:top="486" w:right="49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540" w:type="dxa"/>
            <w:vAlign w:val="bottom"/>
            <w:gridSpan w:val="5"/>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60" w:type="dxa"/>
            <w:vAlign w:val="bottom"/>
            <w:gridSpan w:val="4"/>
          </w:tcPr>
          <w:p>
            <w:pPr>
              <w:spacing w:after="0" w:line="190" w:lineRule="exact"/>
              <w:rPr>
                <w:sz w:val="20"/>
                <w:szCs w:val="20"/>
                <w:color w:val="auto"/>
              </w:rPr>
            </w:pPr>
            <w:r>
              <w:rPr>
                <w:rFonts w:ascii="Arial" w:cs="Arial" w:eastAsia="Arial" w:hAnsi="Arial"/>
                <w:sz w:val="18"/>
                <w:szCs w:val="18"/>
                <w:color w:val="auto"/>
              </w:rPr>
              <w:t>SECTION 10.3 Rights and Remedies Cumulative; Non-Waiver; etc</w:t>
            </w:r>
          </w:p>
        </w:tc>
        <w:tc>
          <w:tcPr>
            <w:tcW w:w="180" w:type="dxa"/>
            <w:vAlign w:val="bottom"/>
          </w:tcPr>
          <w:p>
            <w:pPr>
              <w:spacing w:after="0" w:line="190" w:lineRule="exact"/>
              <w:rPr>
                <w:sz w:val="20"/>
                <w:szCs w:val="20"/>
                <w:color w:val="auto"/>
              </w:rPr>
            </w:pPr>
            <w:r>
              <w:rPr>
                <w:rFonts w:ascii="Arial" w:cs="Arial" w:eastAsia="Arial" w:hAnsi="Arial"/>
                <w:sz w:val="18"/>
                <w:szCs w:val="18"/>
                <w:color w:val="auto"/>
                <w:w w:val="79"/>
              </w:rPr>
              <w:t>12</w:t>
            </w:r>
          </w:p>
        </w:tc>
        <w:tc>
          <w:tcPr>
            <w:tcW w:w="100" w:type="dxa"/>
            <w:vAlign w:val="bottom"/>
            <w:gridSpan w:val="3"/>
          </w:tcPr>
          <w:p>
            <w:pPr>
              <w:jc w:val="right"/>
              <w:spacing w:after="0" w:line="190" w:lineRule="exact"/>
              <w:rPr>
                <w:sz w:val="20"/>
                <w:szCs w:val="20"/>
                <w:color w:val="auto"/>
              </w:rPr>
            </w:pPr>
            <w:r>
              <w:rPr>
                <w:rFonts w:ascii="Arial" w:cs="Arial" w:eastAsia="Arial" w:hAnsi="Arial"/>
                <w:sz w:val="18"/>
                <w:szCs w:val="18"/>
                <w:color w:val="FF0000"/>
                <w:strike w:val="1"/>
                <w:w w:val="79"/>
              </w:rPr>
              <w:t>0</w:t>
            </w:r>
          </w:p>
        </w:tc>
        <w:tc>
          <w:tcPr>
            <w:tcW w:w="26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79"/>
              </w:rPr>
              <w:t>144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10.4 Crediting of Payments and Proceeds</w:t>
            </w:r>
          </w:p>
        </w:tc>
        <w:tc>
          <w:tcPr>
            <w:tcW w:w="180" w:type="dxa"/>
            <w:vAlign w:val="bottom"/>
          </w:tcPr>
          <w:p>
            <w:pPr>
              <w:spacing w:after="0"/>
              <w:rPr>
                <w:sz w:val="20"/>
                <w:szCs w:val="20"/>
                <w:color w:val="auto"/>
              </w:rPr>
            </w:pPr>
            <w:r>
              <w:rPr>
                <w:rFonts w:ascii="Arial" w:cs="Arial" w:eastAsia="Arial" w:hAnsi="Arial"/>
                <w:sz w:val="18"/>
                <w:szCs w:val="18"/>
                <w:color w:val="auto"/>
                <w:w w:val="79"/>
              </w:rPr>
              <w:t>12</w:t>
            </w:r>
          </w:p>
        </w:tc>
        <w:tc>
          <w:tcPr>
            <w:tcW w:w="10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0</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10.5 Administrative Agent May File Proofs of Claim</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79"/>
              </w:rPr>
              <w:t>12</w:t>
            </w:r>
          </w:p>
        </w:tc>
        <w:tc>
          <w:tcPr>
            <w:tcW w:w="8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1</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145</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10.6 Credit Bidding</w:t>
            </w:r>
          </w:p>
        </w:tc>
        <w:tc>
          <w:tcPr>
            <w:tcW w:w="180" w:type="dxa"/>
            <w:vAlign w:val="bottom"/>
          </w:tcPr>
          <w:p>
            <w:pPr>
              <w:spacing w:after="0"/>
              <w:rPr>
                <w:sz w:val="20"/>
                <w:szCs w:val="20"/>
                <w:color w:val="auto"/>
              </w:rPr>
            </w:pPr>
            <w:r>
              <w:rPr>
                <w:rFonts w:ascii="Arial" w:cs="Arial" w:eastAsia="Arial" w:hAnsi="Arial"/>
                <w:sz w:val="18"/>
                <w:szCs w:val="18"/>
                <w:color w:val="auto"/>
                <w:w w:val="79"/>
              </w:rPr>
              <w:t>12</w:t>
            </w:r>
          </w:p>
        </w:tc>
        <w:tc>
          <w:tcPr>
            <w:tcW w:w="10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2</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146</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420" w:type="dxa"/>
            <w:vAlign w:val="bottom"/>
            <w:gridSpan w:val="5"/>
          </w:tcPr>
          <w:p>
            <w:pPr>
              <w:spacing w:after="0"/>
              <w:rPr>
                <w:sz w:val="20"/>
                <w:szCs w:val="20"/>
                <w:color w:val="auto"/>
              </w:rPr>
            </w:pPr>
            <w:r>
              <w:rPr>
                <w:rFonts w:ascii="Arial" w:cs="Arial" w:eastAsia="Arial" w:hAnsi="Arial"/>
                <w:sz w:val="18"/>
                <w:szCs w:val="18"/>
                <w:color w:val="auto"/>
              </w:rPr>
              <w:t>ARTICLE XI THE ADMINISTRATIVE AGENT</w:t>
            </w:r>
          </w:p>
        </w:tc>
        <w:tc>
          <w:tcPr>
            <w:tcW w:w="180" w:type="dxa"/>
            <w:vAlign w:val="bottom"/>
          </w:tcPr>
          <w:p>
            <w:pPr>
              <w:spacing w:after="0"/>
              <w:rPr>
                <w:sz w:val="20"/>
                <w:szCs w:val="20"/>
                <w:color w:val="auto"/>
              </w:rPr>
            </w:pPr>
            <w:r>
              <w:rPr>
                <w:rFonts w:ascii="Arial" w:cs="Arial" w:eastAsia="Arial" w:hAnsi="Arial"/>
                <w:sz w:val="18"/>
                <w:szCs w:val="18"/>
                <w:color w:val="auto"/>
                <w:w w:val="79"/>
              </w:rPr>
              <w:t>12</w:t>
            </w:r>
          </w:p>
        </w:tc>
        <w:tc>
          <w:tcPr>
            <w:tcW w:w="10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2</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146</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11.1 Appointment and Authority</w:t>
            </w:r>
          </w:p>
        </w:tc>
        <w:tc>
          <w:tcPr>
            <w:tcW w:w="180" w:type="dxa"/>
            <w:vAlign w:val="bottom"/>
          </w:tcPr>
          <w:p>
            <w:pPr>
              <w:spacing w:after="0"/>
              <w:rPr>
                <w:sz w:val="20"/>
                <w:szCs w:val="20"/>
                <w:color w:val="auto"/>
              </w:rPr>
            </w:pPr>
            <w:r>
              <w:rPr>
                <w:rFonts w:ascii="Arial" w:cs="Arial" w:eastAsia="Arial" w:hAnsi="Arial"/>
                <w:sz w:val="18"/>
                <w:szCs w:val="18"/>
                <w:color w:val="auto"/>
                <w:w w:val="79"/>
              </w:rPr>
              <w:t>12</w:t>
            </w:r>
          </w:p>
        </w:tc>
        <w:tc>
          <w:tcPr>
            <w:tcW w:w="10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2</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11.2 Rights as a Lender</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123</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11.3 Exculpatory Provisions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123</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147</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11.4 Reliance by the Administrative Agent</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124</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148</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11.5 Delegation of Duties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124</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11.6 Resignation of Administrative Agent</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124</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11.7 Non-Reliance on Administrative Agent and Other Lenders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150</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11.8 No Other Duties, Etc</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151</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11.9 Collateral and Guaranty Matters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151</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11.10 Secured Hedge Agreements and Secured Cash Management Agreements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127</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152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0000FF"/>
              </w:rPr>
              <w:t>SECTION 11.11 Erroneous Payments</w:t>
            </w:r>
          </w:p>
        </w:tc>
        <w:tc>
          <w:tcPr>
            <w:tcW w:w="540" w:type="dxa"/>
            <w:vAlign w:val="bottom"/>
            <w:gridSpan w:val="5"/>
          </w:tcPr>
          <w:p>
            <w:pPr>
              <w:ind w:left="280"/>
              <w:spacing w:after="0"/>
              <w:rPr>
                <w:sz w:val="20"/>
                <w:szCs w:val="20"/>
                <w:color w:val="auto"/>
              </w:rPr>
            </w:pPr>
            <w:r>
              <w:rPr>
                <w:rFonts w:ascii="Arial" w:cs="Arial" w:eastAsia="Arial" w:hAnsi="Arial"/>
                <w:sz w:val="18"/>
                <w:szCs w:val="18"/>
                <w:color w:val="0000FF"/>
                <w:w w:val="79"/>
              </w:rPr>
              <w:t>152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top w:val="single" w:sz="8" w:color="0000FF"/>
              <w:bottom w:val="single" w:sz="8" w:color="0000FF"/>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420" w:type="dxa"/>
            <w:vAlign w:val="bottom"/>
            <w:gridSpan w:val="5"/>
          </w:tcPr>
          <w:p>
            <w:pPr>
              <w:spacing w:after="0"/>
              <w:rPr>
                <w:sz w:val="20"/>
                <w:szCs w:val="20"/>
                <w:color w:val="auto"/>
              </w:rPr>
            </w:pPr>
            <w:r>
              <w:rPr>
                <w:rFonts w:ascii="Arial" w:cs="Arial" w:eastAsia="Arial" w:hAnsi="Arial"/>
                <w:sz w:val="18"/>
                <w:szCs w:val="18"/>
                <w:color w:val="auto"/>
              </w:rPr>
              <w:t>ARTICLE XII MISCELLANEOUS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127</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154</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12.1 Notices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127</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154</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12.2 Amendments, Waivers and Consents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130</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12.3 Expenses; Indemnity</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132</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12.4 Right of Setoff</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134</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12.5 Governing Law; Jurisdiction, Etc</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134</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12.6 Waiver of Jury Trial</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135</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12.7 Reversal of Payments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135</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12.8 Injunctive Relief</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163</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12.9 Successors and Assigns; Participations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12.10 Treatment of Certain Information; Confidentiality</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139</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12.11 Performance of Duties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140</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12.12 All Powers Coupled with Interest</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140</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12.13 Survival</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140</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12.14 Titles and Captions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SECTION 12.15 Severability of Provisions</w:t>
            </w:r>
          </w:p>
        </w:tc>
        <w:tc>
          <w:tcPr>
            <w:tcW w:w="280" w:type="dxa"/>
            <w:vAlign w:val="bottom"/>
            <w:gridSpan w:val="4"/>
          </w:tcPr>
          <w:p>
            <w:pPr>
              <w:jc w:val="right"/>
              <w:spacing w:after="0"/>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169</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340" w:type="dxa"/>
            <w:vAlign w:val="bottom"/>
            <w:vMerge w:val="restart"/>
          </w:tcPr>
          <w:p>
            <w:pPr>
              <w:ind w:left="2320"/>
              <w:spacing w:after="0"/>
              <w:rPr>
                <w:sz w:val="20"/>
                <w:szCs w:val="20"/>
                <w:color w:val="auto"/>
              </w:rPr>
            </w:pPr>
            <w:r>
              <w:rPr>
                <w:rFonts w:ascii="Arial" w:cs="Arial" w:eastAsia="Arial" w:hAnsi="Arial"/>
                <w:sz w:val="18"/>
                <w:szCs w:val="18"/>
                <w:color w:val="auto"/>
              </w:rPr>
              <w:t>-v-</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486" w:right="499" w:bottom="1440" w:gutter="0" w:footer="0" w:header="0"/>
        </w:sectPr>
      </w:pPr>
    </w:p>
    <w:bookmarkStart w:id="43" w:name="page44"/>
    <w:bookmarkEnd w:id="43"/>
    <w:p>
      <w:pPr>
        <w:jc w:val="center"/>
        <w:ind w:right="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5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10060" w:type="dxa"/>
            <w:vAlign w:val="bottom"/>
            <w:gridSpan w:val="2"/>
          </w:tcPr>
          <w:p>
            <w:pPr>
              <w:spacing w:after="0" w:line="190" w:lineRule="exact"/>
              <w:rPr>
                <w:sz w:val="20"/>
                <w:szCs w:val="20"/>
                <w:color w:val="auto"/>
              </w:rPr>
            </w:pPr>
            <w:r>
              <w:rPr>
                <w:rFonts w:ascii="Arial" w:cs="Arial" w:eastAsia="Arial" w:hAnsi="Arial"/>
                <w:sz w:val="18"/>
                <w:szCs w:val="18"/>
                <w:color w:val="auto"/>
              </w:rPr>
              <w:t>SECTION 12.16 Counterparts; Integration; Effectiveness; Electronic Execution</w:t>
            </w: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169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060" w:type="dxa"/>
            <w:vAlign w:val="bottom"/>
            <w:gridSpan w:val="2"/>
          </w:tcPr>
          <w:p>
            <w:pPr>
              <w:spacing w:after="0"/>
              <w:rPr>
                <w:sz w:val="20"/>
                <w:szCs w:val="20"/>
                <w:color w:val="auto"/>
              </w:rPr>
            </w:pPr>
            <w:r>
              <w:rPr>
                <w:rFonts w:ascii="Arial" w:cs="Arial" w:eastAsia="Arial" w:hAnsi="Arial"/>
                <w:sz w:val="18"/>
                <w:szCs w:val="18"/>
                <w:color w:val="auto"/>
              </w:rPr>
              <w:t>SECTION 12.17 Term of Agreement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60" w:type="dxa"/>
            <w:vAlign w:val="bottom"/>
            <w:gridSpan w:val="2"/>
          </w:tcPr>
          <w:p>
            <w:pPr>
              <w:spacing w:after="0"/>
              <w:rPr>
                <w:sz w:val="20"/>
                <w:szCs w:val="20"/>
                <w:color w:val="auto"/>
              </w:rPr>
            </w:pPr>
            <w:r>
              <w:rPr>
                <w:rFonts w:ascii="Arial" w:cs="Arial" w:eastAsia="Arial" w:hAnsi="Arial"/>
                <w:sz w:val="18"/>
                <w:szCs w:val="18"/>
                <w:color w:val="auto"/>
              </w:rPr>
              <w:t>SECTION 12.18 USA PATRIOT Act; Anti-Money Laundering Laws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142</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170</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w w:val="92"/>
              </w:rPr>
              <w:t>SECTION 12.19</w:t>
            </w:r>
          </w:p>
        </w:tc>
        <w:tc>
          <w:tcPr>
            <w:tcW w:w="8840" w:type="dxa"/>
            <w:vAlign w:val="bottom"/>
          </w:tcPr>
          <w:p>
            <w:pPr>
              <w:ind w:left="40"/>
              <w:spacing w:after="0"/>
              <w:rPr>
                <w:sz w:val="20"/>
                <w:szCs w:val="20"/>
                <w:color w:val="auto"/>
              </w:rPr>
            </w:pPr>
            <w:r>
              <w:rPr>
                <w:rFonts w:ascii="Arial" w:cs="Arial" w:eastAsia="Arial" w:hAnsi="Arial"/>
                <w:sz w:val="18"/>
                <w:szCs w:val="18"/>
                <w:color w:val="auto"/>
              </w:rPr>
              <w:t>Independent Effect of Covenants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142</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170</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w w:val="92"/>
              </w:rPr>
              <w:t>SECTION 12.20</w:t>
            </w:r>
          </w:p>
        </w:tc>
        <w:tc>
          <w:tcPr>
            <w:tcW w:w="8840" w:type="dxa"/>
            <w:vAlign w:val="bottom"/>
          </w:tcPr>
          <w:p>
            <w:pPr>
              <w:ind w:left="40"/>
              <w:spacing w:after="0"/>
              <w:rPr>
                <w:sz w:val="20"/>
                <w:szCs w:val="20"/>
                <w:color w:val="auto"/>
              </w:rPr>
            </w:pPr>
            <w:r>
              <w:rPr>
                <w:rFonts w:ascii="Arial" w:cs="Arial" w:eastAsia="Arial" w:hAnsi="Arial"/>
                <w:sz w:val="18"/>
                <w:szCs w:val="18"/>
                <w:color w:val="auto"/>
              </w:rPr>
              <w:t>No Advisory or Fiduciary Responsibility</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142</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170</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w w:val="92"/>
              </w:rPr>
              <w:t>SECTION 12.21</w:t>
            </w:r>
          </w:p>
        </w:tc>
        <w:tc>
          <w:tcPr>
            <w:tcW w:w="8840" w:type="dxa"/>
            <w:vAlign w:val="bottom"/>
          </w:tcPr>
          <w:p>
            <w:pPr>
              <w:ind w:left="40"/>
              <w:spacing w:after="0"/>
              <w:rPr>
                <w:sz w:val="20"/>
                <w:szCs w:val="20"/>
                <w:color w:val="auto"/>
              </w:rPr>
            </w:pPr>
            <w:r>
              <w:rPr>
                <w:rFonts w:ascii="Arial" w:cs="Arial" w:eastAsia="Arial" w:hAnsi="Arial"/>
                <w:sz w:val="18"/>
                <w:szCs w:val="18"/>
                <w:color w:val="auto"/>
              </w:rPr>
              <w:t>Inconsistencies with Other Documents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143</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060" w:type="dxa"/>
            <w:vAlign w:val="bottom"/>
            <w:gridSpan w:val="2"/>
          </w:tcPr>
          <w:p>
            <w:pPr>
              <w:spacing w:after="0"/>
              <w:rPr>
                <w:sz w:val="20"/>
                <w:szCs w:val="20"/>
                <w:color w:val="auto"/>
              </w:rPr>
            </w:pPr>
            <w:r>
              <w:rPr>
                <w:rFonts w:ascii="Arial" w:cs="Arial" w:eastAsia="Arial" w:hAnsi="Arial"/>
                <w:sz w:val="18"/>
                <w:szCs w:val="18"/>
                <w:color w:val="auto"/>
              </w:rPr>
              <w:t>SECTION 12.22 Judgment Currency</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143</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60" w:type="dxa"/>
            <w:vAlign w:val="bottom"/>
            <w:gridSpan w:val="2"/>
          </w:tcPr>
          <w:p>
            <w:pPr>
              <w:spacing w:after="0"/>
              <w:rPr>
                <w:sz w:val="20"/>
                <w:szCs w:val="20"/>
                <w:color w:val="auto"/>
              </w:rPr>
            </w:pPr>
            <w:r>
              <w:rPr>
                <w:rFonts w:ascii="Arial" w:cs="Arial" w:eastAsia="Arial" w:hAnsi="Arial"/>
                <w:sz w:val="18"/>
                <w:szCs w:val="18"/>
                <w:color w:val="auto"/>
              </w:rPr>
              <w:t>SECTION 12.23 Acknowledgement and Consent to Bail-In of Affected Financial Institutions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143</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172</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60" w:type="dxa"/>
            <w:vAlign w:val="bottom"/>
            <w:gridSpan w:val="2"/>
          </w:tcPr>
          <w:p>
            <w:pPr>
              <w:spacing w:after="0"/>
              <w:rPr>
                <w:sz w:val="20"/>
                <w:szCs w:val="20"/>
                <w:color w:val="auto"/>
              </w:rPr>
            </w:pPr>
            <w:r>
              <w:rPr>
                <w:rFonts w:ascii="Arial" w:cs="Arial" w:eastAsia="Arial" w:hAnsi="Arial"/>
                <w:sz w:val="18"/>
                <w:szCs w:val="18"/>
                <w:color w:val="auto"/>
              </w:rPr>
              <w:t>SECTION 12.24 Amendment and Restatement; No Novation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144</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172</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w w:val="92"/>
              </w:rPr>
              <w:t>SECTION 12.25</w:t>
            </w:r>
          </w:p>
        </w:tc>
        <w:tc>
          <w:tcPr>
            <w:tcW w:w="8840" w:type="dxa"/>
            <w:vAlign w:val="bottom"/>
          </w:tcPr>
          <w:p>
            <w:pPr>
              <w:ind w:left="40"/>
              <w:spacing w:after="0"/>
              <w:rPr>
                <w:sz w:val="20"/>
                <w:szCs w:val="20"/>
                <w:color w:val="auto"/>
              </w:rPr>
            </w:pPr>
            <w:r>
              <w:rPr>
                <w:rFonts w:ascii="Arial" w:cs="Arial" w:eastAsia="Arial" w:hAnsi="Arial"/>
                <w:sz w:val="18"/>
                <w:szCs w:val="18"/>
                <w:color w:val="auto"/>
              </w:rPr>
              <w:t>Certain ERISA Matters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144</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060" w:type="dxa"/>
            <w:vAlign w:val="bottom"/>
            <w:gridSpan w:val="2"/>
          </w:tcPr>
          <w:p>
            <w:pPr>
              <w:spacing w:after="0"/>
              <w:rPr>
                <w:sz w:val="20"/>
                <w:szCs w:val="20"/>
                <w:color w:val="auto"/>
              </w:rPr>
            </w:pPr>
            <w:r>
              <w:rPr>
                <w:rFonts w:ascii="Arial" w:cs="Arial" w:eastAsia="Arial" w:hAnsi="Arial"/>
                <w:sz w:val="18"/>
                <w:szCs w:val="18"/>
                <w:color w:val="auto"/>
              </w:rPr>
              <w:t>SECTION 12.26 Acknowledgement Regarding Any Supported QFCs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145</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173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vMerge w:val="restart"/>
          </w:tcPr>
          <w:p>
            <w:pPr>
              <w:ind w:left="3800"/>
              <w:spacing w:after="0"/>
              <w:rPr>
                <w:sz w:val="20"/>
                <w:szCs w:val="20"/>
                <w:color w:val="auto"/>
              </w:rPr>
            </w:pPr>
            <w:r>
              <w:rPr>
                <w:rFonts w:ascii="Arial" w:cs="Arial" w:eastAsia="Arial" w:hAnsi="Arial"/>
                <w:sz w:val="18"/>
                <w:szCs w:val="18"/>
                <w:color w:val="auto"/>
              </w:rPr>
              <w:t>-vi-</w:t>
            </w: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800" w:top="486" w:right="49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4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6160" w:type="dxa"/>
            <w:vAlign w:val="bottom"/>
          </w:tcPr>
          <w:p>
            <w:pPr>
              <w:spacing w:after="0"/>
              <w:rPr>
                <w:sz w:val="17"/>
                <w:szCs w:val="17"/>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8"/>
                <w:szCs w:val="18"/>
                <w:color w:val="auto"/>
              </w:rPr>
              <w:t>Exhibit A-1</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Revolving Credit Note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A-2</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Swingline Note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A-3</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Term Loan Note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Notice of Borrowing</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Notice of Account Designation</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Notice of Prepayment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Notice of Conversion/Continuation</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Compliance Certificate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H-1</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U.S. Tax Compliance Certificate (Non-Partnership Foreign Lenders)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H-2</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w w:val="96"/>
              </w:rPr>
              <w:t>-   Form of U.S. Tax Compliance Certificate (Non-Partnership Foreign Participants)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H-3</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U.S. Tax Compliance Certificate (Foreign Participant Partnerships)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H-4</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w w:val="93"/>
              </w:rPr>
              <w:t>-   Form of U.S. Tax Compliance Certificate (Foreign Lender Participant Partnerships)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Immaterial Subsidiary Guarantor Termination Notice</w:t>
            </w: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Form of Solvency Certificate</w:t>
            </w:r>
          </w:p>
        </w:tc>
      </w:tr>
      <w:tr>
        <w:trPr>
          <w:trHeight w:val="391"/>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SCHEDULES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Schedule 1.1(a)</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Existing Letters of Credit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Schedule 1.1(b)</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Existing Hedge Agreements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Schedule 1.1(c)</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Commitments and Commitment Percentages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Schedule 1.1(d)</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Specified Candidate Programs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Schedule 7.8(b)</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Existing Liens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Schedule 7.8(c)</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Owned Real Property</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Schedule 7.8(d)</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Existing Investments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7.9</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Environmental Matters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7.13</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   Subsidiaries and Other Equity Investments; Credit Parties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8.18</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Post-Closing Matters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9.3</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Existing Indebtedness</w:t>
            </w: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Schedule 9.9</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160" w:type="dxa"/>
            <w:vAlign w:val="bottom"/>
          </w:tcPr>
          <w:p>
            <w:pPr>
              <w:ind w:left="140"/>
              <w:spacing w:after="0"/>
              <w:rPr>
                <w:sz w:val="20"/>
                <w:szCs w:val="20"/>
                <w:color w:val="auto"/>
              </w:rPr>
            </w:pPr>
            <w:r>
              <w:rPr>
                <w:rFonts w:ascii="Arial" w:cs="Arial" w:eastAsia="Arial" w:hAnsi="Arial"/>
                <w:sz w:val="18"/>
                <w:szCs w:val="18"/>
                <w:color w:val="auto"/>
              </w:rPr>
              <w:t>Burdensome Agreements</w:t>
            </w:r>
          </w:p>
        </w:tc>
      </w:tr>
    </w:tbl>
    <w:p>
      <w:pPr>
        <w:spacing w:after="0" w:line="13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019"/>
          </w:cols>
          <w:pgMar w:left="440" w:top="473" w:right="1440" w:bottom="1440" w:gutter="0" w:footer="0" w:header="0"/>
        </w:sectPr>
      </w:pPr>
    </w:p>
    <w:bookmarkStart w:id="45" w:name="page46"/>
    <w:bookmarkEnd w:id="45"/>
    <w:p>
      <w:pPr>
        <w:ind w:left="4"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AMENDED AND RESTATED CREDIT AGREEMENT, dated as of October 15, 2018, by and among EMERGENT BIOSOLUTIONS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STATEMENT OF PURPOSE</w:t>
      </w:r>
    </w:p>
    <w:p>
      <w:pPr>
        <w:spacing w:after="0" w:line="22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WHEREAS, the Borrower, certain financial institutions party thereto and Wells Fargo Bank, National Association, as administrative agent, are parties to that certain Credit Agreement dated as of September 29, 2017 (as amended, modified, restated or supplemented immediately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Borrower has requested, and the Administrative Agent and Lenders have agreed, to amend and restate the Existing Credit Agreement pursuant to the terms hereof.</w:t>
      </w:r>
    </w:p>
    <w:p>
      <w:pPr>
        <w:spacing w:after="0" w:line="187"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WHEREAS, the Borrower has requested, and subject to the terms and conditions set forth in this Agreement, the Administrative Agent and the Lenders have agreed to extend, a term loan facility and a revolving credit facility to the Borrower.</w:t>
      </w:r>
    </w:p>
    <w:p>
      <w:pPr>
        <w:spacing w:after="0" w:line="170"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such parties hereby agree as follows:</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when used in this Agreement shall have the meanings assigned to them below:</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2028 Senior Notes</w:t>
      </w:r>
      <w:r>
        <w:rPr>
          <w:rFonts w:ascii="Arial" w:cs="Arial" w:eastAsia="Arial" w:hAnsi="Arial"/>
          <w:sz w:val="18"/>
          <w:szCs w:val="18"/>
          <w:color w:val="auto"/>
        </w:rPr>
        <w:t>” means the 3.875% Senior Notes due 2028, issued by the Borrower.</w:t>
      </w:r>
    </w:p>
    <w:p>
      <w:pPr>
        <w:spacing w:after="0" w:line="225"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Agreements</w:t>
      </w:r>
      <w:r>
        <w:rPr>
          <w:rFonts w:ascii="Arial" w:cs="Arial" w:eastAsia="Arial" w:hAnsi="Arial"/>
          <w:sz w:val="18"/>
          <w:szCs w:val="18"/>
          <w:color w:val="auto"/>
        </w:rPr>
        <w:t>” means each Deposit Account Control Agreement, Securities Account Control Agreement and each other account control agreement entered into pursuant to the terms of this Agreement or any other Loan Document, in each case, in form and substance reasonably satisfactory to Administrative Agent.</w:t>
      </w:r>
    </w:p>
    <w:p>
      <w:pPr>
        <w:spacing w:after="0" w:line="184"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Acquired EBITDA</w:t>
      </w:r>
      <w:r>
        <w:rPr>
          <w:rFonts w:ascii="Arial" w:cs="Arial" w:eastAsia="Arial" w:hAnsi="Arial"/>
          <w:sz w:val="16"/>
          <w:szCs w:val="16"/>
          <w:color w:val="auto"/>
        </w:rPr>
        <w:t xml:space="preserve">” means, with respect to any Person or business acquired pursuant to a Permitted Acquisition for any period, the amount for such period of Consolidated EBITDA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to the contrary, in determining Acquired EBITDA for any Person or business that does not have historical financial accounting periods which coincide with that of the financial accounting periods of the Borrower and its Subsidiaries</w:t>
      </w:r>
    </w:p>
    <w:p>
      <w:pPr>
        <w:spacing w:after="0" w:line="2" w:lineRule="exact"/>
        <w:rPr>
          <w:sz w:val="20"/>
          <w:szCs w:val="20"/>
          <w:color w:val="auto"/>
        </w:rPr>
      </w:pPr>
    </w:p>
    <w:p>
      <w:pPr>
        <w:ind w:left="4" w:right="40" w:hanging="4"/>
        <w:spacing w:after="0" w:line="252"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references to Measurement Period in any applicable definitions shall be deemed to mean the same relevant period as the applicable period of determination for the Borrower and its Subsidiaries and (b) to the extent the commencement of any such Measurement Period shall occur during a fiscal quarter of such acquired Person or business (such that only a portion of such fiscal quarter shall be included in such Measurement Period), Acquired EBITDA for the portion of such fiscal quarter so included in such Measurement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Measurement Period and the denominator of which shall be actual months in such fiscal quarter.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490" w:right="459" w:bottom="1440" w:gutter="0" w:footer="0" w:header="0"/>
        </w:sectPr>
      </w:pPr>
    </w:p>
    <w:bookmarkStart w:id="46" w:name="page47"/>
    <w:bookmarkEnd w:id="46"/>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6"/>
          <w:szCs w:val="16"/>
          <w:u w:val="single" w:color="auto"/>
          <w:color w:val="auto"/>
        </w:rPr>
        <w:t>Acquired Interest Charges</w:t>
      </w:r>
      <w:r>
        <w:rPr>
          <w:rFonts w:ascii="Arial" w:cs="Arial" w:eastAsia="Arial" w:hAnsi="Arial"/>
          <w:sz w:val="16"/>
          <w:szCs w:val="16"/>
          <w:color w:val="auto"/>
        </w:rPr>
        <w:t xml:space="preserve">” means, with respect to any Person or business acquired pursuant to a Permitted Acquisition for any period, the amount for such period of Consolidated Interest Charges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to the contrary, in determining Acquired Interest Charges for any Person or business that does not have historical financial accounting periods which coincide with that of the financial accounting periods of the Borrower and its Subsidiaries (a) references to Measurement Period in any applicable definitions shall be deemed to mean the same relevant period as the applicable period of determination for the Borrower and its Subsidiaries and (b) to the extent the commencement of any such Measurement Period shall occur during a fiscal quarter of such acquired Person or business (such that only a portion of such fiscal quarter shall be included in such Measurement Period), Acquired Interest Charges for the portion of such fiscal quarter so included in such Measurement Period shall be deemed to be an amount equal to (x) Acquired Interest Charges otherwise attributable to the entire fiscal quarter (determined in a manner consistent with the terms set forth above) multiplied by (y) a fraction, the numerator of which shall be the number of days of such fiscal quarter included in the relevant Measurement Period and the denominator of which shall be actual days in such fiscal quarter.</w:t>
      </w:r>
    </w:p>
    <w:p>
      <w:pPr>
        <w:spacing w:after="0" w:line="16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means </w:t>
      </w:r>
      <w:r>
        <w:rPr>
          <w:rFonts w:ascii="Arial" w:cs="Arial" w:eastAsia="Arial" w:hAnsi="Arial"/>
          <w:sz w:val="18"/>
          <w:szCs w:val="18"/>
          <w:color w:val="FF0000"/>
          <w:strike w:val="1"/>
        </w:rPr>
        <w:t>(a) the PaxVax Acquisition and (b) any other</w:t>
      </w:r>
      <w:r>
        <w:rPr>
          <w:rFonts w:ascii="Arial" w:cs="Arial" w:eastAsia="Arial" w:hAnsi="Arial"/>
          <w:sz w:val="18"/>
          <w:szCs w:val="18"/>
          <w:u w:val="single" w:color="auto"/>
          <w:color w:val="0000FF"/>
        </w:rPr>
        <w:t>any</w:t>
      </w:r>
      <w:r>
        <w:rPr>
          <w:rFonts w:ascii="Arial" w:cs="Arial" w:eastAsia="Arial" w:hAnsi="Arial"/>
          <w:sz w:val="18"/>
          <w:szCs w:val="18"/>
          <w:color w:val="auto"/>
        </w:rPr>
        <w:t xml:space="preserve"> transaction consummated on or after the date of this Agreement </w:t>
      </w:r>
      <w:r>
        <w:rPr>
          <w:rFonts w:ascii="Arial" w:cs="Arial" w:eastAsia="Arial" w:hAnsi="Arial"/>
          <w:sz w:val="18"/>
          <w:szCs w:val="18"/>
          <w:color w:val="FF0000"/>
          <w:strike w:val="1"/>
        </w:rPr>
        <w:t>(including</w:t>
      </w:r>
      <w:r>
        <w:rPr>
          <w:rFonts w:ascii="Arial" w:cs="Arial" w:eastAsia="Arial" w:hAnsi="Arial"/>
          <w:sz w:val="18"/>
          <w:szCs w:val="18"/>
          <w:color w:val="auto"/>
        </w:rPr>
        <w:t xml:space="preserve"> </w:t>
      </w:r>
      <w:r>
        <w:rPr>
          <w:rFonts w:ascii="Arial" w:cs="Arial" w:eastAsia="Arial" w:hAnsi="Arial"/>
          <w:sz w:val="18"/>
          <w:szCs w:val="18"/>
          <w:color w:val="FF0000"/>
          <w:strike w:val="1"/>
        </w:rPr>
        <w:t>the Adapt Acquisition)</w:t>
      </w:r>
      <w:r>
        <w:rPr>
          <w:rFonts w:ascii="Arial" w:cs="Arial" w:eastAsia="Arial" w:hAnsi="Arial"/>
          <w:sz w:val="18"/>
          <w:szCs w:val="18"/>
          <w:color w:val="000000"/>
        </w:rPr>
        <w:t>, by which any Credit Party or any of its Subsidiaries (x) acquires any going business or all or substantially all of the assets of any</w:t>
      </w:r>
      <w:r>
        <w:rPr>
          <w:rFonts w:ascii="Arial" w:cs="Arial" w:eastAsia="Arial" w:hAnsi="Arial"/>
          <w:sz w:val="18"/>
          <w:szCs w:val="18"/>
          <w:color w:val="FF0000"/>
        </w:rPr>
        <w:t xml:space="preserve"> </w:t>
      </w:r>
      <w:r>
        <w:rPr>
          <w:rFonts w:ascii="Arial" w:cs="Arial" w:eastAsia="Arial" w:hAnsi="Arial"/>
          <w:sz w:val="18"/>
          <w:szCs w:val="18"/>
          <w:color w:val="000000"/>
        </w:rPr>
        <w:t>Person, or division thereof, whether through purchase of assets, merger or otherwise or (y)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9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Adapt Acquisition</w:t>
      </w:r>
      <w:r>
        <w:rPr>
          <w:rFonts w:ascii="Arial" w:cs="Arial" w:eastAsia="Arial" w:hAnsi="Arial"/>
          <w:sz w:val="18"/>
          <w:szCs w:val="18"/>
          <w:color w:val="FF0000"/>
          <w:strike w:val="1"/>
        </w:rPr>
        <w:t>” means the acquisition of all of the Equity Interests of the Adapt Target by the Borrower pursuant to the Adapt Purchase Agreement.</w:t>
      </w:r>
    </w:p>
    <w:p>
      <w:pPr>
        <w:spacing w:after="0" w:line="170"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Adapt Acquisition Investment</w:t>
      </w:r>
      <w:r>
        <w:rPr>
          <w:rFonts w:ascii="Arial" w:cs="Arial" w:eastAsia="Arial" w:hAnsi="Arial"/>
          <w:sz w:val="16"/>
          <w:szCs w:val="16"/>
          <w:color w:val="FF0000"/>
          <w:strike w:val="1"/>
        </w:rPr>
        <w:t xml:space="preserve">” means any direct or indirect equity contributions, loans (including the EI/Adapt Intercompany Loan and the Irish Newco/Adapt Intercompany Loan) or Investments by the Borrower or a direct or indirect Wholly-Owned Domestic Subsidiary thereof to one or more direct or indirect Wholly-Owned Foreign Subsidiaries of the Borrower to finance all or a portion of the consideration for the Adapt Acquisition and related costs and expenses;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aggregate amount of such equity contributions, loans or Investments in the initial principal amount of not less than the initial principal amount of the Initial Term Loan is evidenced by the Irish Newco/Adapt Intercompany Loan and pledged as Collateral.</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Adapt Canada</w:t>
      </w:r>
      <w:r>
        <w:rPr>
          <w:rFonts w:ascii="Arial" w:cs="Arial" w:eastAsia="Arial" w:hAnsi="Arial"/>
          <w:sz w:val="18"/>
          <w:szCs w:val="18"/>
          <w:color w:val="auto"/>
        </w:rPr>
        <w:t>” means Adapt Pharma Canada Ltd., a company incorporated under the laws of British Columbia.</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Adapt Material Adverse Effect</w:t>
      </w:r>
      <w:r>
        <w:rPr>
          <w:rFonts w:ascii="Arial" w:cs="Arial" w:eastAsia="Arial" w:hAnsi="Arial"/>
          <w:sz w:val="18"/>
          <w:szCs w:val="18"/>
          <w:color w:val="FF0000"/>
          <w:strike w:val="1"/>
        </w:rPr>
        <w:t xml:space="preserve">” means any change, event, circumstance or occurrence that, individually or in the aggregate, (a) has had or would reasonably be expected to have a material adverse effect on the business, properties, assets, condition (financial or otherwise) or results of operations of the Adapt Target </w:t>
      </w:r>
      <w:r>
        <w:rPr>
          <w:rFonts w:ascii="Arial" w:cs="Arial" w:eastAsia="Arial" w:hAnsi="Arial"/>
          <w:sz w:val="18"/>
          <w:szCs w:val="18"/>
          <w:color w:val="008000"/>
          <w:strike w:val="1"/>
        </w:rPr>
        <w:t>and its Subsidiaries, taken as a whole,</w:t>
      </w:r>
      <w:r>
        <w:rPr>
          <w:rFonts w:ascii="Arial" w:cs="Arial" w:eastAsia="Arial" w:hAnsi="Arial"/>
          <w:sz w:val="18"/>
          <w:szCs w:val="18"/>
          <w:color w:val="FF0000"/>
          <w:strike w:val="1"/>
        </w:rPr>
        <w:t xml:space="preserve"> or (b) prevents or materially delays, or is reasonably likely to prevent or materially delay, the consummation of the transaction contemplated hereby; provided,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90" w:right="459" w:bottom="1440" w:gutter="0" w:footer="0" w:header="0"/>
        </w:sectPr>
      </w:pPr>
    </w:p>
    <w:bookmarkStart w:id="47" w:name="page48"/>
    <w:bookmarkEnd w:id="47"/>
    <w:p>
      <w:pPr>
        <w:ind w:left="4"/>
        <w:spacing w:after="0" w:line="282"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however, that in determining whether there has been an Adapt Material Adverse Effect or whether a Adapt Material Adverse Effect could or would reasonably be expected to occur pursuant to clause (a), any change, event, circumstance or occurrence principally attributable to, arising out of, or resulting from any of the following shall be disregarded: (i) general economic, business, industry or credit financial or capital market conditions (whether in the United States, Ireland or internationally), including conditions affecting generally the industries or markets in which the Adapt Target and its Subsidiaries operate; (ii) the taking of any action required by the Adapt Purchase Agreement or the Related Agreements (other than actions taken solely to comply with the first sentence of Section 6.2 of the Adapt Purchase Agreement); (iii) the negotiation, entry into or public announcement of the Adapt Purchase Agreement or pendency of the transactions contemplated by the Adapt Purchase Agreement, including any suit, action or proceeding in connection with the transactions contemplated by the Adapt Purchase Agreement (it being understood that the exceptions in this clause (iii) shall not apply with respect to any representation or warranty contained in the Adapt Purchase Agreement the purpose of which is to address the consequences resulting from the execution, delivery and performance of the Adapt Purchase Agreement or any of the Related Agreements or the consummation of the transactions contemplated hereby or thereby); (iv) the breach of the Adapt Purchase Agreement or any Related Agreement by Buyer (as defined in the Adapt Purchase Agreement); (v) the taking of any action with the written consent of the Borrower; (vi) pandemics, earthquakes, tornados, hurricanes, floods, acts of God and other force majeure events; (vii) acts of war (whether declared or not declared), sabotage, terrorism, military actions or the escalation thereof; (viii) any changes in applicable Law, regulations or accounting rules, including IFRS or interpretations thereof, or any changes after the date hereof in the interpretation or enforcement of any of the foregoing by a Governmental Authority; (ix) any decision, judgment, result, ruling, outcome, settlement, order or other outcome of any Action disclosed in Section 4.13 of the Company Disclosure Schedule; (x) the failure by the Adapt Target or its Subsidiaries to meet any projections, estimates or budgets for any period prior to, on or after the date of the Adapt Purchase Agreement (provided that, any change, event, circumstance or occurrence underlying such failure shall not, except as otherwise provided in this definition, be excluded); and (xi) the matter described on Section 1.1(a) of the Company Disclosure Schedule; provided, however, that, with respect to clauses (i), (vi),</w:t>
      </w:r>
    </w:p>
    <w:p>
      <w:pPr>
        <w:spacing w:after="0" w:line="11" w:lineRule="exact"/>
        <w:rPr>
          <w:sz w:val="20"/>
          <w:szCs w:val="20"/>
          <w:color w:val="auto"/>
        </w:rPr>
      </w:pPr>
    </w:p>
    <w:p>
      <w:pPr>
        <w:ind w:left="4" w:hanging="4"/>
        <w:spacing w:after="0" w:line="253" w:lineRule="auto"/>
        <w:tabs>
          <w:tab w:leader="none" w:pos="359" w:val="left"/>
        </w:tabs>
        <w:numPr>
          <w:ilvl w:val="0"/>
          <w:numId w:val="19"/>
        </w:numPr>
        <w:rPr>
          <w:rFonts w:ascii="Arial" w:cs="Arial" w:eastAsia="Arial" w:hAnsi="Arial"/>
          <w:sz w:val="18"/>
          <w:szCs w:val="18"/>
          <w:color w:val="FF0000"/>
          <w:strike w:val="1"/>
        </w:rPr>
      </w:pPr>
      <w:r>
        <w:rPr>
          <w:rFonts w:ascii="Arial" w:cs="Arial" w:eastAsia="Arial" w:hAnsi="Arial"/>
          <w:sz w:val="18"/>
          <w:szCs w:val="18"/>
          <w:color w:val="FF0000"/>
          <w:strike w:val="1"/>
        </w:rPr>
        <w:t>or (viii), such change, event, circumstance or occurrence shall not be disregarded to the extent it has a material and disproportionate adverse effect on the Adapt Target and its Subsidiaries relative to other participants in the industry and geographies in which the Adapt Target operates. For purposes of this definition only, the terms “</w:t>
      </w:r>
      <w:r>
        <w:rPr>
          <w:rFonts w:ascii="Arial" w:cs="Arial" w:eastAsia="Arial" w:hAnsi="Arial"/>
          <w:sz w:val="18"/>
          <w:szCs w:val="18"/>
          <w:u w:val="single" w:color="auto"/>
          <w:color w:val="FF0000"/>
          <w:strike w:val="1"/>
        </w:rPr>
        <w:t>Action</w:t>
      </w:r>
      <w:r>
        <w:rPr>
          <w:rFonts w:ascii="Arial" w:cs="Arial" w:eastAsia="Arial" w:hAnsi="Arial"/>
          <w:sz w:val="18"/>
          <w:szCs w:val="18"/>
          <w:color w:val="FF0000"/>
          <w:strike w:val="1"/>
        </w:rPr>
        <w:t>”, “</w:t>
      </w:r>
      <w:r>
        <w:rPr>
          <w:rFonts w:ascii="Arial" w:cs="Arial" w:eastAsia="Arial" w:hAnsi="Arial"/>
          <w:sz w:val="18"/>
          <w:szCs w:val="18"/>
          <w:u w:val="single" w:color="auto"/>
          <w:color w:val="FF0000"/>
          <w:strike w:val="1"/>
        </w:rPr>
        <w:t>Company Disclosure Schedule</w:t>
      </w:r>
      <w:r>
        <w:rPr>
          <w:rFonts w:ascii="Arial" w:cs="Arial" w:eastAsia="Arial" w:hAnsi="Arial"/>
          <w:sz w:val="18"/>
          <w:szCs w:val="18"/>
          <w:color w:val="FF0000"/>
          <w:strike w:val="1"/>
        </w:rPr>
        <w:t>”, “</w:t>
      </w:r>
      <w:r>
        <w:rPr>
          <w:rFonts w:ascii="Arial" w:cs="Arial" w:eastAsia="Arial" w:hAnsi="Arial"/>
          <w:sz w:val="18"/>
          <w:szCs w:val="18"/>
          <w:u w:val="single" w:color="auto"/>
          <w:color w:val="FF0000"/>
          <w:strike w:val="1"/>
        </w:rPr>
        <w:t>Governmental Authorities</w:t>
      </w:r>
      <w:r>
        <w:rPr>
          <w:rFonts w:ascii="Arial" w:cs="Arial" w:eastAsia="Arial" w:hAnsi="Arial"/>
          <w:sz w:val="18"/>
          <w:szCs w:val="18"/>
          <w:color w:val="FF0000"/>
          <w:strike w:val="1"/>
        </w:rPr>
        <w:t>”, “</w:t>
      </w:r>
      <w:r>
        <w:rPr>
          <w:rFonts w:ascii="Arial" w:cs="Arial" w:eastAsia="Arial" w:hAnsi="Arial"/>
          <w:sz w:val="18"/>
          <w:szCs w:val="18"/>
          <w:u w:val="single" w:color="auto"/>
          <w:color w:val="FF0000"/>
          <w:strike w:val="1"/>
        </w:rPr>
        <w:t>Law</w:t>
      </w:r>
      <w:r>
        <w:rPr>
          <w:rFonts w:ascii="Arial" w:cs="Arial" w:eastAsia="Arial" w:hAnsi="Arial"/>
          <w:sz w:val="18"/>
          <w:szCs w:val="18"/>
          <w:color w:val="FF0000"/>
          <w:strike w:val="1"/>
        </w:rPr>
        <w:t>” and “</w:t>
      </w:r>
      <w:r>
        <w:rPr>
          <w:rFonts w:ascii="Arial" w:cs="Arial" w:eastAsia="Arial" w:hAnsi="Arial"/>
          <w:sz w:val="18"/>
          <w:szCs w:val="18"/>
          <w:u w:val="single" w:color="auto"/>
          <w:color w:val="FF0000"/>
          <w:strike w:val="1"/>
        </w:rPr>
        <w:t>Related Agreements</w:t>
      </w:r>
      <w:r>
        <w:rPr>
          <w:rFonts w:ascii="Arial" w:cs="Arial" w:eastAsia="Arial" w:hAnsi="Arial"/>
          <w:sz w:val="18"/>
          <w:szCs w:val="18"/>
          <w:color w:val="FF0000"/>
          <w:strike w:val="1"/>
        </w:rPr>
        <w:t>” have the respective meanings specified in the Adapt Purchase Agreement without giving effect to any amendment, restatement, supplement or other modification thereof.</w:t>
      </w:r>
    </w:p>
    <w:p>
      <w:pPr>
        <w:spacing w:after="0" w:line="191"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Adapt Purchase Agreement</w:t>
      </w:r>
      <w:r>
        <w:rPr>
          <w:rFonts w:ascii="Arial" w:cs="Arial" w:eastAsia="Arial" w:hAnsi="Arial"/>
          <w:sz w:val="18"/>
          <w:szCs w:val="18"/>
          <w:color w:val="FF0000"/>
          <w:strike w:val="1"/>
        </w:rPr>
        <w:t xml:space="preserve">” means the Share Purchase </w:t>
      </w:r>
      <w:r>
        <w:rPr>
          <w:rFonts w:ascii="Arial" w:cs="Arial" w:eastAsia="Arial" w:hAnsi="Arial"/>
          <w:sz w:val="18"/>
          <w:szCs w:val="18"/>
          <w:color w:val="008000"/>
          <w:strike w:val="1"/>
        </w:rPr>
        <w:t>Agreement dated as of August</w:t>
      </w:r>
      <w:r>
        <w:rPr>
          <w:rFonts w:ascii="Arial" w:cs="Arial" w:eastAsia="Arial" w:hAnsi="Arial"/>
          <w:sz w:val="18"/>
          <w:szCs w:val="18"/>
          <w:color w:val="FF0000"/>
          <w:strike w:val="1"/>
        </w:rPr>
        <w:t xml:space="preserve"> 28, 2018, by and among the Adapt Target, the Adapt Sellers, Seamus Mulligan, an individual, as representative for the Adapt Sellers, and the Borrower.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Adapt Sellers</w:t>
      </w:r>
      <w:r>
        <w:rPr>
          <w:rFonts w:ascii="Arial" w:cs="Arial" w:eastAsia="Arial" w:hAnsi="Arial"/>
          <w:sz w:val="18"/>
          <w:szCs w:val="18"/>
          <w:color w:val="FF0000"/>
          <w:strike w:val="1"/>
        </w:rPr>
        <w:t>” means the parties identified on Schedule I to the Adapt Purchase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Adapt Target</w:t>
      </w:r>
      <w:r>
        <w:rPr>
          <w:rFonts w:ascii="Arial" w:cs="Arial" w:eastAsia="Arial" w:hAnsi="Arial"/>
          <w:sz w:val="18"/>
          <w:szCs w:val="18"/>
          <w:color w:val="auto"/>
        </w:rPr>
        <w:t>” means Adapt Pharma Limited, an Irish private company limited by shares.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Adapt US</w:t>
      </w:r>
      <w:r>
        <w:rPr>
          <w:rFonts w:ascii="Arial" w:cs="Arial" w:eastAsia="Arial" w:hAnsi="Arial"/>
          <w:sz w:val="18"/>
          <w:szCs w:val="18"/>
          <w:color w:val="auto"/>
        </w:rPr>
        <w:t>” means Adapt Pharma Inc., a Delaware corporation.</w:t>
      </w:r>
    </w:p>
    <w:p>
      <w:pPr>
        <w:spacing w:after="0" w:line="225"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Adapt US/Canada Integration</w:t>
      </w:r>
      <w:r>
        <w:rPr>
          <w:rFonts w:ascii="Arial" w:cs="Arial" w:eastAsia="Arial" w:hAnsi="Arial"/>
          <w:sz w:val="17"/>
          <w:szCs w:val="17"/>
          <w:color w:val="auto"/>
        </w:rPr>
        <w:t>” means, on or after the Closing Date, the contemporaneous (a) assignment, transfer, dividend or distribution of all of the Adapt US/Canada Shares by the Adapt Target to the Irish Newco Subsidiary, (b) assignment, transfer, dividend or distribution of the Adapt US/Canada Shares by Irish Newco Subsidiary to Emergent International, (c) assignment, transfer, dividend or distribution of the Adapt US/Canada Shares by Emergent International to the Borrower and (d) related interim or series of related transactions, such that, after the consummation of each of the foregoing transactions, the Borrower shall own all of the Adapt US/Canada Shares.</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490" w:right="459" w:bottom="1440" w:gutter="0" w:footer="0" w:header="0"/>
        </w:sectPr>
      </w:pPr>
    </w:p>
    <w:bookmarkStart w:id="48" w:name="page49"/>
    <w:bookmarkEnd w:id="48"/>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Adapt US/Canada Shares</w:t>
      </w:r>
      <w:r>
        <w:rPr>
          <w:rFonts w:ascii="Arial" w:cs="Arial" w:eastAsia="Arial" w:hAnsi="Arial"/>
          <w:sz w:val="18"/>
          <w:szCs w:val="18"/>
          <w:color w:val="auto"/>
        </w:rPr>
        <w:t>” means the issued and outstanding Equity Interests (or other ownership interests) of Adapt US and Adapt Canada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Guarantor Trigger Event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u w:val="single" w:color="auto"/>
          <w:color w:val="0000FF"/>
        </w:rPr>
        <w:t>“Adjusted Daily Simple SONIA” means, for purposes of any calculation, the rate per annum equal to (a) Daily Simple SONIA for such calculation plus (b) the SONIA Adjustment; provided that if Adjusted Daily Simple SONIA as so determined shall ever be less than the Floor, then Adjusted Daily Simple SONIA shall be deemed to be the Floor.</w:t>
      </w:r>
    </w:p>
    <w:p>
      <w:pPr>
        <w:spacing w:after="0" w:line="18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u w:val="single" w:color="auto"/>
          <w:color w:val="0000FF"/>
        </w:rPr>
        <w:t>“Adjusted Eurocurrency Rate” means, as to any Loan denominated in any applicable Currency not bearing interest based on an RFR (which, as of the date hereof, shall mean Euros and Canadian Dollars) for any Interest Period, a rate per annum determined by the Administrative Agent pursuant to the following formula:</w:t>
      </w:r>
    </w:p>
    <w:p>
      <w:pPr>
        <w:spacing w:after="0" w:line="193" w:lineRule="exact"/>
        <w:rPr>
          <w:sz w:val="20"/>
          <w:szCs w:val="20"/>
          <w:color w:val="auto"/>
        </w:rPr>
      </w:pPr>
    </w:p>
    <w:tbl>
      <w:tblPr>
        <w:tblLayout w:type="fixed"/>
        <w:tblInd w:w="1704"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300" w:type="dxa"/>
            <w:vAlign w:val="bottom"/>
            <w:gridSpan w:val="9"/>
          </w:tcPr>
          <w:p>
            <w:pPr>
              <w:jc w:val="center"/>
              <w:spacing w:after="0"/>
              <w:rPr>
                <w:sz w:val="20"/>
                <w:szCs w:val="20"/>
                <w:color w:val="auto"/>
              </w:rPr>
            </w:pPr>
            <w:r>
              <w:rPr>
                <w:rFonts w:ascii="Arial" w:cs="Arial" w:eastAsia="Arial" w:hAnsi="Arial"/>
                <w:sz w:val="18"/>
                <w:szCs w:val="18"/>
                <w:color w:val="0000FF"/>
                <w:w w:val="91"/>
              </w:rPr>
              <w:t>Eurocurrency Rate for such Currency for such</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line="189" w:lineRule="exact"/>
              <w:rPr>
                <w:sz w:val="20"/>
                <w:szCs w:val="20"/>
                <w:color w:val="auto"/>
              </w:rPr>
            </w:pPr>
            <w:r>
              <w:rPr>
                <w:rFonts w:ascii="Arial" w:cs="Arial" w:eastAsia="Arial" w:hAnsi="Arial"/>
                <w:sz w:val="18"/>
                <w:szCs w:val="18"/>
                <w:color w:val="0000FF"/>
              </w:rPr>
              <w:t>Adjusted Eurocurrency Rate =</w:t>
            </w:r>
          </w:p>
        </w:tc>
        <w:tc>
          <w:tcPr>
            <w:tcW w:w="9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80" w:type="dxa"/>
            <w:vAlign w:val="bottom"/>
            <w:tcBorders>
              <w:top w:val="single" w:sz="8" w:color="0000FF"/>
              <w:bottom w:val="single" w:sz="8" w:color="0000FF"/>
            </w:tcBorders>
          </w:tcPr>
          <w:p>
            <w:pPr>
              <w:spacing w:after="0" w:line="20" w:lineRule="exact"/>
              <w:rPr>
                <w:sz w:val="1"/>
                <w:szCs w:val="1"/>
                <w:color w:val="auto"/>
              </w:rPr>
            </w:pPr>
          </w:p>
        </w:tc>
        <w:tc>
          <w:tcPr>
            <w:tcW w:w="106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02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Borders>
              <w:bottom w:val="single" w:sz="8" w:color="0000FF"/>
            </w:tcBorders>
          </w:tcPr>
          <w:p>
            <w:pPr>
              <w:jc w:val="center"/>
              <w:spacing w:after="0" w:line="142" w:lineRule="exact"/>
              <w:rPr>
                <w:sz w:val="20"/>
                <w:szCs w:val="20"/>
                <w:color w:val="auto"/>
              </w:rPr>
            </w:pPr>
            <w:r>
              <w:rPr>
                <w:rFonts w:ascii="Arial" w:cs="Arial" w:eastAsia="Arial" w:hAnsi="Arial"/>
                <w:sz w:val="16"/>
                <w:szCs w:val="16"/>
                <w:color w:val="0000FF"/>
              </w:rPr>
              <w:t>Interest Period</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0000FF"/>
            </w:tcBorders>
          </w:tcPr>
          <w:p>
            <w:pPr>
              <w:spacing w:after="0"/>
              <w:rPr>
                <w:sz w:val="6"/>
                <w:szCs w:val="6"/>
                <w:color w:val="auto"/>
              </w:rPr>
            </w:pPr>
          </w:p>
        </w:tc>
        <w:tc>
          <w:tcPr>
            <w:tcW w:w="2180" w:type="dxa"/>
            <w:vAlign w:val="bottom"/>
            <w:tcBorders>
              <w:bottom w:val="single" w:sz="8" w:color="0000FF"/>
            </w:tcBorders>
          </w:tcPr>
          <w:p>
            <w:pPr>
              <w:spacing w:after="0"/>
              <w:rPr>
                <w:sz w:val="6"/>
                <w:szCs w:val="6"/>
                <w:color w:val="auto"/>
              </w:rPr>
            </w:pPr>
          </w:p>
        </w:tc>
        <w:tc>
          <w:tcPr>
            <w:tcW w:w="1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60" w:type="dxa"/>
            <w:vAlign w:val="bottom"/>
            <w:tcBorders>
              <w:bottom w:val="single" w:sz="8" w:color="0000FF"/>
            </w:tcBorders>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80" w:type="dxa"/>
            <w:vAlign w:val="bottom"/>
            <w:tcBorders>
              <w:top w:val="single" w:sz="8" w:color="0000FF"/>
            </w:tcBorders>
          </w:tcPr>
          <w:p>
            <w:pPr>
              <w:spacing w:after="0"/>
              <w:rPr>
                <w:sz w:val="10"/>
                <w:szCs w:val="10"/>
                <w:color w:val="auto"/>
              </w:rPr>
            </w:pPr>
          </w:p>
        </w:tc>
        <w:tc>
          <w:tcPr>
            <w:tcW w:w="18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60" w:type="dxa"/>
            <w:vAlign w:val="bottom"/>
            <w:tcBorders>
              <w:top w:val="single" w:sz="8" w:color="auto"/>
            </w:tcBorders>
            <w:gridSpan w:val="7"/>
          </w:tcPr>
          <w:p>
            <w:pPr>
              <w:jc w:val="center"/>
              <w:ind w:right="1240"/>
              <w:spacing w:after="0" w:line="123" w:lineRule="exact"/>
              <w:rPr>
                <w:sz w:val="20"/>
                <w:szCs w:val="20"/>
                <w:color w:val="auto"/>
              </w:rPr>
            </w:pPr>
            <w:r>
              <w:rPr>
                <w:rFonts w:ascii="Arial" w:cs="Arial" w:eastAsia="Arial" w:hAnsi="Arial"/>
                <w:sz w:val="13"/>
                <w:szCs w:val="13"/>
                <w:color w:val="0000FF"/>
              </w:rPr>
              <w:t>1.</w:t>
            </w:r>
            <w:r>
              <w:rPr>
                <w:rFonts w:ascii="Arial" w:cs="Arial" w:eastAsia="Arial" w:hAnsi="Arial"/>
                <w:sz w:val="13"/>
                <w:szCs w:val="13"/>
                <w:u w:val="single" w:color="auto"/>
                <w:color w:val="0000FF"/>
              </w:rPr>
              <w:t>00</w:t>
            </w:r>
            <w:r>
              <w:rPr>
                <w:rFonts w:ascii="Arial" w:cs="Arial" w:eastAsia="Arial" w:hAnsi="Arial"/>
                <w:sz w:val="13"/>
                <w:szCs w:val="13"/>
                <w:color w:val="0000FF"/>
              </w:rPr>
              <w:t>-Eurocurrency Reserve Percentage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Borders>
              <w:top w:val="single" w:sz="8" w:color="0000FF"/>
              <w:bottom w:val="single" w:sz="8" w:color="0000FF"/>
            </w:tcBorders>
          </w:tcPr>
          <w:p>
            <w:pPr>
              <w:spacing w:after="0"/>
              <w:rPr>
                <w:sz w:val="2"/>
                <w:szCs w:val="2"/>
                <w:color w:val="auto"/>
              </w:rPr>
            </w:pPr>
          </w:p>
        </w:tc>
        <w:tc>
          <w:tcPr>
            <w:tcW w:w="1060" w:type="dxa"/>
            <w:vAlign w:val="bottom"/>
            <w:tcBorders>
              <w:top w:val="single" w:sz="8" w:color="0000FF"/>
              <w:bottom w:val="single" w:sz="8" w:color="0000FF"/>
            </w:tcBorders>
          </w:tcPr>
          <w:p>
            <w:pPr>
              <w:spacing w:after="0"/>
              <w:rPr>
                <w:sz w:val="2"/>
                <w:szCs w:val="2"/>
                <w:color w:val="auto"/>
              </w:rPr>
            </w:pPr>
          </w:p>
        </w:tc>
        <w:tc>
          <w:tcPr>
            <w:tcW w:w="8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u w:val="single" w:color="auto"/>
          <w:color w:val="0000FF"/>
        </w:rPr>
        <w:t>“Adjusted Term SOFR” means,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84"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Wells Fargo, in its capacity as Administrative Agent hereunder, and any successor thereto appointed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 Fee Letter</w:t>
      </w:r>
      <w:r>
        <w:rPr>
          <w:rFonts w:ascii="Arial" w:cs="Arial" w:eastAsia="Arial" w:hAnsi="Arial"/>
          <w:sz w:val="17"/>
          <w:szCs w:val="17"/>
          <w:color w:val="auto"/>
        </w:rPr>
        <w:t>” means the separate letter agreement of even date herewith between the Borrower and Wells Fargo.</w:t>
      </w:r>
    </w:p>
    <w:p>
      <w:pPr>
        <w:spacing w:after="0" w:line="237"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c</w:t>
      </w:r>
      <w:r>
        <w:rPr>
          <w:rFonts w:ascii="Arial" w:cs="Arial" w:eastAsia="Arial" w:hAnsi="Arial"/>
          <w:sz w:val="18"/>
          <w:szCs w:val="18"/>
          <w:u w:val="single" w:color="auto"/>
          <w:color w:val="0000FF"/>
        </w:rPr>
        <w:t>C</w:t>
      </w:r>
      <w:r>
        <w:rPr>
          <w:rFonts w:ascii="Arial" w:cs="Arial" w:eastAsia="Arial" w:hAnsi="Arial"/>
          <w:sz w:val="18"/>
          <w:szCs w:val="18"/>
          <w:color w:val="auto"/>
        </w:rPr>
        <w:t xml:space="preserve">urrency, the office of the Administrative Agent specified in or determined in accordance with the provisions of </w:t>
      </w:r>
      <w:r>
        <w:rPr>
          <w:rFonts w:ascii="Arial" w:cs="Arial" w:eastAsia="Arial" w:hAnsi="Arial"/>
          <w:sz w:val="18"/>
          <w:szCs w:val="18"/>
          <w:u w:val="single" w:color="auto"/>
          <w:color w:val="auto"/>
        </w:rPr>
        <w:t>Section 12.1(c)</w:t>
      </w:r>
      <w:r>
        <w:rPr>
          <w:rFonts w:ascii="Arial" w:cs="Arial" w:eastAsia="Arial" w:hAnsi="Arial"/>
          <w:sz w:val="18"/>
          <w:szCs w:val="18"/>
          <w:color w:val="auto"/>
        </w:rPr>
        <w:t xml:space="preserve">, with respect to such </w:t>
      </w:r>
      <w:r>
        <w:rPr>
          <w:rFonts w:ascii="Arial" w:cs="Arial" w:eastAsia="Arial" w:hAnsi="Arial"/>
          <w:sz w:val="18"/>
          <w:szCs w:val="18"/>
          <w:color w:val="FF0000"/>
          <w:strike w:val="1"/>
        </w:rPr>
        <w:t>c</w:t>
      </w:r>
      <w:r>
        <w:rPr>
          <w:rFonts w:ascii="Arial" w:cs="Arial" w:eastAsia="Arial" w:hAnsi="Arial"/>
          <w:sz w:val="18"/>
          <w:szCs w:val="18"/>
          <w:u w:val="single" w:color="auto"/>
          <w:color w:val="0000FF"/>
        </w:rPr>
        <w:t>C</w:t>
      </w:r>
      <w:r>
        <w:rPr>
          <w:rFonts w:ascii="Arial" w:cs="Arial" w:eastAsia="Arial" w:hAnsi="Arial"/>
          <w:sz w:val="18"/>
          <w:szCs w:val="18"/>
          <w:color w:val="auto"/>
        </w:rPr>
        <w:t>urrency.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12.1(e)</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Credit Agreement.</w:t>
      </w:r>
    </w:p>
    <w:p>
      <w:pPr>
        <w:spacing w:after="0" w:line="22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w:t>
      </w:r>
      <w:r>
        <w:rPr>
          <w:rFonts w:ascii="Arial" w:cs="Arial" w:eastAsia="Arial" w:hAnsi="Arial"/>
          <w:sz w:val="16"/>
          <w:szCs w:val="16"/>
          <w:color w:val="auto"/>
        </w:rPr>
        <w:t xml:space="preserve">” means (a) each of Euro, Sterling, and Canadian Dollars and (b) each other currency (other than Dollars) that is approved in accordance with </w:t>
      </w:r>
      <w:r>
        <w:rPr>
          <w:rFonts w:ascii="Arial" w:cs="Arial" w:eastAsia="Arial" w:hAnsi="Arial"/>
          <w:sz w:val="16"/>
          <w:szCs w:val="16"/>
          <w:u w:val="single" w:color="auto"/>
          <w:color w:val="auto"/>
        </w:rPr>
        <w:t>Section 1.13</w:t>
      </w:r>
      <w:r>
        <w:rPr>
          <w:rFonts w:ascii="Arial" w:cs="Arial" w:eastAsia="Arial" w:hAnsi="Arial"/>
          <w:sz w:val="16"/>
          <w:szCs w:val="16"/>
          <w:color w:val="auto"/>
        </w:rPr>
        <w:t>, in each case to the extent such currencies are (i) readily available and freely transferable and convertible into Dollars,</w:t>
      </w:r>
    </w:p>
    <w:p>
      <w:pPr>
        <w:ind w:left="4" w:right="60" w:hanging="4"/>
        <w:spacing w:after="0" w:line="255" w:lineRule="auto"/>
        <w:tabs>
          <w:tab w:leader="none" w:pos="2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dealt with in the London interbank deposit market and (iii) for which no central bank or other governmental authorization in the country of issue of such currency is required to give authorization for the use of such currency by any Revolving Credit Lender for making Loans unless such authorization has been obtained and remains in full force and effect.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490" w:right="439" w:bottom="1440" w:gutter="0" w:footer="0" w:header="0"/>
        </w:sectPr>
      </w:pPr>
    </w:p>
    <w:bookmarkStart w:id="49" w:name="page50"/>
    <w:bookmarkEnd w:id="49"/>
    <w:p>
      <w:pPr>
        <w:ind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xml:space="preserve">” means, </w:t>
      </w:r>
      <w:r>
        <w:rPr>
          <w:rFonts w:ascii="Arial" w:cs="Arial" w:eastAsia="Arial" w:hAnsi="Arial"/>
          <w:sz w:val="18"/>
          <w:szCs w:val="18"/>
          <w:u w:val="single" w:color="auto"/>
          <w:color w:val="0000FF"/>
        </w:rPr>
        <w:t>subject to Section 1.11,</w:t>
      </w:r>
      <w:r>
        <w:rPr>
          <w:rFonts w:ascii="Arial" w:cs="Arial" w:eastAsia="Arial" w:hAnsi="Arial"/>
          <w:sz w:val="18"/>
          <w:szCs w:val="18"/>
          <w:color w:val="auto"/>
        </w:rPr>
        <w:t xml:space="preserve"> at any time, with respect to any amount denominated in Dollars, the equivalent amount thereof in the applicable Alternative Currency or Alternative L/C Currency as determined by the Administrative Agent or the </w:t>
      </w:r>
      <w:r>
        <w:rPr>
          <w:rFonts w:ascii="Arial" w:cs="Arial" w:eastAsia="Arial" w:hAnsi="Arial"/>
          <w:sz w:val="18"/>
          <w:szCs w:val="18"/>
          <w:u w:val="single" w:color="auto"/>
          <w:color w:val="0000FF"/>
        </w:rPr>
        <w:t>applicable</w:t>
      </w:r>
      <w:r>
        <w:rPr>
          <w:rFonts w:ascii="Arial" w:cs="Arial" w:eastAsia="Arial" w:hAnsi="Arial"/>
          <w:sz w:val="18"/>
          <w:szCs w:val="18"/>
          <w:color w:val="auto"/>
        </w:rPr>
        <w:t xml:space="preserve"> Issuing Lender </w:t>
      </w:r>
      <w:r>
        <w:rPr>
          <w:rFonts w:ascii="Arial" w:cs="Arial" w:eastAsia="Arial" w:hAnsi="Arial"/>
          <w:sz w:val="18"/>
          <w:szCs w:val="18"/>
          <w:u w:val="single" w:color="auto"/>
          <w:color w:val="0000FF"/>
        </w:rPr>
        <w:t>(with notice thereof to the Administrative Agent)</w:t>
      </w:r>
      <w:r>
        <w:rPr>
          <w:rFonts w:ascii="Arial" w:cs="Arial" w:eastAsia="Arial" w:hAnsi="Arial"/>
          <w:sz w:val="18"/>
          <w:szCs w:val="18"/>
          <w:color w:val="auto"/>
        </w:rPr>
        <w:t xml:space="preserve">, as applicable, </w:t>
      </w:r>
      <w:r>
        <w:rPr>
          <w:rFonts w:ascii="Arial" w:cs="Arial" w:eastAsia="Arial" w:hAnsi="Arial"/>
          <w:sz w:val="18"/>
          <w:szCs w:val="18"/>
          <w:color w:val="FF0000"/>
          <w:strike w:val="1"/>
        </w:rPr>
        <w:t>at such time on the basis of the</w:t>
      </w:r>
      <w:r>
        <w:rPr>
          <w:rFonts w:ascii="Arial" w:cs="Arial" w:eastAsia="Arial" w:hAnsi="Arial"/>
          <w:sz w:val="18"/>
          <w:szCs w:val="18"/>
          <w:u w:val="single" w:color="auto"/>
          <w:color w:val="0000FF"/>
        </w:rPr>
        <w:t>in its sole discretion by reference to the most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recent</w:t>
      </w:r>
      <w:r>
        <w:rPr>
          <w:rFonts w:ascii="Arial" w:cs="Arial" w:eastAsia="Arial" w:hAnsi="Arial"/>
          <w:sz w:val="18"/>
          <w:szCs w:val="18"/>
          <w:color w:val="0000FF"/>
        </w:rPr>
        <w:t xml:space="preserve"> </w:t>
      </w:r>
      <w:r>
        <w:rPr>
          <w:rFonts w:ascii="Arial" w:cs="Arial" w:eastAsia="Arial" w:hAnsi="Arial"/>
          <w:sz w:val="18"/>
          <w:szCs w:val="18"/>
          <w:color w:val="000000"/>
        </w:rPr>
        <w:t>Spot Rate (</w:t>
      </w:r>
      <w:r>
        <w:rPr>
          <w:rFonts w:ascii="Arial" w:cs="Arial" w:eastAsia="Arial" w:hAnsi="Arial"/>
          <w:sz w:val="18"/>
          <w:szCs w:val="18"/>
          <w:u w:val="single" w:color="auto"/>
          <w:color w:val="0000FF"/>
        </w:rPr>
        <w:t>as</w:t>
      </w:r>
      <w:r>
        <w:rPr>
          <w:rFonts w:ascii="Arial" w:cs="Arial" w:eastAsia="Arial" w:hAnsi="Arial"/>
          <w:sz w:val="18"/>
          <w:szCs w:val="18"/>
          <w:color w:val="0000FF"/>
        </w:rPr>
        <w:t xml:space="preserve"> </w:t>
      </w:r>
      <w:r>
        <w:rPr>
          <w:rFonts w:ascii="Arial" w:cs="Arial" w:eastAsia="Arial" w:hAnsi="Arial"/>
          <w:sz w:val="18"/>
          <w:szCs w:val="18"/>
          <w:color w:val="000000"/>
        </w:rPr>
        <w:t>determined in respect of the most recent Revaluation Date) for the purchase of such Alternative Currency or Alternative L/C</w:t>
      </w:r>
      <w:r>
        <w:rPr>
          <w:rFonts w:ascii="Arial" w:cs="Arial" w:eastAsia="Arial" w:hAnsi="Arial"/>
          <w:sz w:val="18"/>
          <w:szCs w:val="18"/>
          <w:color w:val="0000FF"/>
        </w:rPr>
        <w:t xml:space="preserve"> </w:t>
      </w:r>
      <w:r>
        <w:rPr>
          <w:rFonts w:ascii="Arial" w:cs="Arial" w:eastAsia="Arial" w:hAnsi="Arial"/>
          <w:sz w:val="18"/>
          <w:szCs w:val="18"/>
          <w:color w:val="000000"/>
        </w:rPr>
        <w:t>Currency with Dollars.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Sublimit</w:t>
      </w:r>
      <w:r>
        <w:rPr>
          <w:rFonts w:ascii="Arial" w:cs="Arial" w:eastAsia="Arial" w:hAnsi="Arial"/>
          <w:sz w:val="18"/>
          <w:szCs w:val="18"/>
          <w:color w:val="auto"/>
        </w:rPr>
        <w:t>” means the lesser of (a) the Revolving Credit Commitments and (b) $</w:t>
      </w:r>
      <w:r>
        <w:rPr>
          <w:rFonts w:ascii="Arial" w:cs="Arial" w:eastAsia="Arial" w:hAnsi="Arial"/>
          <w:sz w:val="18"/>
          <w:szCs w:val="18"/>
          <w:color w:val="FF0000"/>
          <w:strike w:val="1"/>
        </w:rPr>
        <w:t>50</w:t>
      </w:r>
      <w:r>
        <w:rPr>
          <w:rFonts w:ascii="Arial" w:cs="Arial" w:eastAsia="Arial" w:hAnsi="Arial"/>
          <w:sz w:val="18"/>
          <w:szCs w:val="18"/>
          <w:u w:val="single" w:color="auto"/>
          <w:color w:val="0000FF"/>
        </w:rPr>
        <w:t>25</w:t>
      </w:r>
      <w:r>
        <w:rPr>
          <w:rFonts w:ascii="Arial" w:cs="Arial" w:eastAsia="Arial" w:hAnsi="Arial"/>
          <w:sz w:val="18"/>
          <w:szCs w:val="18"/>
          <w:color w:val="auto"/>
        </w:rPr>
        <w:t>,000,000.</w:t>
      </w:r>
    </w:p>
    <w:p>
      <w:pPr>
        <w:spacing w:after="0" w:line="225"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L/C Currency</w:t>
      </w:r>
      <w:r>
        <w:rPr>
          <w:rFonts w:ascii="Arial" w:cs="Arial" w:eastAsia="Arial" w:hAnsi="Arial"/>
          <w:sz w:val="17"/>
          <w:szCs w:val="17"/>
          <w:color w:val="auto"/>
        </w:rPr>
        <w:t xml:space="preserve">” means (a) each of Euro, Sterling, and Canadian Dollars and (b) each other currency (other than Dollars) that is approved by the applicable Issuing Lender in accordance with </w:t>
      </w:r>
      <w:r>
        <w:rPr>
          <w:rFonts w:ascii="Arial" w:cs="Arial" w:eastAsia="Arial" w:hAnsi="Arial"/>
          <w:sz w:val="17"/>
          <w:szCs w:val="17"/>
          <w:u w:val="single" w:color="auto"/>
          <w:color w:val="auto"/>
        </w:rPr>
        <w:t>Section 1.13</w:t>
      </w:r>
      <w:r>
        <w:rPr>
          <w:rFonts w:ascii="Arial" w:cs="Arial" w:eastAsia="Arial" w:hAnsi="Arial"/>
          <w:sz w:val="17"/>
          <w:szCs w:val="17"/>
          <w:color w:val="auto"/>
        </w:rPr>
        <w:t>, in each case to the extent such currencies are (i) readily available and freely transferable and convertible into Dollars, (ii) dealt with in the London interbank deposit market and (iii) for which no central bank or other governmental authorization in the country of issue of such currency is required to give authorization for the use of such currency by any Issuing Lender for issuing Letters of Credit unless such authorization has been obtained and remains in full force and effect.</w:t>
      </w:r>
    </w:p>
    <w:p>
      <w:pPr>
        <w:spacing w:after="0" w:line="176"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xml:space="preserve">” means all laws, rules, and regulations of any jurisdiction applicable to </w:t>
      </w:r>
      <w:r>
        <w:rPr>
          <w:rFonts w:ascii="Arial" w:cs="Arial" w:eastAsia="Arial" w:hAnsi="Arial"/>
          <w:sz w:val="17"/>
          <w:szCs w:val="17"/>
          <w:color w:val="FF0000"/>
          <w:strike w:val="1"/>
        </w:rPr>
        <w:t>the Borrower</w:t>
      </w:r>
      <w:r>
        <w:rPr>
          <w:rFonts w:ascii="Arial" w:cs="Arial" w:eastAsia="Arial" w:hAnsi="Arial"/>
          <w:sz w:val="17"/>
          <w:szCs w:val="17"/>
          <w:u w:val="single" w:color="auto"/>
          <w:color w:val="0000FF"/>
        </w:rPr>
        <w:t>a Credit Party</w:t>
      </w:r>
      <w:r>
        <w:rPr>
          <w:rFonts w:ascii="Arial" w:cs="Arial" w:eastAsia="Arial" w:hAnsi="Arial"/>
          <w:sz w:val="17"/>
          <w:szCs w:val="17"/>
          <w:color w:val="auto"/>
        </w:rPr>
        <w:t xml:space="preserve"> or its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means any and all laws, statutes, regulations or obligatory government orders, decrees, ordinances or rules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to a Credit Party or its Subsidiaries related to terrorism financing or money laundering</w:t>
      </w:r>
      <w:r>
        <w:rPr>
          <w:rFonts w:ascii="Arial" w:cs="Arial" w:eastAsia="Arial" w:hAnsi="Arial"/>
          <w:sz w:val="18"/>
          <w:szCs w:val="18"/>
          <w:color w:val="FF0000"/>
          <w:strike w:val="1"/>
        </w:rPr>
        <w:t>,</w:t>
      </w:r>
      <w:r>
        <w:rPr>
          <w:rFonts w:ascii="Arial" w:cs="Arial" w:eastAsia="Arial" w:hAnsi="Arial"/>
          <w:sz w:val="18"/>
          <w:szCs w:val="18"/>
          <w:color w:val="auto"/>
        </w:rPr>
        <w:t xml:space="preserve"> including any applicable provision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Patriot</w:t>
      </w:r>
      <w:r>
        <w:rPr>
          <w:rFonts w:ascii="Arial" w:cs="Arial" w:eastAsia="Arial" w:hAnsi="Arial"/>
          <w:sz w:val="16"/>
          <w:szCs w:val="16"/>
          <w:u w:val="single" w:color="auto"/>
          <w:color w:val="0000FF"/>
        </w:rPr>
        <w:t>PATRIOT</w:t>
      </w:r>
      <w:r>
        <w:rPr>
          <w:rFonts w:ascii="Arial" w:cs="Arial" w:eastAsia="Arial" w:hAnsi="Arial"/>
          <w:sz w:val="16"/>
          <w:szCs w:val="16"/>
          <w:color w:val="FF0000"/>
        </w:rPr>
        <w:t xml:space="preserve"> </w:t>
      </w:r>
      <w:r>
        <w:rPr>
          <w:rFonts w:ascii="Arial" w:cs="Arial" w:eastAsia="Arial" w:hAnsi="Arial"/>
          <w:sz w:val="16"/>
          <w:szCs w:val="16"/>
          <w:color w:val="000000"/>
        </w:rPr>
        <w:t>Act and The Currency and Foreign Transactions Reporting Act (also known as the “Bank Secrecy Act,” 31 U.S.C. §§ 5311-5330 and 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U.S.C. §§ 1818(s), 1820(b) and 1951-1959).</w:t>
      </w:r>
    </w:p>
    <w:p>
      <w:pPr>
        <w:spacing w:after="0" w:line="211"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all applicable provisions of constitutions, laws, statutes, ordinances, rules, treaties, regulations, permits, licenses, approvals</w:t>
      </w:r>
      <w:r>
        <w:rPr>
          <w:rFonts w:ascii="Arial" w:cs="Arial" w:eastAsia="Arial" w:hAnsi="Arial"/>
          <w:sz w:val="17"/>
          <w:szCs w:val="17"/>
          <w:u w:val="single" w:color="auto"/>
          <w:color w:val="0000FF"/>
        </w:rPr>
        <w:t>, interpretations</w:t>
      </w:r>
      <w:r>
        <w:rPr>
          <w:rFonts w:ascii="Arial" w:cs="Arial" w:eastAsia="Arial" w:hAnsi="Arial"/>
          <w:sz w:val="17"/>
          <w:szCs w:val="17"/>
          <w:color w:val="auto"/>
        </w:rPr>
        <w:t xml:space="preserve"> and orders of Governmental Authorities and all orders and decrees of all courts and arbitrators</w:t>
      </w:r>
      <w:r>
        <w:rPr>
          <w:rFonts w:ascii="Arial" w:cs="Arial" w:eastAsia="Arial" w:hAnsi="Arial"/>
          <w:sz w:val="17"/>
          <w:szCs w:val="17"/>
          <w:u w:val="single" w:color="auto"/>
          <w:color w:val="0000FF"/>
        </w:rPr>
        <w:t>.</w:t>
      </w:r>
    </w:p>
    <w:p>
      <w:pPr>
        <w:spacing w:after="0" w:line="146"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w:t>
      </w:r>
      <w:r>
        <w:rPr>
          <w:rFonts w:ascii="Arial" w:cs="Arial" w:eastAsia="Arial" w:hAnsi="Arial"/>
          <w:sz w:val="18"/>
          <w:szCs w:val="18"/>
          <w:u w:val="single" w:color="auto"/>
          <w:color w:val="0000FF"/>
        </w:rPr>
        <w:t>(a) from the Fourth Amendment Effective Date through the later of March 31, 2024 and the first Calculation Date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occurring after December 31, 2023, (i) 5.00% per annum with respect to Base Rate Loans, (ii) 6.00% per annum with respect to SOFR Loans and Eurocurrency Rate Loans, and (iii) 0.40% with respect to Commitment Fees, and (b) thereafter,</w:t>
      </w:r>
      <w:r>
        <w:rPr>
          <w:rFonts w:ascii="Arial" w:cs="Arial" w:eastAsia="Arial" w:hAnsi="Arial"/>
          <w:sz w:val="18"/>
          <w:szCs w:val="18"/>
          <w:color w:val="0000FF"/>
        </w:rPr>
        <w:t xml:space="preserve"> </w:t>
      </w:r>
      <w:r>
        <w:rPr>
          <w:rFonts w:ascii="Arial" w:cs="Arial" w:eastAsia="Arial" w:hAnsi="Arial"/>
          <w:sz w:val="18"/>
          <w:szCs w:val="18"/>
          <w:color w:val="000000"/>
        </w:rPr>
        <w:t>the corresponding percentages per annum as set forth</w:t>
      </w:r>
      <w:r>
        <w:rPr>
          <w:rFonts w:ascii="Arial" w:cs="Arial" w:eastAsia="Arial" w:hAnsi="Arial"/>
          <w:sz w:val="18"/>
          <w:szCs w:val="18"/>
          <w:color w:val="0000FF"/>
        </w:rPr>
        <w:t xml:space="preserve"> </w:t>
      </w:r>
      <w:r>
        <w:rPr>
          <w:rFonts w:ascii="Arial" w:cs="Arial" w:eastAsia="Arial" w:hAnsi="Arial"/>
          <w:sz w:val="18"/>
          <w:szCs w:val="18"/>
          <w:color w:val="000000"/>
        </w:rPr>
        <w:t xml:space="preserve">below based on the Consolidated </w:t>
      </w:r>
      <w:r>
        <w:rPr>
          <w:rFonts w:ascii="Arial" w:cs="Arial" w:eastAsia="Arial" w:hAnsi="Arial"/>
          <w:sz w:val="18"/>
          <w:szCs w:val="18"/>
          <w:color w:val="FF0000"/>
          <w:strike w:val="1"/>
        </w:rPr>
        <w:t>Net</w:t>
      </w:r>
      <w:r>
        <w:rPr>
          <w:rFonts w:ascii="Arial" w:cs="Arial" w:eastAsia="Arial" w:hAnsi="Arial"/>
          <w:sz w:val="18"/>
          <w:szCs w:val="18"/>
          <w:color w:val="000000"/>
        </w:rPr>
        <w:t xml:space="preserve"> Leverage Ratio </w:t>
      </w:r>
      <w:r>
        <w:rPr>
          <w:rFonts w:ascii="Arial" w:cs="Arial" w:eastAsia="Arial" w:hAnsi="Arial"/>
          <w:sz w:val="18"/>
          <w:szCs w:val="18"/>
          <w:u w:val="single" w:color="auto"/>
          <w:color w:val="0000FF"/>
        </w:rPr>
        <w:t>calculated</w:t>
      </w:r>
      <w:r>
        <w:rPr>
          <w:rFonts w:ascii="Arial" w:cs="Arial" w:eastAsia="Arial" w:hAnsi="Arial"/>
          <w:sz w:val="18"/>
          <w:szCs w:val="18"/>
          <w:color w:val="000000"/>
        </w:rPr>
        <w:t xml:space="preserve"> </w:t>
      </w:r>
      <w:r>
        <w:rPr>
          <w:rFonts w:ascii="Arial" w:cs="Arial" w:eastAsia="Arial" w:hAnsi="Arial"/>
          <w:sz w:val="18"/>
          <w:szCs w:val="18"/>
          <w:u w:val="single" w:color="auto"/>
          <w:color w:val="008000"/>
        </w:rPr>
        <w:t>as of the last day of the most recently ended fiscal quarter of the Borrower preceding</w:t>
      </w:r>
      <w:r>
        <w:rPr>
          <w:rFonts w:ascii="Arial" w:cs="Arial" w:eastAsia="Arial" w:hAnsi="Arial"/>
          <w:sz w:val="18"/>
          <w:szCs w:val="18"/>
          <w:color w:val="000000"/>
        </w:rPr>
        <w:t xml:space="preserve"> </w:t>
      </w:r>
      <w:r>
        <w:rPr>
          <w:rFonts w:ascii="Arial" w:cs="Arial" w:eastAsia="Arial" w:hAnsi="Arial"/>
          <w:sz w:val="18"/>
          <w:szCs w:val="18"/>
          <w:u w:val="single" w:color="auto"/>
          <w:color w:val="008000"/>
        </w:rPr>
        <w:t>the applicable Calculation Date</w:t>
      </w:r>
      <w:r>
        <w:rPr>
          <w:rFonts w:ascii="Arial" w:cs="Arial" w:eastAsia="Arial" w:hAnsi="Arial"/>
          <w:sz w:val="18"/>
          <w:szCs w:val="18"/>
          <w:color w:val="000000"/>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490" w:right="4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14"/>
          </w:tcPr>
          <w:p>
            <w:pPr>
              <w:jc w:val="center"/>
              <w:ind w:right="280"/>
              <w:spacing w:after="0"/>
              <w:rPr>
                <w:sz w:val="20"/>
                <w:szCs w:val="20"/>
                <w:color w:val="auto"/>
              </w:rPr>
            </w:pPr>
            <w:r>
              <w:rPr>
                <w:rFonts w:ascii="Arial" w:cs="Arial" w:eastAsia="Arial" w:hAnsi="Arial"/>
                <w:sz w:val="14"/>
                <w:szCs w:val="14"/>
                <w:b w:val="1"/>
                <w:bCs w:val="1"/>
                <w:color w:val="0000FF"/>
                <w:w w:val="94"/>
              </w:rPr>
              <w:t>Eurocurrency</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8"/>
          </w:tcPr>
          <w:p>
            <w:pPr>
              <w:jc w:val="center"/>
              <w:ind w:right="200"/>
              <w:spacing w:after="0" w:line="89" w:lineRule="exact"/>
              <w:rPr>
                <w:sz w:val="20"/>
                <w:szCs w:val="20"/>
                <w:color w:val="auto"/>
              </w:rPr>
            </w:pPr>
            <w:r>
              <w:rPr>
                <w:rFonts w:ascii="Arial" w:cs="Arial" w:eastAsia="Arial" w:hAnsi="Arial"/>
                <w:sz w:val="10"/>
                <w:szCs w:val="10"/>
                <w:b w:val="1"/>
                <w:bCs w:val="1"/>
                <w:color w:val="0000FF"/>
              </w:rPr>
              <w:t>Rate or</w:t>
            </w:r>
          </w:p>
        </w:tc>
        <w:tc>
          <w:tcPr>
            <w:tcW w:w="2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b w:val="1"/>
                <w:bCs w:val="1"/>
                <w:color w:val="FF0000"/>
                <w:strike w:val="1"/>
                <w:w w:val="77"/>
              </w:rPr>
              <w:t>Base</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0000FF"/>
            </w:tcBorders>
          </w:tcPr>
          <w:p>
            <w:pPr>
              <w:spacing w:after="0"/>
              <w:rPr>
                <w:sz w:val="7"/>
                <w:szCs w:val="7"/>
                <w:color w:val="auto"/>
              </w:rPr>
            </w:pPr>
          </w:p>
        </w:tc>
        <w:tc>
          <w:tcPr>
            <w:tcW w:w="460" w:type="dxa"/>
            <w:vAlign w:val="bottom"/>
            <w:tcBorders>
              <w:bottom w:val="single" w:sz="8" w:color="0000FF"/>
            </w:tcBorders>
            <w:gridSpan w:val="5"/>
          </w:tcPr>
          <w:p>
            <w:pPr>
              <w:jc w:val="center"/>
              <w:spacing w:after="0" w:line="89" w:lineRule="exact"/>
              <w:rPr>
                <w:sz w:val="20"/>
                <w:szCs w:val="20"/>
                <w:color w:val="auto"/>
              </w:rPr>
            </w:pPr>
            <w:r>
              <w:rPr>
                <w:rFonts w:ascii="Arial" w:cs="Arial" w:eastAsia="Arial" w:hAnsi="Arial"/>
                <w:sz w:val="10"/>
                <w:szCs w:val="10"/>
                <w:b w:val="1"/>
                <w:bCs w:val="1"/>
                <w:color w:val="0000FF"/>
              </w:rPr>
              <w:t>Adjusted</w:t>
            </w:r>
          </w:p>
        </w:tc>
        <w:tc>
          <w:tcPr>
            <w:tcW w:w="40" w:type="dxa"/>
            <w:vAlign w:val="bottom"/>
            <w:tcBorders>
              <w:bottom w:val="single" w:sz="8" w:color="0000FF"/>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spacing w:after="0" w:line="129" w:lineRule="exact"/>
              <w:rPr>
                <w:sz w:val="20"/>
                <w:szCs w:val="20"/>
                <w:color w:val="auto"/>
              </w:rPr>
            </w:pPr>
            <w:r>
              <w:rPr>
                <w:rFonts w:ascii="Arial" w:cs="Arial" w:eastAsia="Arial" w:hAnsi="Arial"/>
                <w:sz w:val="14"/>
                <w:szCs w:val="14"/>
                <w:b w:val="1"/>
                <w:bCs w:val="1"/>
                <w:color w:val="auto"/>
              </w:rPr>
              <w:t>Pricing</w:t>
            </w: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4"/>
            <w:vMerge w:val="restart"/>
          </w:tcPr>
          <w:p>
            <w:pPr>
              <w:jc w:val="right"/>
              <w:ind w:right="190"/>
              <w:spacing w:after="0" w:line="129" w:lineRule="exact"/>
              <w:rPr>
                <w:sz w:val="20"/>
                <w:szCs w:val="20"/>
                <w:color w:val="auto"/>
              </w:rPr>
            </w:pPr>
            <w:r>
              <w:rPr>
                <w:rFonts w:ascii="Arial" w:cs="Arial" w:eastAsia="Arial" w:hAnsi="Arial"/>
                <w:sz w:val="14"/>
                <w:szCs w:val="14"/>
                <w:b w:val="1"/>
                <w:bCs w:val="1"/>
                <w:color w:val="auto"/>
                <w:w w:val="93"/>
              </w:rPr>
              <w:t>Commitment</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60" w:type="dxa"/>
            <w:vAlign w:val="bottom"/>
            <w:gridSpan w:val="3"/>
            <w:vMerge w:val="restart"/>
          </w:tcPr>
          <w:p>
            <w:pPr>
              <w:jc w:val="right"/>
              <w:spacing w:after="0" w:line="129" w:lineRule="exact"/>
              <w:rPr>
                <w:sz w:val="20"/>
                <w:szCs w:val="20"/>
                <w:color w:val="auto"/>
              </w:rPr>
            </w:pPr>
            <w:r>
              <w:rPr>
                <w:rFonts w:ascii="Arial" w:cs="Arial" w:eastAsia="Arial" w:hAnsi="Arial"/>
                <w:sz w:val="14"/>
                <w:szCs w:val="14"/>
                <w:b w:val="1"/>
                <w:bCs w:val="1"/>
                <w:color w:val="FF0000"/>
                <w:strike w:val="1"/>
                <w:w w:val="92"/>
              </w:rPr>
              <w:t>Eurocurrency</w:t>
            </w:r>
          </w:p>
        </w:tc>
        <w:tc>
          <w:tcPr>
            <w:tcW w:w="700" w:type="dxa"/>
            <w:vAlign w:val="bottom"/>
            <w:gridSpan w:val="6"/>
            <w:vMerge w:val="restart"/>
          </w:tcPr>
          <w:p>
            <w:pPr>
              <w:jc w:val="right"/>
              <w:ind w:right="330"/>
              <w:spacing w:after="0" w:line="129" w:lineRule="exact"/>
              <w:rPr>
                <w:sz w:val="20"/>
                <w:szCs w:val="20"/>
                <w:color w:val="auto"/>
              </w:rPr>
            </w:pPr>
            <w:r>
              <w:rPr>
                <w:rFonts w:ascii="Arial" w:cs="Arial" w:eastAsia="Arial" w:hAnsi="Arial"/>
                <w:sz w:val="14"/>
                <w:szCs w:val="14"/>
                <w:b w:val="1"/>
                <w:bCs w:val="1"/>
                <w:color w:val="0000FF"/>
                <w:w w:val="77"/>
              </w:rPr>
              <w:t>Base</w:t>
            </w:r>
          </w:p>
        </w:tc>
        <w:tc>
          <w:tcPr>
            <w:tcW w:w="40" w:type="dxa"/>
            <w:vAlign w:val="bottom"/>
            <w:vMerge w:val="restart"/>
          </w:tcPr>
          <w:p>
            <w:pPr>
              <w:spacing w:after="0" w:line="20" w:lineRule="exact"/>
              <w:rPr>
                <w:sz w:val="1"/>
                <w:szCs w:val="1"/>
                <w:color w:val="auto"/>
              </w:rPr>
            </w:pPr>
          </w:p>
        </w:tc>
        <w:tc>
          <w:tcPr>
            <w:tcW w:w="280" w:type="dxa"/>
            <w:vAlign w:val="bottom"/>
            <w:gridSpan w:val="2"/>
            <w:vMerge w:val="restart"/>
          </w:tcPr>
          <w:p>
            <w:pPr>
              <w:spacing w:after="0" w:line="129" w:lineRule="exact"/>
              <w:rPr>
                <w:sz w:val="20"/>
                <w:szCs w:val="20"/>
                <w:color w:val="auto"/>
              </w:rPr>
            </w:pPr>
            <w:r>
              <w:rPr>
                <w:rFonts w:ascii="Arial" w:cs="Arial" w:eastAsia="Arial" w:hAnsi="Arial"/>
                <w:sz w:val="14"/>
                <w:szCs w:val="14"/>
                <w:b w:val="1"/>
                <w:bCs w:val="1"/>
                <w:color w:val="FF0000"/>
                <w:strike w:val="1"/>
                <w:w w:val="85"/>
              </w:rPr>
              <w:t>Rate</w:t>
            </w: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252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w w:val="92"/>
              </w:rPr>
              <w:t>Consolidated</w:t>
            </w:r>
          </w:p>
        </w:tc>
        <w:tc>
          <w:tcPr>
            <w:tcW w:w="260" w:type="dxa"/>
            <w:vAlign w:val="bottom"/>
            <w:gridSpan w:val="3"/>
            <w:vMerge w:val="restart"/>
          </w:tcPr>
          <w:p>
            <w:pPr>
              <w:spacing w:after="0"/>
              <w:rPr>
                <w:sz w:val="20"/>
                <w:szCs w:val="20"/>
                <w:color w:val="auto"/>
              </w:rPr>
            </w:pPr>
            <w:r>
              <w:rPr>
                <w:rFonts w:ascii="Arial" w:cs="Arial" w:eastAsia="Arial" w:hAnsi="Arial"/>
                <w:sz w:val="14"/>
                <w:szCs w:val="14"/>
                <w:b w:val="1"/>
                <w:bCs w:val="1"/>
                <w:color w:val="FF0000"/>
                <w:strike w:val="1"/>
              </w:rPr>
              <w:t>Net</w:t>
            </w:r>
          </w:p>
        </w:tc>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Leverage Ratio</w:t>
            </w:r>
          </w:p>
        </w:tc>
        <w:tc>
          <w:tcPr>
            <w:tcW w:w="240" w:type="dxa"/>
            <w:vAlign w:val="bottom"/>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8"/>
          </w:tcPr>
          <w:p>
            <w:pPr>
              <w:spacing w:after="0" w:line="89" w:lineRule="exact"/>
              <w:rPr>
                <w:sz w:val="20"/>
                <w:szCs w:val="20"/>
                <w:color w:val="auto"/>
              </w:rPr>
            </w:pPr>
            <w:r>
              <w:rPr>
                <w:rFonts w:ascii="Arial" w:cs="Arial" w:eastAsia="Arial" w:hAnsi="Arial"/>
                <w:sz w:val="10"/>
                <w:szCs w:val="10"/>
                <w:b w:val="1"/>
                <w:bCs w:val="1"/>
                <w:color w:val="0000FF"/>
              </w:rPr>
              <w:t>Term SOFR</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700" w:type="dxa"/>
            <w:vAlign w:val="bottom"/>
            <w:gridSpan w:val="6"/>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gridSpan w:val="2"/>
            <w:vMerge w:val="restart"/>
          </w:tcPr>
          <w:p>
            <w:pPr>
              <w:spacing w:after="0" w:line="129" w:lineRule="exact"/>
              <w:rPr>
                <w:sz w:val="20"/>
                <w:szCs w:val="20"/>
                <w:color w:val="auto"/>
              </w:rPr>
            </w:pPr>
            <w:r>
              <w:rPr>
                <w:rFonts w:ascii="Arial" w:cs="Arial" w:eastAsia="Arial" w:hAnsi="Arial"/>
                <w:sz w:val="14"/>
                <w:szCs w:val="14"/>
                <w:b w:val="1"/>
                <w:bCs w:val="1"/>
                <w:color w:val="auto"/>
              </w:rPr>
              <w:t>Level</w:t>
            </w: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262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3"/>
            <w:vMerge w:val="restart"/>
          </w:tcPr>
          <w:p>
            <w:pPr>
              <w:jc w:val="right"/>
              <w:ind w:right="227"/>
              <w:spacing w:after="0" w:line="129" w:lineRule="exact"/>
              <w:rPr>
                <w:sz w:val="20"/>
                <w:szCs w:val="20"/>
                <w:color w:val="auto"/>
              </w:rPr>
            </w:pPr>
            <w:r>
              <w:rPr>
                <w:rFonts w:ascii="Arial" w:cs="Arial" w:eastAsia="Arial" w:hAnsi="Arial"/>
                <w:sz w:val="14"/>
                <w:szCs w:val="14"/>
                <w:b w:val="1"/>
                <w:bCs w:val="1"/>
                <w:color w:val="auto"/>
              </w:rPr>
              <w:t>Fee</w:t>
            </w:r>
          </w:p>
        </w:tc>
        <w:tc>
          <w:tcPr>
            <w:tcW w:w="280" w:type="dxa"/>
            <w:vAlign w:val="bottom"/>
            <w:vMerge w:val="restart"/>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3"/>
            <w:vMerge w:val="restart"/>
          </w:tcPr>
          <w:p>
            <w:pPr>
              <w:jc w:val="right"/>
              <w:ind w:right="10"/>
              <w:spacing w:after="0" w:line="129" w:lineRule="exact"/>
              <w:rPr>
                <w:sz w:val="20"/>
                <w:szCs w:val="20"/>
                <w:color w:val="auto"/>
              </w:rPr>
            </w:pPr>
            <w:r>
              <w:rPr>
                <w:rFonts w:ascii="Arial" w:cs="Arial" w:eastAsia="Arial" w:hAnsi="Arial"/>
                <w:sz w:val="14"/>
                <w:szCs w:val="14"/>
                <w:b w:val="1"/>
                <w:bCs w:val="1"/>
                <w:color w:val="auto"/>
              </w:rPr>
              <w:t>Rate +</w:t>
            </w: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ind w:left="100"/>
              <w:spacing w:after="0" w:line="129" w:lineRule="exact"/>
              <w:rPr>
                <w:sz w:val="20"/>
                <w:szCs w:val="20"/>
                <w:color w:val="auto"/>
              </w:rPr>
            </w:pPr>
            <w:r>
              <w:rPr>
                <w:rFonts w:ascii="Arial" w:cs="Arial" w:eastAsia="Arial" w:hAnsi="Arial"/>
                <w:sz w:val="14"/>
                <w:szCs w:val="14"/>
                <w:b w:val="1"/>
                <w:bCs w:val="1"/>
                <w:color w:val="FF0000"/>
                <w:strike w:val="1"/>
                <w:w w:val="72"/>
              </w:rPr>
              <w:t>+</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0" w:type="dxa"/>
            <w:vAlign w:val="bottom"/>
            <w:tcBorders>
              <w:bottom w:val="single" w:sz="8" w:color="auto"/>
            </w:tcBorders>
            <w:gridSpan w:val="2"/>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tcBorders>
              <w:bottom w:val="single" w:sz="8" w:color="auto"/>
            </w:tcBorders>
            <w:gridSpan w:val="2"/>
            <w:vMerge w:val="continue"/>
          </w:tcPr>
          <w:p>
            <w:pPr>
              <w:spacing w:after="0"/>
              <w:rPr>
                <w:sz w:val="10"/>
                <w:szCs w:val="10"/>
                <w:color w:val="auto"/>
              </w:rPr>
            </w:pPr>
          </w:p>
        </w:tc>
        <w:tc>
          <w:tcPr>
            <w:tcW w:w="260" w:type="dxa"/>
            <w:vAlign w:val="bottom"/>
            <w:tcBorders>
              <w:bottom w:val="single" w:sz="8" w:color="auto"/>
            </w:tcBorders>
            <w:gridSpan w:val="3"/>
            <w:vMerge w:val="continue"/>
          </w:tcPr>
          <w:p>
            <w:pPr>
              <w:spacing w:after="0"/>
              <w:rPr>
                <w:sz w:val="10"/>
                <w:szCs w:val="10"/>
                <w:color w:val="auto"/>
              </w:rPr>
            </w:pPr>
          </w:p>
        </w:tc>
        <w:tc>
          <w:tcPr>
            <w:tcW w:w="2620" w:type="dxa"/>
            <w:vAlign w:val="bottom"/>
            <w:tcBorders>
              <w:bottom w:val="single" w:sz="8" w:color="auto"/>
            </w:tcBorders>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5"/>
          </w:tcPr>
          <w:p>
            <w:pPr>
              <w:jc w:val="center"/>
              <w:ind w:left="189"/>
              <w:spacing w:after="0" w:line="89" w:lineRule="exact"/>
              <w:rPr>
                <w:sz w:val="20"/>
                <w:szCs w:val="20"/>
                <w:color w:val="auto"/>
              </w:rPr>
            </w:pPr>
            <w:r>
              <w:rPr>
                <w:rFonts w:ascii="Arial" w:cs="Arial" w:eastAsia="Arial" w:hAnsi="Arial"/>
                <w:sz w:val="10"/>
                <w:szCs w:val="10"/>
                <w:b w:val="1"/>
                <w:bCs w:val="1"/>
                <w:color w:val="0000FF"/>
              </w:rPr>
              <w:t>+</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Borders>
              <w:bottom w:val="single" w:sz="8" w:color="auto"/>
            </w:tcBorders>
            <w:gridSpan w:val="3"/>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I</w:t>
            </w:r>
          </w:p>
        </w:tc>
        <w:tc>
          <w:tcPr>
            <w:tcW w:w="160" w:type="dxa"/>
            <w:vAlign w:val="bottom"/>
            <w:tcBorders>
              <w:top w:val="single" w:sz="8" w:color="CCEEFF"/>
            </w:tcBorders>
            <w:shd w:val="clear" w:color="auto" w:fill="CCEEFF"/>
          </w:tcPr>
          <w:p>
            <w:pPr>
              <w:spacing w:after="0"/>
              <w:rPr>
                <w:sz w:val="13"/>
                <w:szCs w:val="13"/>
                <w:color w:val="auto"/>
              </w:rPr>
            </w:pPr>
          </w:p>
        </w:tc>
        <w:tc>
          <w:tcPr>
            <w:tcW w:w="5540" w:type="dxa"/>
            <w:vAlign w:val="bottom"/>
            <w:tcBorders>
              <w:top w:val="single" w:sz="8" w:color="CCEEFF"/>
            </w:tcBorders>
            <w:gridSpan w:val="9"/>
            <w:shd w:val="clear" w:color="auto" w:fill="CCEEFF"/>
          </w:tcPr>
          <w:p>
            <w:pPr>
              <w:ind w:left="140"/>
              <w:spacing w:after="0" w:line="156" w:lineRule="exact"/>
              <w:rPr>
                <w:sz w:val="20"/>
                <w:szCs w:val="20"/>
                <w:color w:val="auto"/>
              </w:rPr>
            </w:pPr>
            <w:r>
              <w:rPr>
                <w:rFonts w:ascii="Arial" w:cs="Arial" w:eastAsia="Arial" w:hAnsi="Arial"/>
                <w:sz w:val="18"/>
                <w:szCs w:val="18"/>
                <w:color w:val="auto"/>
              </w:rPr>
              <w:t>Less than 2.00 to 1.00</w:t>
            </w:r>
          </w:p>
        </w:tc>
        <w:tc>
          <w:tcPr>
            <w:tcW w:w="980" w:type="dxa"/>
            <w:vAlign w:val="bottom"/>
            <w:tcBorders>
              <w:top w:val="single" w:sz="8" w:color="CCEEFF"/>
            </w:tcBorders>
            <w:gridSpan w:val="3"/>
            <w:shd w:val="clear" w:color="auto" w:fill="CCEEFF"/>
          </w:tcPr>
          <w:p>
            <w:pPr>
              <w:jc w:val="right"/>
              <w:spacing w:after="0" w:line="156" w:lineRule="exact"/>
              <w:rPr>
                <w:sz w:val="20"/>
                <w:szCs w:val="20"/>
                <w:color w:val="auto"/>
              </w:rPr>
            </w:pPr>
            <w:r>
              <w:rPr>
                <w:rFonts w:ascii="Arial" w:cs="Arial" w:eastAsia="Arial" w:hAnsi="Arial"/>
                <w:sz w:val="18"/>
                <w:szCs w:val="18"/>
                <w:color w:val="auto"/>
              </w:rPr>
              <w:t>0.15</w:t>
            </w:r>
          </w:p>
        </w:tc>
        <w:tc>
          <w:tcPr>
            <w:tcW w:w="80" w:type="dxa"/>
            <w:vAlign w:val="bottom"/>
            <w:tcBorders>
              <w:top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FF0000"/>
                <w:strike w:val="1"/>
                <w:w w:val="71"/>
              </w:rPr>
              <w:t>0</w:t>
            </w:r>
          </w:p>
        </w:tc>
        <w:tc>
          <w:tcPr>
            <w:tcW w:w="280" w:type="dxa"/>
            <w:vAlign w:val="bottom"/>
            <w:tcBorders>
              <w:top w:val="single" w:sz="8" w:color="CCEEFF"/>
            </w:tcBorders>
            <w:shd w:val="clear" w:color="auto" w:fill="CCEEFF"/>
          </w:tcPr>
          <w:p>
            <w:pPr>
              <w:jc w:val="right"/>
              <w:ind w:right="30"/>
              <w:spacing w:after="0" w:line="156"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gridSpan w:val="7"/>
            <w:shd w:val="clear" w:color="auto" w:fill="CCEEFF"/>
          </w:tcPr>
          <w:p>
            <w:pPr>
              <w:jc w:val="right"/>
              <w:ind w:right="280"/>
              <w:spacing w:after="0" w:line="156" w:lineRule="exact"/>
              <w:rPr>
                <w:sz w:val="20"/>
                <w:szCs w:val="20"/>
                <w:color w:val="auto"/>
              </w:rPr>
            </w:pPr>
            <w:r>
              <w:rPr>
                <w:rFonts w:ascii="Arial" w:cs="Arial" w:eastAsia="Arial" w:hAnsi="Arial"/>
                <w:sz w:val="18"/>
                <w:szCs w:val="18"/>
                <w:color w:val="0000FF"/>
                <w:w w:val="86"/>
              </w:rPr>
              <w:t>2.75%</w:t>
            </w:r>
          </w:p>
        </w:tc>
        <w:tc>
          <w:tcPr>
            <w:tcW w:w="860" w:type="dxa"/>
            <w:vAlign w:val="bottom"/>
            <w:tcBorders>
              <w:top w:val="single" w:sz="8" w:color="CCEEFF"/>
            </w:tcBorders>
            <w:gridSpan w:val="3"/>
            <w:shd w:val="clear" w:color="auto" w:fill="CCEEFF"/>
          </w:tcPr>
          <w:p>
            <w:pPr>
              <w:jc w:val="right"/>
              <w:spacing w:after="0" w:line="156"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79"/>
              </w:rPr>
              <w:t>2</w:t>
            </w:r>
          </w:p>
        </w:tc>
        <w:tc>
          <w:tcPr>
            <w:tcW w:w="600" w:type="dxa"/>
            <w:vAlign w:val="bottom"/>
            <w:tcBorders>
              <w:top w:val="single" w:sz="8" w:color="CCEEFF"/>
            </w:tcBorders>
            <w:gridSpan w:val="5"/>
            <w:shd w:val="clear" w:color="auto" w:fill="CCEEFF"/>
          </w:tcPr>
          <w:p>
            <w:pPr>
              <w:jc w:val="right"/>
              <w:ind w:right="190"/>
              <w:spacing w:after="0" w:line="156" w:lineRule="exact"/>
              <w:rPr>
                <w:sz w:val="20"/>
                <w:szCs w:val="20"/>
                <w:color w:val="auto"/>
              </w:rPr>
            </w:pPr>
            <w:r>
              <w:rPr>
                <w:rFonts w:ascii="Arial" w:cs="Arial" w:eastAsia="Arial" w:hAnsi="Arial"/>
                <w:sz w:val="18"/>
                <w:szCs w:val="18"/>
                <w:color w:val="0000FF"/>
                <w:w w:val="83"/>
              </w:rPr>
              <w:t>7</w:t>
            </w:r>
            <w:r>
              <w:rPr>
                <w:rFonts w:ascii="Arial" w:cs="Arial" w:eastAsia="Arial" w:hAnsi="Arial"/>
                <w:sz w:val="18"/>
                <w:szCs w:val="18"/>
                <w:color w:val="000000"/>
                <w:w w:val="83"/>
              </w:rPr>
              <w:t>5%</w:t>
            </w:r>
          </w:p>
        </w:tc>
        <w:tc>
          <w:tcPr>
            <w:tcW w:w="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FF0000"/>
                <w:strike w:val="1"/>
                <w:w w:val="85"/>
              </w:rPr>
              <w:t>0.25</w:t>
            </w:r>
          </w:p>
        </w:tc>
        <w:tc>
          <w:tcPr>
            <w:tcW w:w="200" w:type="dxa"/>
            <w:vAlign w:val="bottom"/>
            <w:tcBorders>
              <w:top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w w:val="74"/>
              </w:rPr>
              <w:t>%</w:t>
            </w: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00" w:type="dxa"/>
            <w:vAlign w:val="bottom"/>
            <w:gridSpan w:val="3"/>
          </w:tcPr>
          <w:p>
            <w:pPr>
              <w:spacing w:after="0" w:line="156" w:lineRule="exact"/>
              <w:rPr>
                <w:sz w:val="20"/>
                <w:szCs w:val="20"/>
                <w:color w:val="auto"/>
              </w:rPr>
            </w:pPr>
            <w:r>
              <w:rPr>
                <w:rFonts w:ascii="Arial" w:cs="Arial" w:eastAsia="Arial" w:hAnsi="Arial"/>
                <w:sz w:val="18"/>
                <w:szCs w:val="18"/>
                <w:color w:val="auto"/>
              </w:rPr>
              <w:t>II</w:t>
            </w:r>
          </w:p>
        </w:tc>
        <w:tc>
          <w:tcPr>
            <w:tcW w:w="5540" w:type="dxa"/>
            <w:vAlign w:val="bottom"/>
            <w:gridSpan w:val="9"/>
          </w:tcPr>
          <w:p>
            <w:pPr>
              <w:ind w:left="140"/>
              <w:spacing w:after="0" w:line="156" w:lineRule="exact"/>
              <w:rPr>
                <w:sz w:val="20"/>
                <w:szCs w:val="20"/>
                <w:color w:val="auto"/>
              </w:rPr>
            </w:pPr>
            <w:r>
              <w:rPr>
                <w:rFonts w:ascii="Arial" w:cs="Arial" w:eastAsia="Arial" w:hAnsi="Arial"/>
                <w:sz w:val="18"/>
                <w:szCs w:val="18"/>
                <w:color w:val="auto"/>
              </w:rPr>
              <w:t>Greater than or equal to 2.00 to 1.00, but less than 2.50 to 1.00</w:t>
            </w:r>
          </w:p>
        </w:tc>
        <w:tc>
          <w:tcPr>
            <w:tcW w:w="980" w:type="dxa"/>
            <w:vAlign w:val="bottom"/>
            <w:gridSpan w:val="3"/>
          </w:tcPr>
          <w:p>
            <w:pPr>
              <w:jc w:val="right"/>
              <w:spacing w:after="0" w:line="156" w:lineRule="exact"/>
              <w:rPr>
                <w:sz w:val="20"/>
                <w:szCs w:val="20"/>
                <w:color w:val="auto"/>
              </w:rPr>
            </w:pPr>
            <w:r>
              <w:rPr>
                <w:rFonts w:ascii="Arial" w:cs="Arial" w:eastAsia="Arial" w:hAnsi="Arial"/>
                <w:sz w:val="18"/>
                <w:szCs w:val="18"/>
                <w:color w:val="auto"/>
              </w:rPr>
              <w:t>0.20</w:t>
            </w: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FF0000"/>
                <w:strike w:val="1"/>
                <w:w w:val="71"/>
              </w:rPr>
              <w:t>0</w:t>
            </w:r>
          </w:p>
        </w:tc>
        <w:tc>
          <w:tcPr>
            <w:tcW w:w="280" w:type="dxa"/>
            <w:vAlign w:val="bottom"/>
          </w:tcPr>
          <w:p>
            <w:pPr>
              <w:jc w:val="right"/>
              <w:ind w:right="30"/>
              <w:spacing w:after="0" w:line="156" w:lineRule="exact"/>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79"/>
              </w:rPr>
              <w:t>3.00</w:t>
            </w:r>
          </w:p>
        </w:tc>
        <w:tc>
          <w:tcPr>
            <w:tcW w:w="420" w:type="dxa"/>
            <w:vAlign w:val="bottom"/>
            <w:gridSpan w:val="2"/>
          </w:tcPr>
          <w:p>
            <w:pPr>
              <w:jc w:val="right"/>
              <w:ind w:right="280"/>
              <w:spacing w:after="0" w:line="156" w:lineRule="exact"/>
              <w:rPr>
                <w:sz w:val="20"/>
                <w:szCs w:val="20"/>
                <w:color w:val="auto"/>
              </w:rPr>
            </w:pPr>
            <w:r>
              <w:rPr>
                <w:rFonts w:ascii="Arial" w:cs="Arial" w:eastAsia="Arial" w:hAnsi="Arial"/>
                <w:sz w:val="18"/>
                <w:szCs w:val="18"/>
                <w:color w:val="0000FF"/>
                <w:w w:val="74"/>
              </w:rPr>
              <w:t>%</w:t>
            </w:r>
          </w:p>
        </w:tc>
        <w:tc>
          <w:tcPr>
            <w:tcW w:w="820" w:type="dxa"/>
            <w:vAlign w:val="bottom"/>
          </w:tcPr>
          <w:p>
            <w:pPr>
              <w:jc w:val="right"/>
              <w:spacing w:after="0" w:line="156" w:lineRule="exact"/>
              <w:rPr>
                <w:sz w:val="20"/>
                <w:szCs w:val="20"/>
                <w:color w:val="auto"/>
              </w:rPr>
            </w:pPr>
            <w:r>
              <w:rPr>
                <w:rFonts w:ascii="Arial" w:cs="Arial" w:eastAsia="Arial" w:hAnsi="Arial"/>
                <w:sz w:val="18"/>
                <w:szCs w:val="18"/>
                <w:color w:val="FF0000"/>
                <w:strike w:val="1"/>
              </w:rPr>
              <w:t>1.50</w:t>
            </w:r>
          </w:p>
        </w:tc>
        <w:tc>
          <w:tcPr>
            <w:tcW w:w="740" w:type="dxa"/>
            <w:vAlign w:val="bottom"/>
            <w:gridSpan w:val="8"/>
          </w:tcPr>
          <w:p>
            <w:pPr>
              <w:jc w:val="right"/>
              <w:ind w:right="190"/>
              <w:spacing w:after="0" w:line="156" w:lineRule="exact"/>
              <w:rPr>
                <w:sz w:val="20"/>
                <w:szCs w:val="20"/>
                <w:color w:val="auto"/>
              </w:rPr>
            </w:pPr>
            <w:r>
              <w:rPr>
                <w:rFonts w:ascii="Arial" w:cs="Arial" w:eastAsia="Arial" w:hAnsi="Arial"/>
                <w:sz w:val="18"/>
                <w:szCs w:val="18"/>
                <w:color w:val="0000FF"/>
                <w:w w:val="86"/>
              </w:rPr>
              <w:t>2.00</w:t>
            </w:r>
            <w:r>
              <w:rPr>
                <w:rFonts w:ascii="Arial" w:cs="Arial" w:eastAsia="Arial" w:hAnsi="Arial"/>
                <w:sz w:val="18"/>
                <w:szCs w:val="18"/>
                <w:color w:val="000000"/>
                <w:w w:val="86"/>
              </w:rPr>
              <w:t>%</w:t>
            </w:r>
          </w:p>
        </w:tc>
        <w:tc>
          <w:tcPr>
            <w:tcW w:w="40" w:type="dxa"/>
            <w:vAlign w:val="bottom"/>
          </w:tcPr>
          <w:p>
            <w:pPr>
              <w:spacing w:after="0"/>
              <w:rPr>
                <w:sz w:val="13"/>
                <w:szCs w:val="13"/>
                <w:color w:val="auto"/>
              </w:rPr>
            </w:pPr>
          </w:p>
        </w:tc>
        <w:tc>
          <w:tcPr>
            <w:tcW w:w="320" w:type="dxa"/>
            <w:vAlign w:val="bottom"/>
            <w:gridSpan w:val="3"/>
          </w:tcPr>
          <w:p>
            <w:pPr>
              <w:spacing w:after="0" w:line="156" w:lineRule="exact"/>
              <w:rPr>
                <w:sz w:val="20"/>
                <w:szCs w:val="20"/>
                <w:color w:val="auto"/>
              </w:rPr>
            </w:pPr>
            <w:r>
              <w:rPr>
                <w:rFonts w:ascii="Arial" w:cs="Arial" w:eastAsia="Arial" w:hAnsi="Arial"/>
                <w:sz w:val="18"/>
                <w:szCs w:val="18"/>
                <w:color w:val="FF0000"/>
                <w:strike w:val="1"/>
                <w:w w:val="85"/>
              </w:rPr>
              <w:t>0.50</w:t>
            </w:r>
          </w:p>
        </w:tc>
        <w:tc>
          <w:tcPr>
            <w:tcW w:w="200" w:type="dxa"/>
            <w:vAlign w:val="bottom"/>
          </w:tcPr>
          <w:p>
            <w:pPr>
              <w:jc w:val="right"/>
              <w:spacing w:after="0" w:line="156" w:lineRule="exact"/>
              <w:rPr>
                <w:sz w:val="20"/>
                <w:szCs w:val="20"/>
                <w:color w:val="auto"/>
              </w:rPr>
            </w:pPr>
            <w:r>
              <w:rPr>
                <w:rFonts w:ascii="Arial" w:cs="Arial" w:eastAsia="Arial" w:hAnsi="Arial"/>
                <w:sz w:val="18"/>
                <w:szCs w:val="18"/>
                <w:color w:val="FF0000"/>
                <w:w w:val="74"/>
              </w:rPr>
              <w:t>%</w:t>
            </w:r>
          </w:p>
        </w:tc>
        <w:tc>
          <w:tcPr>
            <w:tcW w:w="0" w:type="dxa"/>
            <w:vAlign w:val="bottom"/>
          </w:tcPr>
          <w:p>
            <w:pPr>
              <w:spacing w:after="0"/>
              <w:rPr>
                <w:sz w:val="1"/>
                <w:szCs w:val="1"/>
                <w:color w:val="auto"/>
              </w:rPr>
            </w:pPr>
          </w:p>
        </w:tc>
      </w:tr>
      <w:tr>
        <w:trPr>
          <w:trHeight w:val="21"/>
        </w:trPr>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III</w:t>
            </w:r>
          </w:p>
        </w:tc>
        <w:tc>
          <w:tcPr>
            <w:tcW w:w="5540" w:type="dxa"/>
            <w:vAlign w:val="bottom"/>
            <w:gridSpan w:val="9"/>
            <w:shd w:val="clear" w:color="auto" w:fill="CCEEFF"/>
          </w:tcPr>
          <w:p>
            <w:pPr>
              <w:ind w:left="140"/>
              <w:spacing w:after="0" w:line="156" w:lineRule="exact"/>
              <w:rPr>
                <w:sz w:val="20"/>
                <w:szCs w:val="20"/>
                <w:color w:val="auto"/>
              </w:rPr>
            </w:pPr>
            <w:r>
              <w:rPr>
                <w:rFonts w:ascii="Arial" w:cs="Arial" w:eastAsia="Arial" w:hAnsi="Arial"/>
                <w:sz w:val="18"/>
                <w:szCs w:val="18"/>
                <w:color w:val="auto"/>
              </w:rPr>
              <w:t>Greater than or equal to 2.50 to 1.00, but less than 3.00 to 1.00</w:t>
            </w:r>
          </w:p>
        </w:tc>
        <w:tc>
          <w:tcPr>
            <w:tcW w:w="98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FF0000"/>
                <w:strike w:val="1"/>
                <w:w w:val="71"/>
              </w:rPr>
              <w:t>0</w:t>
            </w:r>
          </w:p>
        </w:tc>
        <w:tc>
          <w:tcPr>
            <w:tcW w:w="280" w:type="dxa"/>
            <w:vAlign w:val="bottom"/>
            <w:shd w:val="clear" w:color="auto" w:fill="CCEEFF"/>
          </w:tcPr>
          <w:p>
            <w:pPr>
              <w:jc w:val="right"/>
              <w:ind w:right="30"/>
              <w:spacing w:after="0" w:line="156" w:lineRule="exact"/>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4"/>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3.25</w:t>
            </w:r>
          </w:p>
        </w:tc>
        <w:tc>
          <w:tcPr>
            <w:tcW w:w="420" w:type="dxa"/>
            <w:vAlign w:val="bottom"/>
            <w:gridSpan w:val="2"/>
            <w:shd w:val="clear" w:color="auto" w:fill="CCEEFF"/>
          </w:tcPr>
          <w:p>
            <w:pPr>
              <w:jc w:val="right"/>
              <w:ind w:right="280"/>
              <w:spacing w:after="0" w:line="156" w:lineRule="exact"/>
              <w:rPr>
                <w:sz w:val="20"/>
                <w:szCs w:val="20"/>
                <w:color w:val="auto"/>
              </w:rPr>
            </w:pPr>
            <w:r>
              <w:rPr>
                <w:rFonts w:ascii="Arial" w:cs="Arial" w:eastAsia="Arial" w:hAnsi="Arial"/>
                <w:sz w:val="18"/>
                <w:szCs w:val="18"/>
                <w:color w:val="0000FF"/>
                <w:w w:val="74"/>
              </w:rPr>
              <w:t>%</w:t>
            </w: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1.75</w:t>
            </w:r>
          </w:p>
        </w:tc>
        <w:tc>
          <w:tcPr>
            <w:tcW w:w="20" w:type="dxa"/>
            <w:vAlign w:val="bottom"/>
            <w:shd w:val="clear" w:color="auto" w:fill="CCEEFF"/>
          </w:tcPr>
          <w:p>
            <w:pPr>
              <w:spacing w:after="0"/>
              <w:rPr>
                <w:sz w:val="13"/>
                <w:szCs w:val="13"/>
                <w:color w:val="auto"/>
              </w:rPr>
            </w:pPr>
          </w:p>
        </w:tc>
        <w:tc>
          <w:tcPr>
            <w:tcW w:w="300" w:type="dxa"/>
            <w:vAlign w:val="bottom"/>
            <w:gridSpan w:val="6"/>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2.25</w:t>
            </w:r>
          </w:p>
        </w:tc>
        <w:tc>
          <w:tcPr>
            <w:tcW w:w="420" w:type="dxa"/>
            <w:vAlign w:val="bottom"/>
            <w:shd w:val="clear" w:color="auto" w:fill="CCEEFF"/>
          </w:tcPr>
          <w:p>
            <w:pPr>
              <w:jc w:val="right"/>
              <w:ind w:right="190"/>
              <w:spacing w:after="0" w:line="156" w:lineRule="exact"/>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FF0000"/>
                <w:strike w:val="1"/>
                <w:w w:val="85"/>
              </w:rPr>
              <w:t>0.75</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FF0000"/>
                <w:w w:val="74"/>
              </w:rPr>
              <w:t>%</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0" w:type="dxa"/>
            <w:vAlign w:val="bottom"/>
            <w:gridSpan w:val="3"/>
          </w:tcPr>
          <w:p>
            <w:pPr>
              <w:spacing w:after="0" w:line="156" w:lineRule="exact"/>
              <w:rPr>
                <w:sz w:val="20"/>
                <w:szCs w:val="20"/>
                <w:color w:val="auto"/>
              </w:rPr>
            </w:pPr>
            <w:r>
              <w:rPr>
                <w:rFonts w:ascii="Arial" w:cs="Arial" w:eastAsia="Arial" w:hAnsi="Arial"/>
                <w:sz w:val="18"/>
                <w:szCs w:val="18"/>
                <w:color w:val="auto"/>
              </w:rPr>
              <w:t>IV</w:t>
            </w:r>
          </w:p>
        </w:tc>
        <w:tc>
          <w:tcPr>
            <w:tcW w:w="5540" w:type="dxa"/>
            <w:vAlign w:val="bottom"/>
            <w:gridSpan w:val="9"/>
          </w:tcPr>
          <w:p>
            <w:pPr>
              <w:ind w:left="140"/>
              <w:spacing w:after="0" w:line="156" w:lineRule="exact"/>
              <w:rPr>
                <w:sz w:val="20"/>
                <w:szCs w:val="20"/>
                <w:color w:val="auto"/>
              </w:rPr>
            </w:pPr>
            <w:r>
              <w:rPr>
                <w:rFonts w:ascii="Arial" w:cs="Arial" w:eastAsia="Arial" w:hAnsi="Arial"/>
                <w:sz w:val="18"/>
                <w:szCs w:val="18"/>
                <w:color w:val="auto"/>
              </w:rPr>
              <w:t>Greater than or equal to 3.00 to 1.00, but less than 3.50 to 1.00</w:t>
            </w:r>
          </w:p>
        </w:tc>
        <w:tc>
          <w:tcPr>
            <w:tcW w:w="980" w:type="dxa"/>
            <w:vAlign w:val="bottom"/>
            <w:gridSpan w:val="3"/>
          </w:tcPr>
          <w:p>
            <w:pPr>
              <w:jc w:val="right"/>
              <w:spacing w:after="0" w:line="156" w:lineRule="exact"/>
              <w:rPr>
                <w:sz w:val="20"/>
                <w:szCs w:val="20"/>
                <w:color w:val="auto"/>
              </w:rPr>
            </w:pPr>
            <w:r>
              <w:rPr>
                <w:rFonts w:ascii="Arial" w:cs="Arial" w:eastAsia="Arial" w:hAnsi="Arial"/>
                <w:sz w:val="18"/>
                <w:szCs w:val="18"/>
                <w:color w:val="auto"/>
              </w:rPr>
              <w:t>0.30</w:t>
            </w: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FF0000"/>
                <w:strike w:val="1"/>
                <w:w w:val="71"/>
              </w:rPr>
              <w:t>0</w:t>
            </w:r>
          </w:p>
        </w:tc>
        <w:tc>
          <w:tcPr>
            <w:tcW w:w="280" w:type="dxa"/>
            <w:vAlign w:val="bottom"/>
          </w:tcPr>
          <w:p>
            <w:pPr>
              <w:jc w:val="right"/>
              <w:ind w:right="30"/>
              <w:spacing w:after="0" w:line="156" w:lineRule="exact"/>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79"/>
              </w:rPr>
              <w:t>3.50</w:t>
            </w:r>
          </w:p>
        </w:tc>
        <w:tc>
          <w:tcPr>
            <w:tcW w:w="420" w:type="dxa"/>
            <w:vAlign w:val="bottom"/>
            <w:gridSpan w:val="2"/>
          </w:tcPr>
          <w:p>
            <w:pPr>
              <w:jc w:val="right"/>
              <w:ind w:right="280"/>
              <w:spacing w:after="0" w:line="156" w:lineRule="exact"/>
              <w:rPr>
                <w:sz w:val="20"/>
                <w:szCs w:val="20"/>
                <w:color w:val="auto"/>
              </w:rPr>
            </w:pPr>
            <w:r>
              <w:rPr>
                <w:rFonts w:ascii="Arial" w:cs="Arial" w:eastAsia="Arial" w:hAnsi="Arial"/>
                <w:sz w:val="18"/>
                <w:szCs w:val="18"/>
                <w:color w:val="0000FF"/>
                <w:w w:val="74"/>
              </w:rPr>
              <w:t>%</w:t>
            </w:r>
          </w:p>
        </w:tc>
        <w:tc>
          <w:tcPr>
            <w:tcW w:w="820" w:type="dxa"/>
            <w:vAlign w:val="bottom"/>
          </w:tcPr>
          <w:p>
            <w:pPr>
              <w:jc w:val="right"/>
              <w:spacing w:after="0" w:line="156" w:lineRule="exact"/>
              <w:rPr>
                <w:sz w:val="20"/>
                <w:szCs w:val="20"/>
                <w:color w:val="auto"/>
              </w:rPr>
            </w:pPr>
            <w:r>
              <w:rPr>
                <w:rFonts w:ascii="Arial" w:cs="Arial" w:eastAsia="Arial" w:hAnsi="Arial"/>
                <w:sz w:val="18"/>
                <w:szCs w:val="18"/>
                <w:color w:val="FF0000"/>
                <w:strike w:val="1"/>
              </w:rPr>
              <w:t>2.00</w:t>
            </w:r>
          </w:p>
        </w:tc>
        <w:tc>
          <w:tcPr>
            <w:tcW w:w="20" w:type="dxa"/>
            <w:vAlign w:val="bottom"/>
          </w:tcPr>
          <w:p>
            <w:pPr>
              <w:spacing w:after="0"/>
              <w:rPr>
                <w:sz w:val="13"/>
                <w:szCs w:val="13"/>
                <w:color w:val="auto"/>
              </w:rPr>
            </w:pPr>
          </w:p>
        </w:tc>
        <w:tc>
          <w:tcPr>
            <w:tcW w:w="30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2.50</w:t>
            </w:r>
          </w:p>
        </w:tc>
        <w:tc>
          <w:tcPr>
            <w:tcW w:w="420" w:type="dxa"/>
            <w:vAlign w:val="bottom"/>
          </w:tcPr>
          <w:p>
            <w:pPr>
              <w:jc w:val="right"/>
              <w:ind w:right="190"/>
              <w:spacing w:after="0" w:line="156"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3"/>
                <w:szCs w:val="13"/>
                <w:color w:val="auto"/>
              </w:rPr>
            </w:pPr>
          </w:p>
        </w:tc>
        <w:tc>
          <w:tcPr>
            <w:tcW w:w="320" w:type="dxa"/>
            <w:vAlign w:val="bottom"/>
            <w:gridSpan w:val="3"/>
          </w:tcPr>
          <w:p>
            <w:pPr>
              <w:spacing w:after="0" w:line="156" w:lineRule="exact"/>
              <w:rPr>
                <w:sz w:val="20"/>
                <w:szCs w:val="20"/>
                <w:color w:val="auto"/>
              </w:rPr>
            </w:pPr>
            <w:r>
              <w:rPr>
                <w:rFonts w:ascii="Arial" w:cs="Arial" w:eastAsia="Arial" w:hAnsi="Arial"/>
                <w:sz w:val="18"/>
                <w:szCs w:val="18"/>
                <w:color w:val="FF0000"/>
                <w:strike w:val="1"/>
                <w:w w:val="85"/>
              </w:rPr>
              <w:t>1.00</w:t>
            </w:r>
          </w:p>
        </w:tc>
        <w:tc>
          <w:tcPr>
            <w:tcW w:w="200" w:type="dxa"/>
            <w:vAlign w:val="bottom"/>
          </w:tcPr>
          <w:p>
            <w:pPr>
              <w:jc w:val="right"/>
              <w:spacing w:after="0" w:line="156" w:lineRule="exact"/>
              <w:rPr>
                <w:sz w:val="20"/>
                <w:szCs w:val="20"/>
                <w:color w:val="auto"/>
              </w:rPr>
            </w:pPr>
            <w:r>
              <w:rPr>
                <w:rFonts w:ascii="Arial" w:cs="Arial" w:eastAsia="Arial" w:hAnsi="Arial"/>
                <w:sz w:val="18"/>
                <w:szCs w:val="18"/>
                <w:color w:val="FF0000"/>
                <w:w w:val="74"/>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V</w:t>
            </w:r>
          </w:p>
        </w:tc>
        <w:tc>
          <w:tcPr>
            <w:tcW w:w="5540" w:type="dxa"/>
            <w:vAlign w:val="bottom"/>
            <w:gridSpan w:val="9"/>
            <w:shd w:val="clear" w:color="auto" w:fill="CCEEFF"/>
          </w:tcPr>
          <w:p>
            <w:pPr>
              <w:ind w:left="140"/>
              <w:spacing w:after="0" w:line="156" w:lineRule="exact"/>
              <w:rPr>
                <w:sz w:val="20"/>
                <w:szCs w:val="20"/>
                <w:color w:val="auto"/>
              </w:rPr>
            </w:pPr>
            <w:r>
              <w:rPr>
                <w:rFonts w:ascii="Arial" w:cs="Arial" w:eastAsia="Arial" w:hAnsi="Arial"/>
                <w:sz w:val="18"/>
                <w:szCs w:val="18"/>
                <w:color w:val="auto"/>
              </w:rPr>
              <w:t xml:space="preserve">Greater than or equal to 3.50 to </w:t>
            </w:r>
            <w:r>
              <w:rPr>
                <w:rFonts w:ascii="Arial" w:cs="Arial" w:eastAsia="Arial" w:hAnsi="Arial"/>
                <w:sz w:val="18"/>
                <w:szCs w:val="18"/>
                <w:color w:val="0000FF"/>
              </w:rPr>
              <w:t>1.00, but less than 4.00 to</w:t>
            </w:r>
            <w:r>
              <w:rPr>
                <w:rFonts w:ascii="Arial" w:cs="Arial" w:eastAsia="Arial" w:hAnsi="Arial"/>
                <w:sz w:val="18"/>
                <w:szCs w:val="18"/>
                <w:color w:val="auto"/>
              </w:rPr>
              <w:t xml:space="preserve"> 1.00</w:t>
            </w:r>
          </w:p>
        </w:tc>
        <w:tc>
          <w:tcPr>
            <w:tcW w:w="98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FF0000"/>
                <w:strike w:val="1"/>
                <w:w w:val="71"/>
              </w:rPr>
              <w:t>0</w:t>
            </w:r>
          </w:p>
        </w:tc>
        <w:tc>
          <w:tcPr>
            <w:tcW w:w="280" w:type="dxa"/>
            <w:vAlign w:val="bottom"/>
            <w:shd w:val="clear" w:color="auto" w:fill="CCEEFF"/>
          </w:tcPr>
          <w:p>
            <w:pPr>
              <w:jc w:val="right"/>
              <w:ind w:right="30"/>
              <w:spacing w:after="0" w:line="156" w:lineRule="exact"/>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4"/>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3.75</w:t>
            </w:r>
          </w:p>
        </w:tc>
        <w:tc>
          <w:tcPr>
            <w:tcW w:w="420" w:type="dxa"/>
            <w:vAlign w:val="bottom"/>
            <w:gridSpan w:val="2"/>
            <w:shd w:val="clear" w:color="auto" w:fill="CCEEFF"/>
          </w:tcPr>
          <w:p>
            <w:pPr>
              <w:jc w:val="right"/>
              <w:ind w:right="280"/>
              <w:spacing w:after="0" w:line="156" w:lineRule="exact"/>
              <w:rPr>
                <w:sz w:val="20"/>
                <w:szCs w:val="20"/>
                <w:color w:val="auto"/>
              </w:rPr>
            </w:pPr>
            <w:r>
              <w:rPr>
                <w:rFonts w:ascii="Arial" w:cs="Arial" w:eastAsia="Arial" w:hAnsi="Arial"/>
                <w:sz w:val="18"/>
                <w:szCs w:val="18"/>
                <w:color w:val="0000FF"/>
                <w:w w:val="74"/>
              </w:rPr>
              <w:t>%</w:t>
            </w:r>
          </w:p>
        </w:tc>
        <w:tc>
          <w:tcPr>
            <w:tcW w:w="86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79"/>
              </w:rPr>
              <w:t>2</w:t>
            </w:r>
          </w:p>
        </w:tc>
        <w:tc>
          <w:tcPr>
            <w:tcW w:w="600" w:type="dxa"/>
            <w:vAlign w:val="bottom"/>
            <w:gridSpan w:val="5"/>
            <w:shd w:val="clear" w:color="auto" w:fill="CCEEFF"/>
          </w:tcPr>
          <w:p>
            <w:pPr>
              <w:jc w:val="right"/>
              <w:ind w:right="190"/>
              <w:spacing w:after="0" w:line="156" w:lineRule="exact"/>
              <w:rPr>
                <w:sz w:val="20"/>
                <w:szCs w:val="20"/>
                <w:color w:val="auto"/>
              </w:rPr>
            </w:pPr>
            <w:r>
              <w:rPr>
                <w:rFonts w:ascii="Arial" w:cs="Arial" w:eastAsia="Arial" w:hAnsi="Arial"/>
                <w:sz w:val="18"/>
                <w:szCs w:val="18"/>
                <w:color w:val="0000FF"/>
                <w:w w:val="83"/>
              </w:rPr>
              <w:t>7</w:t>
            </w:r>
            <w:r>
              <w:rPr>
                <w:rFonts w:ascii="Arial" w:cs="Arial" w:eastAsia="Arial" w:hAnsi="Arial"/>
                <w:sz w:val="18"/>
                <w:szCs w:val="18"/>
                <w:color w:val="000000"/>
                <w:w w:val="83"/>
              </w:rPr>
              <w:t>5%</w:t>
            </w:r>
          </w:p>
        </w:tc>
        <w:tc>
          <w:tcPr>
            <w:tcW w:w="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FF0000"/>
                <w:strike w:val="1"/>
                <w:w w:val="85"/>
              </w:rPr>
              <w:t>1.25</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FF0000"/>
                <w:w w:val="74"/>
              </w:rPr>
              <w:t>%</w:t>
            </w: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00" w:type="dxa"/>
            <w:vAlign w:val="bottom"/>
            <w:gridSpan w:val="3"/>
          </w:tcPr>
          <w:p>
            <w:pPr>
              <w:spacing w:after="0" w:line="156" w:lineRule="exact"/>
              <w:rPr>
                <w:sz w:val="20"/>
                <w:szCs w:val="20"/>
                <w:color w:val="auto"/>
              </w:rPr>
            </w:pPr>
            <w:r>
              <w:rPr>
                <w:rFonts w:ascii="Arial" w:cs="Arial" w:eastAsia="Arial" w:hAnsi="Arial"/>
                <w:sz w:val="18"/>
                <w:szCs w:val="18"/>
                <w:color w:val="0000FF"/>
              </w:rPr>
              <w:t>VI</w:t>
            </w:r>
          </w:p>
        </w:tc>
        <w:tc>
          <w:tcPr>
            <w:tcW w:w="2440" w:type="dxa"/>
            <w:vAlign w:val="bottom"/>
            <w:gridSpan w:val="2"/>
          </w:tcPr>
          <w:p>
            <w:pPr>
              <w:ind w:left="140"/>
              <w:spacing w:after="0" w:line="156" w:lineRule="exact"/>
              <w:rPr>
                <w:sz w:val="20"/>
                <w:szCs w:val="20"/>
                <w:color w:val="auto"/>
              </w:rPr>
            </w:pPr>
            <w:r>
              <w:rPr>
                <w:rFonts w:ascii="Arial" w:cs="Arial" w:eastAsia="Arial" w:hAnsi="Arial"/>
                <w:sz w:val="18"/>
                <w:szCs w:val="18"/>
                <w:color w:val="0000FF"/>
                <w:w w:val="90"/>
              </w:rPr>
              <w:t>Greater than or equal to 4.00 to</w:t>
            </w:r>
          </w:p>
        </w:tc>
        <w:tc>
          <w:tcPr>
            <w:tcW w:w="320" w:type="dxa"/>
            <w:vAlign w:val="bottom"/>
            <w:gridSpan w:val="3"/>
          </w:tcPr>
          <w:p>
            <w:pPr>
              <w:jc w:val="right"/>
              <w:spacing w:after="0" w:line="156" w:lineRule="exact"/>
              <w:rPr>
                <w:sz w:val="20"/>
                <w:szCs w:val="20"/>
                <w:color w:val="auto"/>
              </w:rPr>
            </w:pPr>
            <w:r>
              <w:rPr>
                <w:rFonts w:ascii="Arial" w:cs="Arial" w:eastAsia="Arial" w:hAnsi="Arial"/>
                <w:sz w:val="18"/>
                <w:szCs w:val="18"/>
                <w:color w:val="0000FF"/>
                <w:w w:val="85"/>
              </w:rPr>
              <w:t>1.00</w:t>
            </w:r>
          </w:p>
        </w:tc>
        <w:tc>
          <w:tcPr>
            <w:tcW w:w="15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gridSpan w:val="5"/>
          </w:tcPr>
          <w:p>
            <w:pPr>
              <w:jc w:val="right"/>
              <w:ind w:right="30"/>
              <w:spacing w:after="0" w:line="156" w:lineRule="exact"/>
              <w:rPr>
                <w:sz w:val="20"/>
                <w:szCs w:val="20"/>
                <w:color w:val="auto"/>
              </w:rPr>
            </w:pPr>
            <w:r>
              <w:rPr>
                <w:rFonts w:ascii="Arial" w:cs="Arial" w:eastAsia="Arial" w:hAnsi="Arial"/>
                <w:sz w:val="18"/>
                <w:szCs w:val="18"/>
                <w:color w:val="0000FF"/>
              </w:rPr>
              <w:t>0.40%</w:t>
            </w:r>
          </w:p>
        </w:tc>
        <w:tc>
          <w:tcPr>
            <w:tcW w:w="6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jc w:val="right"/>
              <w:spacing w:after="0" w:line="156" w:lineRule="exact"/>
              <w:rPr>
                <w:sz w:val="20"/>
                <w:szCs w:val="20"/>
                <w:color w:val="auto"/>
              </w:rPr>
            </w:pPr>
            <w:r>
              <w:rPr>
                <w:rFonts w:ascii="Arial" w:cs="Arial" w:eastAsia="Arial" w:hAnsi="Arial"/>
                <w:sz w:val="18"/>
                <w:szCs w:val="18"/>
                <w:color w:val="0000FF"/>
                <w:w w:val="79"/>
              </w:rPr>
              <w:t>4.00</w:t>
            </w:r>
          </w:p>
        </w:tc>
        <w:tc>
          <w:tcPr>
            <w:tcW w:w="420" w:type="dxa"/>
            <w:vAlign w:val="bottom"/>
            <w:gridSpan w:val="2"/>
          </w:tcPr>
          <w:p>
            <w:pPr>
              <w:jc w:val="right"/>
              <w:ind w:right="280"/>
              <w:spacing w:after="0" w:line="156" w:lineRule="exact"/>
              <w:rPr>
                <w:sz w:val="20"/>
                <w:szCs w:val="20"/>
                <w:color w:val="auto"/>
              </w:rPr>
            </w:pPr>
            <w:r>
              <w:rPr>
                <w:rFonts w:ascii="Arial" w:cs="Arial" w:eastAsia="Arial" w:hAnsi="Arial"/>
                <w:sz w:val="18"/>
                <w:szCs w:val="18"/>
                <w:color w:val="0000FF"/>
                <w:w w:val="74"/>
              </w:rPr>
              <w:t>%</w:t>
            </w:r>
          </w:p>
        </w:tc>
        <w:tc>
          <w:tcPr>
            <w:tcW w:w="980" w:type="dxa"/>
            <w:vAlign w:val="bottom"/>
            <w:gridSpan w:val="5"/>
          </w:tcPr>
          <w:p>
            <w:pPr>
              <w:jc w:val="right"/>
              <w:spacing w:after="0" w:line="156" w:lineRule="exact"/>
              <w:rPr>
                <w:sz w:val="20"/>
                <w:szCs w:val="20"/>
                <w:color w:val="auto"/>
              </w:rPr>
            </w:pPr>
            <w:r>
              <w:rPr>
                <w:rFonts w:ascii="Arial" w:cs="Arial" w:eastAsia="Arial" w:hAnsi="Arial"/>
                <w:sz w:val="18"/>
                <w:szCs w:val="18"/>
                <w:color w:val="0000FF"/>
              </w:rPr>
              <w:t>3.</w:t>
            </w:r>
          </w:p>
        </w:tc>
        <w:tc>
          <w:tcPr>
            <w:tcW w:w="580" w:type="dxa"/>
            <w:vAlign w:val="bottom"/>
            <w:gridSpan w:val="4"/>
          </w:tcPr>
          <w:p>
            <w:pPr>
              <w:jc w:val="right"/>
              <w:ind w:right="190"/>
              <w:spacing w:after="0" w:line="156" w:lineRule="exact"/>
              <w:rPr>
                <w:sz w:val="20"/>
                <w:szCs w:val="20"/>
                <w:color w:val="auto"/>
              </w:rPr>
            </w:pPr>
            <w:r>
              <w:rPr>
                <w:rFonts w:ascii="Arial" w:cs="Arial" w:eastAsia="Arial" w:hAnsi="Arial"/>
                <w:sz w:val="18"/>
                <w:szCs w:val="18"/>
                <w:color w:val="0000FF"/>
                <w:w w:val="77"/>
              </w:rPr>
              <w:t>00%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right="100" w:firstLine="440"/>
        <w:spacing w:after="0" w:line="287" w:lineRule="auto"/>
        <w:rPr>
          <w:sz w:val="20"/>
          <w:szCs w:val="20"/>
          <w:color w:val="auto"/>
        </w:rPr>
      </w:pPr>
      <w:r>
        <w:rPr>
          <w:rFonts w:ascii="Arial" w:cs="Arial" w:eastAsia="Arial" w:hAnsi="Arial"/>
          <w:sz w:val="16"/>
          <w:szCs w:val="16"/>
          <w:color w:val="auto"/>
        </w:rPr>
        <w:t xml:space="preserve">The Applicable Margin shall be determined and adjusted quarterly on the date five (5) Business Days after the day on which the Borrower provides a Compliance Certificate pursuant to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for the most recently ended fiscal quarter of the Borrower (each such date, a “</w:t>
      </w:r>
      <w:r>
        <w:rPr>
          <w:rFonts w:ascii="Arial" w:cs="Arial" w:eastAsia="Arial" w:hAnsi="Arial"/>
          <w:sz w:val="16"/>
          <w:szCs w:val="16"/>
          <w:u w:val="single" w:color="auto"/>
          <w:color w:val="auto"/>
        </w:rPr>
        <w:t>Calculation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color w:val="FF0000"/>
        </w:rPr>
        <w:t>(a) the Applicable Margin shall be based on Pricing Level I until the Calculation Date following the first full fiscal quarter of the</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Borrower occurring after the Second Amendment Effective Date and, thereafter the Pricing Level shall </w:t>
      </w:r>
      <w:r>
        <w:rPr>
          <w:rFonts w:ascii="Arial" w:cs="Arial" w:eastAsia="Arial" w:hAnsi="Arial"/>
          <w:sz w:val="16"/>
          <w:szCs w:val="16"/>
          <w:color w:val="008000"/>
          <w:strike w:val="1"/>
        </w:rPr>
        <w:t>be determined by reference to the</w:t>
      </w:r>
      <w:r>
        <w:rPr>
          <w:rFonts w:ascii="Arial" w:cs="Arial" w:eastAsia="Arial" w:hAnsi="Arial"/>
          <w:sz w:val="16"/>
          <w:szCs w:val="16"/>
          <w:color w:val="FF0000"/>
          <w:strike w:val="1"/>
        </w:rPr>
        <w:t xml:space="preserve"> Consolidated Net Leverage Ratio </w:t>
      </w:r>
      <w:r>
        <w:rPr>
          <w:rFonts w:ascii="Arial" w:cs="Arial" w:eastAsia="Arial" w:hAnsi="Arial"/>
          <w:sz w:val="16"/>
          <w:szCs w:val="16"/>
          <w:color w:val="008000"/>
          <w:strike w:val="1"/>
        </w:rPr>
        <w:t>as of the last day of the most recently ended fiscal quarter of the Borrower preceding the applicable Calculation Date</w:t>
      </w:r>
      <w:r>
        <w:rPr>
          <w:rFonts w:ascii="Arial" w:cs="Arial" w:eastAsia="Arial" w:hAnsi="Arial"/>
          <w:sz w:val="16"/>
          <w:szCs w:val="16"/>
          <w:color w:val="FF0000"/>
          <w:strike w:val="1"/>
        </w:rPr>
        <w:t>, and (b)</w:t>
      </w:r>
      <w:r>
        <w:rPr>
          <w:rFonts w:ascii="Arial" w:cs="Arial" w:eastAsia="Arial" w:hAnsi="Arial"/>
          <w:sz w:val="16"/>
          <w:szCs w:val="16"/>
          <w:u w:val="single" w:color="auto"/>
          <w:color w:val="0000FF"/>
          <w:strike w:val="1"/>
        </w:rPr>
        <w: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if the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Borrower fails to provide a Compliance Certificate when due as required by </w:t>
      </w:r>
      <w:r>
        <w:rPr>
          <w:rFonts w:ascii="Arial" w:cs="Arial" w:eastAsia="Arial" w:hAnsi="Arial"/>
          <w:sz w:val="16"/>
          <w:szCs w:val="16"/>
          <w:u w:val="single" w:color="auto"/>
          <w:color w:val="000000"/>
          <w:strike w:val="1"/>
        </w:rPr>
        <w:t>Section 8.2(a)</w:t>
      </w:r>
      <w:r>
        <w:rPr>
          <w:rFonts w:ascii="Arial" w:cs="Arial" w:eastAsia="Arial" w:hAnsi="Arial"/>
          <w:sz w:val="16"/>
          <w:szCs w:val="16"/>
          <w:color w:val="000000"/>
          <w:strike w:val="1"/>
        </w:rPr>
        <w:t xml:space="preserve"> for the most recently ended fiscal quarter of the Borrower preceding the applicable Calculation Date, the Applicable Margin from the date on which such Compliance Certificate was required to have been delivered shall be based on Pricing Level </w:t>
      </w:r>
      <w:r>
        <w:rPr>
          <w:rFonts w:ascii="Arial" w:cs="Arial" w:eastAsia="Arial" w:hAnsi="Arial"/>
          <w:sz w:val="16"/>
          <w:szCs w:val="16"/>
          <w:color w:val="FF0000"/>
          <w:strike w:val="1"/>
        </w:rPr>
        <w:t>V</w:t>
      </w:r>
      <w:r>
        <w:rPr>
          <w:rFonts w:ascii="Arial" w:cs="Arial" w:eastAsia="Arial" w:hAnsi="Arial"/>
          <w:sz w:val="16"/>
          <w:szCs w:val="16"/>
          <w:u w:val="single" w:color="auto"/>
          <w:color w:val="0000FF"/>
          <w:strike w:val="1"/>
        </w:rPr>
        <w:t>VI</w:t>
      </w:r>
      <w:r>
        <w:rPr>
          <w:rFonts w:ascii="Arial" w:cs="Arial" w:eastAsia="Arial" w:hAnsi="Arial"/>
          <w:sz w:val="16"/>
          <w:szCs w:val="16"/>
          <w:color w:val="000000"/>
          <w:strike w:val="1"/>
        </w:rPr>
        <w:t xml:space="preserve"> until such time as an appropriate Compliance Certificate is delivered, at which time the Pricing Level shall be determined by reference to the Consolidated </w:t>
      </w:r>
      <w:r>
        <w:rPr>
          <w:rFonts w:ascii="Arial" w:cs="Arial" w:eastAsia="Arial" w:hAnsi="Arial"/>
          <w:sz w:val="16"/>
          <w:szCs w:val="16"/>
          <w:color w:val="FF0000"/>
          <w:strike w:val="1"/>
        </w:rPr>
        <w:t>Net</w:t>
      </w:r>
      <w:r>
        <w:rPr>
          <w:rFonts w:ascii="Arial" w:cs="Arial" w:eastAsia="Arial" w:hAnsi="Arial"/>
          <w:sz w:val="16"/>
          <w:szCs w:val="16"/>
          <w:color w:val="000000"/>
          <w:strike w:val="1"/>
        </w:rPr>
        <w:t xml:space="preserve">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-1192530</wp:posOffset>
            </wp:positionV>
            <wp:extent cx="5902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02325" cy="8255"/>
                    </a:xfrm>
                    <a:prstGeom prst="rect">
                      <a:avLst/>
                    </a:prstGeom>
                    <a:noFill/>
                  </pic:spPr>
                </pic:pic>
              </a:graphicData>
            </a:graphic>
          </wp:anchor>
        </w:drawing>
      </w:r>
    </w:p>
    <w:p>
      <w:pPr>
        <w:spacing w:after="0" w:line="152"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Notwithstanding the foregoing, in the event that any financial statement or Compliance Certificate delivered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8.2(a)</w:t>
      </w:r>
      <w:r>
        <w:rPr>
          <w:rFonts w:ascii="Arial" w:cs="Arial" w:eastAsia="Arial" w:hAnsi="Arial"/>
          <w:sz w:val="17"/>
          <w:szCs w:val="17"/>
          <w:color w:val="auto"/>
        </w:rPr>
        <w:t xml:space="preserve"> is shown to be inaccurate (regardless of whether (i) this Agreement is in effect, (ii) any Commitments are in effect, or (iii) any Extension of Credit is outstanding when such inaccuracy is discovered or such financial statement or Compliance Certificate was delivered), and such inaccuracy, if corrected, would have led to the application of a higher Applicable Margin for any period (an “</w:t>
      </w:r>
      <w:r>
        <w:rPr>
          <w:rFonts w:ascii="Arial" w:cs="Arial" w:eastAsia="Arial" w:hAnsi="Arial"/>
          <w:sz w:val="17"/>
          <w:szCs w:val="17"/>
          <w:u w:val="single" w:color="auto"/>
          <w:color w:val="auto"/>
        </w:rPr>
        <w:t>Applicable Period</w:t>
      </w:r>
      <w:r>
        <w:rPr>
          <w:rFonts w:ascii="Arial" w:cs="Arial" w:eastAsia="Arial" w:hAnsi="Arial"/>
          <w:sz w:val="17"/>
          <w:szCs w:val="17"/>
          <w:color w:val="auto"/>
        </w:rPr>
        <w:t xml:space="preserve">”) than the Applicable Margin applied for such Applicable Period, then (A) the Borrower shall immediately deliver to the Administrative Agent a corrected Compliance Certificate for such Applicable Period, (B) the Applicable Margin for such Applicable Period shall be determined as if the Consolidated </w:t>
      </w:r>
      <w:r>
        <w:rPr>
          <w:rFonts w:ascii="Arial" w:cs="Arial" w:eastAsia="Arial" w:hAnsi="Arial"/>
          <w:sz w:val="17"/>
          <w:szCs w:val="17"/>
          <w:color w:val="FF0000"/>
          <w:strike w:val="1"/>
        </w:rPr>
        <w:t>Net</w:t>
      </w:r>
      <w:r>
        <w:rPr>
          <w:rFonts w:ascii="Arial" w:cs="Arial" w:eastAsia="Arial" w:hAnsi="Arial"/>
          <w:sz w:val="17"/>
          <w:szCs w:val="17"/>
          <w:color w:val="auto"/>
        </w:rPr>
        <w:t xml:space="preserve"> Leverage Ratio in the corrected Compliance Certificate were applicable for such Applicable Period, and (C) the Borrower shall immediately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Nothing in this paragraph shall limit the rights of the Administrative Agent and Lenders with respect to </w:t>
      </w:r>
      <w:r>
        <w:rPr>
          <w:rFonts w:ascii="Arial" w:cs="Arial" w:eastAsia="Arial" w:hAnsi="Arial"/>
          <w:sz w:val="17"/>
          <w:szCs w:val="17"/>
          <w:u w:val="single" w:color="auto"/>
          <w:color w:val="auto"/>
        </w:rPr>
        <w:t>Sections 5.1(b)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nor any of their other rights under this Agreement or any other Loan Document. The Borrower’s obligations under this paragraph shall survive the termination of the Commitments and the repayment of all other Obligations hereunder. </w:t>
      </w:r>
      <w:r>
        <w:rPr>
          <w:rFonts w:ascii="Arial" w:cs="Arial" w:eastAsia="Arial" w:hAnsi="Arial"/>
          <w:sz w:val="17"/>
          <w:szCs w:val="17"/>
          <w:color w:val="FF0000"/>
          <w:strike w:val="1"/>
        </w:rPr>
        <w:t>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478" w:right="439" w:bottom="1440" w:gutter="0" w:footer="0" w:header="0"/>
        </w:sectPr>
      </w:pPr>
    </w:p>
    <w:bookmarkStart w:id="51" w:name="page52"/>
    <w:bookmarkEnd w:id="51"/>
    <w:p>
      <w:pPr>
        <w:ind w:right="220" w:firstLine="440"/>
        <w:spacing w:after="0" w:line="342"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Applicable</w:t>
      </w:r>
      <w:r>
        <w:rPr>
          <w:rFonts w:ascii="Arial" w:cs="Arial" w:eastAsia="Arial" w:hAnsi="Arial"/>
          <w:sz w:val="16"/>
          <w:szCs w:val="16"/>
          <w:color w:val="0000FF"/>
        </w:rPr>
        <w:t xml:space="preserve"> </w:t>
      </w:r>
      <w:r>
        <w:rPr>
          <w:rFonts w:ascii="Arial" w:cs="Arial" w:eastAsia="Arial" w:hAnsi="Arial"/>
          <w:sz w:val="16"/>
          <w:szCs w:val="16"/>
          <w:color w:val="FF0000"/>
          <w:strike w:val="1"/>
        </w:rPr>
        <w:t>Margin</w:t>
      </w:r>
      <w:r>
        <w:rPr>
          <w:rFonts w:ascii="Arial" w:cs="Arial" w:eastAsia="Arial" w:hAnsi="Arial"/>
          <w:sz w:val="16"/>
          <w:szCs w:val="16"/>
          <w:u w:val="single" w:color="auto"/>
          <w:color w:val="0000FF"/>
        </w:rPr>
        <w:t>Maturity Date” means (a)</w:t>
      </w:r>
      <w:r>
        <w:rPr>
          <w:rFonts w:ascii="Arial" w:cs="Arial" w:eastAsia="Arial" w:hAnsi="Arial"/>
          <w:sz w:val="16"/>
          <w:szCs w:val="16"/>
          <w:color w:val="0000FF"/>
        </w:rPr>
        <w:t xml:space="preserve"> </w:t>
      </w:r>
      <w:r>
        <w:rPr>
          <w:rFonts w:ascii="Arial" w:cs="Arial" w:eastAsia="Arial" w:hAnsi="Arial"/>
          <w:sz w:val="16"/>
          <w:szCs w:val="16"/>
          <w:color w:val="000000"/>
        </w:rPr>
        <w:t>with respect to any</w:t>
      </w:r>
      <w:r>
        <w:rPr>
          <w:rFonts w:ascii="Arial" w:cs="Arial" w:eastAsia="Arial" w:hAnsi="Arial"/>
          <w:sz w:val="16"/>
          <w:szCs w:val="16"/>
          <w:color w:val="0000FF"/>
        </w:rPr>
        <w:t xml:space="preserve"> </w:t>
      </w:r>
      <w:r>
        <w:rPr>
          <w:rFonts w:ascii="Arial" w:cs="Arial" w:eastAsia="Arial" w:hAnsi="Arial"/>
          <w:sz w:val="16"/>
          <w:szCs w:val="16"/>
          <w:color w:val="FF0000"/>
          <w:strike w:val="1"/>
        </w:rPr>
        <w:t>Incremental</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Revolving Credit Loan or Swingline Loan,</w:t>
      </w:r>
      <w:r>
        <w:rPr>
          <w:rFonts w:ascii="Arial" w:cs="Arial" w:eastAsia="Arial" w:hAnsi="Arial"/>
          <w:sz w:val="16"/>
          <w:szCs w:val="16"/>
          <w:color w:val="0000FF"/>
        </w:rPr>
        <w:t xml:space="preserve"> </w:t>
      </w:r>
      <w:r>
        <w:rPr>
          <w:rFonts w:ascii="Arial" w:cs="Arial" w:eastAsia="Arial" w:hAnsi="Arial"/>
          <w:sz w:val="16"/>
          <w:szCs w:val="16"/>
          <w:color w:val="008000"/>
        </w:rPr>
        <w:t>the Revolving Credit</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Maturity Date</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or (b) the Initial</w:t>
      </w:r>
      <w:r>
        <w:rPr>
          <w:rFonts w:ascii="Arial" w:cs="Arial" w:eastAsia="Arial" w:hAnsi="Arial"/>
          <w:sz w:val="16"/>
          <w:szCs w:val="16"/>
          <w:color w:val="008000"/>
        </w:rPr>
        <w:t xml:space="preserve"> </w:t>
      </w:r>
      <w:r>
        <w:rPr>
          <w:rFonts w:ascii="Arial" w:cs="Arial" w:eastAsia="Arial" w:hAnsi="Arial"/>
          <w:sz w:val="16"/>
          <w:szCs w:val="16"/>
          <w:color w:val="000000"/>
        </w:rPr>
        <w:t>Term Loan</w:t>
      </w:r>
      <w:r>
        <w:rPr>
          <w:rFonts w:ascii="Arial" w:cs="Arial" w:eastAsia="Arial" w:hAnsi="Arial"/>
          <w:sz w:val="16"/>
          <w:szCs w:val="16"/>
          <w:color w:val="008000"/>
        </w:rPr>
        <w:t xml:space="preserve"> </w:t>
      </w:r>
      <w:r>
        <w:rPr>
          <w:rFonts w:ascii="Arial" w:cs="Arial" w:eastAsia="Arial" w:hAnsi="Arial"/>
          <w:sz w:val="16"/>
          <w:szCs w:val="16"/>
          <w:color w:val="FF0000"/>
          <w:strike w:val="1"/>
        </w:rPr>
        <w:t>shall be set forth in the applicable Incremental Facility Amendment</w:t>
      </w:r>
      <w:r>
        <w:rPr>
          <w:rFonts w:ascii="Arial" w:cs="Arial" w:eastAsia="Arial" w:hAnsi="Arial"/>
          <w:sz w:val="16"/>
          <w:szCs w:val="16"/>
          <w:u w:val="single" w:color="auto"/>
          <w:color w:val="0000FF"/>
        </w:rPr>
        <w:t>,</w:t>
      </w:r>
      <w:r>
        <w:rPr>
          <w:rFonts w:ascii="Arial" w:cs="Arial" w:eastAsia="Arial" w:hAnsi="Arial"/>
          <w:sz w:val="16"/>
          <w:szCs w:val="16"/>
          <w:color w:val="008000"/>
        </w:rPr>
        <w:t xml:space="preserve"> the Term Loan Maturity Date</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5843905</wp:posOffset>
            </wp:positionH>
            <wp:positionV relativeFrom="paragraph">
              <wp:posOffset>-186055</wp:posOffset>
            </wp:positionV>
            <wp:extent cx="9855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-212090</wp:posOffset>
            </wp:positionV>
            <wp:extent cx="9867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-48895</wp:posOffset>
            </wp:positionV>
            <wp:extent cx="13716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-74930</wp:posOffset>
            </wp:positionV>
            <wp:extent cx="13703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0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xml:space="preserve">” means, with respect to any </w:t>
      </w:r>
      <w:r>
        <w:rPr>
          <w:rFonts w:ascii="Arial" w:cs="Arial" w:eastAsia="Arial" w:hAnsi="Arial"/>
          <w:sz w:val="17"/>
          <w:szCs w:val="17"/>
          <w:color w:val="FF0000"/>
          <w:strike w:val="1"/>
        </w:rPr>
        <w:t>borrowings or draws</w:t>
      </w:r>
      <w:r>
        <w:rPr>
          <w:rFonts w:ascii="Arial" w:cs="Arial" w:eastAsia="Arial" w:hAnsi="Arial"/>
          <w:sz w:val="17"/>
          <w:szCs w:val="17"/>
          <w:u w:val="single" w:color="auto"/>
          <w:color w:val="0000FF"/>
        </w:rPr>
        <w:t>Loan and Letters of Credit</w:t>
      </w:r>
      <w:r>
        <w:rPr>
          <w:rFonts w:ascii="Arial" w:cs="Arial" w:eastAsia="Arial" w:hAnsi="Arial"/>
          <w:sz w:val="17"/>
          <w:szCs w:val="17"/>
          <w:color w:val="auto"/>
        </w:rPr>
        <w:t xml:space="preserve"> and payments in any Alternative Currency or Alternative L/C Currency, the local time in the place of settlement for such Alternative Currency or Alternative L/C Currency as may be determined by the Administrative Agent or the </w:t>
      </w:r>
      <w:r>
        <w:rPr>
          <w:rFonts w:ascii="Arial" w:cs="Arial" w:eastAsia="Arial" w:hAnsi="Arial"/>
          <w:sz w:val="17"/>
          <w:szCs w:val="17"/>
          <w:u w:val="single" w:color="auto"/>
          <w:color w:val="0000FF"/>
        </w:rPr>
        <w:t>applicable</w:t>
      </w:r>
      <w:r>
        <w:rPr>
          <w:rFonts w:ascii="Arial" w:cs="Arial" w:eastAsia="Arial" w:hAnsi="Arial"/>
          <w:sz w:val="17"/>
          <w:szCs w:val="17"/>
          <w:color w:val="auto"/>
        </w:rPr>
        <w:t xml:space="preserve"> Issuing Lender </w:t>
      </w:r>
      <w:r>
        <w:rPr>
          <w:rFonts w:ascii="Arial" w:cs="Arial" w:eastAsia="Arial" w:hAnsi="Arial"/>
          <w:sz w:val="17"/>
          <w:szCs w:val="17"/>
          <w:u w:val="single" w:color="auto"/>
          <w:color w:val="0000FF"/>
        </w:rPr>
        <w:t>(with notice to the Administrative Agent)</w:t>
      </w:r>
      <w:r>
        <w:rPr>
          <w:rFonts w:ascii="Arial" w:cs="Arial" w:eastAsia="Arial" w:hAnsi="Arial"/>
          <w:sz w:val="17"/>
          <w:szCs w:val="17"/>
          <w:color w:val="auto"/>
        </w:rPr>
        <w:t>, as the case may be, to be necessary for timely settlement on the relevant date in accordance with normal banking procedures in the place of payment.</w:t>
      </w:r>
    </w:p>
    <w:p>
      <w:pPr>
        <w:spacing w:after="0" w:line="17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200" w:firstLine="440"/>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Wells Fargo Securities, LLC, JPMorgan Chase Bank, N.A., PNC Capital Markets LLC and RBC Capital Markets</w:t>
      </w:r>
      <w:r>
        <w:rPr>
          <w:rFonts w:ascii="Arial" w:cs="Arial" w:eastAsia="Arial" w:hAnsi="Arial"/>
          <w:sz w:val="18"/>
          <w:szCs w:val="18"/>
          <w:color w:val="FF0000"/>
          <w:strike w:val="1"/>
        </w:rPr>
        <w:t>*</w:t>
      </w:r>
      <w:r>
        <w:rPr>
          <w:rFonts w:ascii="Arial" w:cs="Arial" w:eastAsia="Arial" w:hAnsi="Arial"/>
          <w:sz w:val="23"/>
          <w:szCs w:val="23"/>
          <w:u w:val="single" w:color="auto"/>
          <w:color w:val="0000FF"/>
          <w:vertAlign w:val="superscript"/>
        </w:rPr>
        <w:t>2</w:t>
      </w:r>
      <w:r>
        <w:rPr>
          <w:rFonts w:ascii="Arial" w:cs="Arial" w:eastAsia="Arial" w:hAnsi="Arial"/>
          <w:sz w:val="18"/>
          <w:szCs w:val="18"/>
          <w:color w:val="auto"/>
        </w:rPr>
        <w:t>, each in their capacity as a joint lead arranger and joint bookrunner.</w:t>
      </w:r>
    </w:p>
    <w:p>
      <w:pPr>
        <w:spacing w:after="0" w:line="20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and accepted by the Administrative Agent, in substantially the form attached as </w:t>
      </w:r>
      <w:r>
        <w:rPr>
          <w:rFonts w:ascii="Arial" w:cs="Arial" w:eastAsia="Arial" w:hAnsi="Arial"/>
          <w:sz w:val="18"/>
          <w:szCs w:val="18"/>
          <w:b w:val="1"/>
          <w:bCs w:val="1"/>
          <w:i w:val="1"/>
          <w:iCs w:val="1"/>
          <w:color w:val="auto"/>
        </w:rPr>
        <w:t>Exhibit G</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Capitalized Lease and (c) all Synthetic Debt of such Person.</w:t>
      </w:r>
    </w:p>
    <w:p>
      <w:pPr>
        <w:spacing w:after="0" w:line="15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 December 31, 2017, and the related consolidated statements of income or operations, shareholders’ equity and cash flows for such fiscal year of the Borrower and its Subsidiaries, including the notes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AV7909</w:t>
      </w:r>
      <w:r>
        <w:rPr>
          <w:rFonts w:ascii="Arial" w:cs="Arial" w:eastAsia="Arial" w:hAnsi="Arial"/>
          <w:sz w:val="18"/>
          <w:szCs w:val="18"/>
          <w:color w:val="auto"/>
        </w:rPr>
        <w:t>” means anthrax vaccine absorbed with CPG 7909 adjuvant.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AV7909 Contract</w:t>
      </w:r>
      <w:r>
        <w:rPr>
          <w:rFonts w:ascii="Arial" w:cs="Arial" w:eastAsia="Arial" w:hAnsi="Arial"/>
          <w:sz w:val="18"/>
          <w:szCs w:val="18"/>
          <w:color w:val="auto"/>
        </w:rPr>
        <w:t>” means the provisions relating to the manufacturing development and procurement of AV7909 set forth in that certain BARDA development and procurement contract (Contract No. HHSO100201600030C), effective September 30, 2016, between Emergent Product Development Gaithersburg Inc. and the Biomedical Advanced Research &amp; Development Administration, as the same may be amended, restated, supplemented, replaced, substituted for, renewed, or otherwise modified from time to time.</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AV7909 Receivables Account</w:t>
      </w:r>
      <w:r>
        <w:rPr>
          <w:rFonts w:ascii="Arial" w:cs="Arial" w:eastAsia="Arial" w:hAnsi="Arial"/>
          <w:sz w:val="18"/>
          <w:szCs w:val="18"/>
          <w:color w:val="auto"/>
        </w:rPr>
        <w:t>” means any account in which payments from the Federal Government (or any subdivision or agency thereof) on account of the AV7909 Contract are made or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715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FF0000"/>
          <w:strike w:val="1"/>
        </w:rPr>
        <w:t>*</w:t>
      </w:r>
      <w:r>
        <w:rPr>
          <w:rFonts w:ascii="Arial" w:cs="Arial" w:eastAsia="Arial" w:hAnsi="Arial"/>
          <w:sz w:val="26"/>
          <w:szCs w:val="26"/>
          <w:color w:val="0000FF"/>
          <w:vertAlign w:val="superscript"/>
        </w:rPr>
        <w:t>2</w:t>
      </w:r>
      <w:r>
        <w:rPr>
          <w:sz w:val="20"/>
          <w:szCs w:val="20"/>
          <w:color w:val="auto"/>
        </w:rPr>
        <w:tab/>
      </w:r>
      <w:r>
        <w:rPr>
          <w:rFonts w:ascii="Arial" w:cs="Arial" w:eastAsia="Arial" w:hAnsi="Arial"/>
          <w:sz w:val="16"/>
          <w:szCs w:val="16"/>
          <w:color w:val="auto"/>
        </w:rPr>
        <w:t>RBC Capital Markets is a brand name for the capital markets businesses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-34290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-68580</wp:posOffset>
            </wp:positionV>
            <wp:extent cx="71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55" cy="8255"/>
                    </a:xfrm>
                    <a:prstGeom prst="rect">
                      <a:avLst/>
                    </a:prstGeom>
                    <a:noFill/>
                  </pic:spPr>
                </pic:pic>
              </a:graphicData>
            </a:graphic>
          </wp:anchor>
        </w:drawing>
      </w:r>
    </w:p>
    <w:p>
      <w:pPr>
        <w:spacing w:after="0" w:line="3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490" w:right="479" w:bottom="1440" w:gutter="0" w:footer="0" w:header="0"/>
        </w:sectPr>
      </w:pPr>
    </w:p>
    <w:bookmarkStart w:id="52" w:name="page53"/>
    <w:bookmarkEnd w:id="52"/>
    <w:p>
      <w:pPr>
        <w:ind w:firstLine="440"/>
        <w:spacing w:after="0" w:line="255"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“Available Tenor</w:t>
      </w:r>
      <w:r>
        <w:rPr>
          <w:rFonts w:ascii="Arial" w:cs="Arial" w:eastAsia="Arial" w:hAnsi="Arial"/>
          <w:sz w:val="18"/>
          <w:szCs w:val="18"/>
          <w:u w:val="single" w:color="auto"/>
          <w:color w:val="008000"/>
        </w:rPr>
        <w:t>” means, as of any date of determination</w:t>
      </w:r>
      <w:r>
        <w:rPr>
          <w:rFonts w:ascii="Arial" w:cs="Arial" w:eastAsia="Arial" w:hAnsi="Arial"/>
          <w:sz w:val="18"/>
          <w:szCs w:val="18"/>
          <w:u w:val="single" w:color="auto"/>
          <w:color w:val="0000FF"/>
        </w:rPr>
        <w:t xml:space="preserve">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5.8(c)(iv).</w:t>
      </w:r>
    </w:p>
    <w:p>
      <w:pPr>
        <w:spacing w:after="0" w:line="19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xml:space="preserve">” means the exercise of any Write-Down and Conversion Powers by the applicable </w:t>
      </w:r>
      <w:r>
        <w:rPr>
          <w:rFonts w:ascii="Arial" w:cs="Arial" w:eastAsia="Arial" w:hAnsi="Arial"/>
          <w:sz w:val="18"/>
          <w:szCs w:val="18"/>
          <w:color w:val="FF0000"/>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11 U.S.C. §§ 101 </w:t>
      </w:r>
      <w:r>
        <w:rPr>
          <w:rFonts w:ascii="Arial" w:cs="Arial" w:eastAsia="Arial" w:hAnsi="Arial"/>
          <w:sz w:val="18"/>
          <w:szCs w:val="18"/>
          <w:i w:val="1"/>
          <w:iCs w:val="1"/>
          <w:color w:val="auto"/>
        </w:rPr>
        <w:t>et seq</w:t>
      </w:r>
      <w:r>
        <w:rPr>
          <w:rFonts w:ascii="Arial" w:cs="Arial" w:eastAsia="Arial" w:hAnsi="Arial"/>
          <w:sz w:val="18"/>
          <w:szCs w:val="18"/>
          <w:color w:val="auto"/>
        </w:rPr>
        <w:t>.</w:t>
      </w:r>
      <w:r>
        <w:rPr>
          <w:rFonts w:ascii="Arial" w:cs="Arial" w:eastAsia="Arial" w:hAnsi="Arial"/>
          <w:sz w:val="18"/>
          <w:szCs w:val="18"/>
          <w:color w:val="FF0000"/>
          <w:strike w:val="1"/>
        </w:rPr>
        <w:t>ss.</w:t>
      </w:r>
    </w:p>
    <w:p>
      <w:pPr>
        <w:spacing w:after="0" w:line="22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BARDA Contract</w:t>
      </w:r>
      <w:r>
        <w:rPr>
          <w:rFonts w:ascii="Arial" w:cs="Arial" w:eastAsia="Arial" w:hAnsi="Arial"/>
          <w:sz w:val="18"/>
          <w:szCs w:val="18"/>
          <w:color w:val="auto"/>
        </w:rPr>
        <w:t>” means that certain ASPR-BARDA (Contract No. HHSO100201700007C), effective March 16, 2017, between Emergent BioDefense Operations Lansing LLC and HHS / OS / ASPR / BARDA, as the same may be amended, restated, supplemented as otherwise modified from time to time.</w:t>
      </w:r>
    </w:p>
    <w:p>
      <w:pPr>
        <w:spacing w:after="0" w:line="184"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at any time, the highest of (a) the Prime Rate, (b)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 and (c) </w:t>
      </w:r>
      <w:r>
        <w:rPr>
          <w:rFonts w:ascii="Arial" w:cs="Arial" w:eastAsia="Arial" w:hAnsi="Arial"/>
          <w:sz w:val="16"/>
          <w:szCs w:val="16"/>
          <w:color w:val="FF0000"/>
          <w:strike w:val="1"/>
        </w:rPr>
        <w:t>the Eurocurrency Rate for</w:t>
      </w:r>
      <w:r>
        <w:rPr>
          <w:rFonts w:ascii="Arial" w:cs="Arial" w:eastAsia="Arial" w:hAnsi="Arial"/>
          <w:sz w:val="16"/>
          <w:szCs w:val="16"/>
          <w:color w:val="auto"/>
        </w:rPr>
        <w:t xml:space="preserve"> </w:t>
      </w:r>
      <w:r>
        <w:rPr>
          <w:rFonts w:ascii="Arial" w:cs="Arial" w:eastAsia="Arial" w:hAnsi="Arial"/>
          <w:sz w:val="16"/>
          <w:szCs w:val="16"/>
          <w:color w:val="008000"/>
          <w:strike w:val="1"/>
        </w:rPr>
        <w:t>an</w:t>
      </w:r>
      <w:r>
        <w:rPr>
          <w:rFonts w:ascii="Arial" w:cs="Arial" w:eastAsia="Arial" w:hAnsi="Arial"/>
          <w:sz w:val="16"/>
          <w:szCs w:val="16"/>
          <w:color w:val="auto"/>
        </w:rPr>
        <w:t xml:space="preserve"> </w:t>
      </w:r>
      <w:r>
        <w:rPr>
          <w:rFonts w:ascii="Arial" w:cs="Arial" w:eastAsia="Arial" w:hAnsi="Arial"/>
          <w:sz w:val="16"/>
          <w:szCs w:val="16"/>
          <w:color w:val="008000"/>
          <w:strike w:val="1"/>
        </w:rPr>
        <w:t>Interest Period of one month</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Adjusted Term SOFR for a one-month tenor in effect on such day</w:t>
      </w:r>
      <w:r>
        <w:rPr>
          <w:rFonts w:ascii="Arial" w:cs="Arial" w:eastAsia="Arial" w:hAnsi="Arial"/>
          <w:sz w:val="16"/>
          <w:szCs w:val="16"/>
          <w:color w:val="008000"/>
        </w:rPr>
        <w:t xml:space="preserve"> </w:t>
      </w:r>
      <w:r>
        <w:rPr>
          <w:rFonts w:ascii="Arial" w:cs="Arial" w:eastAsia="Arial" w:hAnsi="Arial"/>
          <w:sz w:val="16"/>
          <w:szCs w:val="16"/>
          <w:u w:val="single" w:color="auto"/>
          <w:color w:val="000000"/>
        </w:rPr>
        <w:t>plus</w:t>
      </w:r>
      <w:r>
        <w:rPr>
          <w:rFonts w:ascii="Arial" w:cs="Arial" w:eastAsia="Arial" w:hAnsi="Arial"/>
          <w:sz w:val="16"/>
          <w:szCs w:val="16"/>
          <w:color w:val="008000"/>
        </w:rPr>
        <w:t xml:space="preserve"> </w:t>
      </w:r>
      <w:r>
        <w:rPr>
          <w:rFonts w:ascii="Arial" w:cs="Arial" w:eastAsia="Arial" w:hAnsi="Arial"/>
          <w:sz w:val="16"/>
          <w:szCs w:val="16"/>
          <w:color w:val="000000"/>
        </w:rPr>
        <w:t>1%; each change in the Base Rate shall take effect</w:t>
      </w:r>
      <w:r>
        <w:rPr>
          <w:rFonts w:ascii="Arial" w:cs="Arial" w:eastAsia="Arial" w:hAnsi="Arial"/>
          <w:sz w:val="16"/>
          <w:szCs w:val="16"/>
          <w:color w:val="008000"/>
        </w:rPr>
        <w:t xml:space="preserve"> </w:t>
      </w:r>
      <w:r>
        <w:rPr>
          <w:rFonts w:ascii="Arial" w:cs="Arial" w:eastAsia="Arial" w:hAnsi="Arial"/>
          <w:sz w:val="16"/>
          <w:szCs w:val="16"/>
          <w:color w:val="000000"/>
        </w:rPr>
        <w:t xml:space="preserve">simultaneously with the corresponding change or changes in the Prime Rate, the Federal Funds Rate or </w:t>
      </w:r>
      <w:r>
        <w:rPr>
          <w:rFonts w:ascii="Arial" w:cs="Arial" w:eastAsia="Arial" w:hAnsi="Arial"/>
          <w:sz w:val="16"/>
          <w:szCs w:val="16"/>
          <w:color w:val="FF0000"/>
          <w:strike w:val="1"/>
        </w:rPr>
        <w:t>the Eurocurrency Rate</w:t>
      </w:r>
      <w:r>
        <w:rPr>
          <w:rFonts w:ascii="Arial" w:cs="Arial" w:eastAsia="Arial" w:hAnsi="Arial"/>
          <w:sz w:val="16"/>
          <w:szCs w:val="16"/>
          <w:u w:val="single" w:color="auto"/>
          <w:color w:val="0000FF"/>
        </w:rPr>
        <w:t>Adjusted Term SOFR, as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applicable</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u w:val="single" w:color="auto"/>
          <w:color w:val="000000"/>
        </w:rPr>
        <w:t>provided</w:t>
      </w:r>
      <w:r>
        <w:rPr>
          <w:rFonts w:ascii="Arial" w:cs="Arial" w:eastAsia="Arial" w:hAnsi="Arial"/>
          <w:sz w:val="16"/>
          <w:szCs w:val="16"/>
          <w:color w:val="0000FF"/>
        </w:rPr>
        <w:t xml:space="preserve"> </w:t>
      </w:r>
      <w:r>
        <w:rPr>
          <w:rFonts w:ascii="Arial" w:cs="Arial" w:eastAsia="Arial" w:hAnsi="Arial"/>
          <w:sz w:val="16"/>
          <w:szCs w:val="16"/>
          <w:color w:val="000000"/>
        </w:rPr>
        <w:t>that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clause (c)</w:t>
      </w:r>
      <w:r>
        <w:rPr>
          <w:rFonts w:ascii="Arial" w:cs="Arial" w:eastAsia="Arial" w:hAnsi="Arial"/>
          <w:sz w:val="16"/>
          <w:szCs w:val="16"/>
          <w:color w:val="0000FF"/>
        </w:rPr>
        <w:t xml:space="preserve"> </w:t>
      </w:r>
      <w:r>
        <w:rPr>
          <w:rFonts w:ascii="Arial" w:cs="Arial" w:eastAsia="Arial" w:hAnsi="Arial"/>
          <w:sz w:val="16"/>
          <w:szCs w:val="16"/>
          <w:color w:val="000000"/>
        </w:rPr>
        <w:t>shall not be applicable during any period in which</w:t>
      </w:r>
      <w:r>
        <w:rPr>
          <w:rFonts w:ascii="Arial" w:cs="Arial" w:eastAsia="Arial" w:hAnsi="Arial"/>
          <w:sz w:val="16"/>
          <w:szCs w:val="16"/>
          <w:color w:val="0000FF"/>
        </w:rPr>
        <w:t xml:space="preserve"> </w:t>
      </w:r>
      <w:r>
        <w:rPr>
          <w:rFonts w:ascii="Arial" w:cs="Arial" w:eastAsia="Arial" w:hAnsi="Arial"/>
          <w:sz w:val="16"/>
          <w:szCs w:val="16"/>
          <w:color w:val="FF0000"/>
          <w:strike w:val="1"/>
        </w:rPr>
        <w:t>the Eurocurrency Rate</w:t>
      </w:r>
      <w:r>
        <w:rPr>
          <w:rFonts w:ascii="Arial" w:cs="Arial" w:eastAsia="Arial" w:hAnsi="Arial"/>
          <w:sz w:val="16"/>
          <w:szCs w:val="16"/>
          <w:u w:val="single" w:color="auto"/>
          <w:color w:val="0000FF"/>
        </w:rPr>
        <w:t>Adjusted Term SOFR</w:t>
      </w:r>
      <w:r>
        <w:rPr>
          <w:rFonts w:ascii="Arial" w:cs="Arial" w:eastAsia="Arial" w:hAnsi="Arial"/>
          <w:sz w:val="16"/>
          <w:szCs w:val="16"/>
          <w:color w:val="0000FF"/>
        </w:rPr>
        <w:t xml:space="preserve"> </w:t>
      </w:r>
      <w:r>
        <w:rPr>
          <w:rFonts w:ascii="Arial" w:cs="Arial" w:eastAsia="Arial" w:hAnsi="Arial"/>
          <w:sz w:val="16"/>
          <w:szCs w:val="16"/>
          <w:color w:val="000000"/>
        </w:rPr>
        <w:t>is unavailable or</w:t>
      </w:r>
      <w:r>
        <w:rPr>
          <w:rFonts w:ascii="Arial" w:cs="Arial" w:eastAsia="Arial" w:hAnsi="Arial"/>
          <w:sz w:val="16"/>
          <w:szCs w:val="16"/>
          <w:color w:val="0000FF"/>
        </w:rPr>
        <w:t xml:space="preserve"> </w:t>
      </w:r>
      <w:r>
        <w:rPr>
          <w:rFonts w:ascii="Arial" w:cs="Arial" w:eastAsia="Arial" w:hAnsi="Arial"/>
          <w:sz w:val="16"/>
          <w:szCs w:val="16"/>
          <w:color w:val="000000"/>
        </w:rPr>
        <w:t xml:space="preserve">unascertainable). Notwithstanding the foregoing, in no event shall the Base Rate be less than </w:t>
      </w:r>
      <w:r>
        <w:rPr>
          <w:rFonts w:ascii="Arial" w:cs="Arial" w:eastAsia="Arial" w:hAnsi="Arial"/>
          <w:sz w:val="16"/>
          <w:szCs w:val="16"/>
          <w:color w:val="FF0000"/>
          <w:strike w:val="1"/>
        </w:rPr>
        <w:t>0</w:t>
      </w:r>
      <w:r>
        <w:rPr>
          <w:rFonts w:ascii="Arial" w:cs="Arial" w:eastAsia="Arial" w:hAnsi="Arial"/>
          <w:sz w:val="16"/>
          <w:szCs w:val="16"/>
          <w:u w:val="single" w:color="auto"/>
          <w:color w:val="0000FF"/>
        </w:rPr>
        <w:t>1</w:t>
      </w:r>
      <w:r>
        <w:rPr>
          <w:rFonts w:ascii="Arial" w:cs="Arial" w:eastAsia="Arial" w:hAnsi="Arial"/>
          <w:sz w:val="16"/>
          <w:szCs w:val="16"/>
          <w:color w:val="000000"/>
        </w:rPr>
        <w:t>.00% per annum.</w:t>
      </w:r>
    </w:p>
    <w:p>
      <w:pPr>
        <w:spacing w:after="0" w:line="16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means any Loan bearing interest at a rate based upon the Base Rate as provided in </w:t>
      </w:r>
      <w:r>
        <w:rPr>
          <w:rFonts w:ascii="Arial" w:cs="Arial" w:eastAsia="Arial" w:hAnsi="Arial"/>
          <w:sz w:val="18"/>
          <w:szCs w:val="18"/>
          <w:u w:val="single" w:color="auto"/>
          <w:color w:val="auto"/>
        </w:rPr>
        <w:t>Section 5.1(a)</w:t>
      </w:r>
      <w:r>
        <w:rPr>
          <w:rFonts w:ascii="Arial" w:cs="Arial" w:eastAsia="Arial" w:hAnsi="Arial"/>
          <w:sz w:val="18"/>
          <w:szCs w:val="18"/>
          <w:color w:val="auto"/>
        </w:rPr>
        <w:t>. All Base Rate Loans shall be denominated in Dollars.</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0000FF"/>
        </w:rPr>
        <w:t>“Benchmark” means, initially, with respect to any (a) Obligations, interest, fees, commissions or other amounts denominated in, or calculated with respect to, Dollars, the Term SOFR Reference Rate; provided that if a Benchmark Transition Event has occurred with respect to the Term SOFR Reference Rate or then-current Benchmark for Dollars, then “Benchmark” means, with respect to such Obligations, interest, fees, commissions or other amounts, the applicable Benchmark Replacement to the extent that such Benchmark Replacement has replaced such prior benchmark rate pursuant to Section 5.8(c)(i), (b) Obligations, interest, fees, commissions or other amounts denominated in, or calculated with respect to, Sterling, Daily Simple SONIA; provided that if a Benchmark Transition Event has occurred with respect to Daily Simple SONIA or the then-current Benchmark for Sterling, then “Benchmark” means, with respect to such Obligations, interest, fees, commissions or other amounts, the applicable Benchmark Replacement to the extent that such Benchmark Replacement has replaced such prior benchmark rate pursuant to Section 5.8(c)(i), and (c) Obligations, interest, fees, commissions or other amounts denominated in, or calculated with respect to, Euros or Canadian Dollars, EURIBOR or CDOR, respectively; provided that if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490" w:right="479" w:bottom="1440" w:gutter="0" w:footer="0" w:header="0"/>
        </w:sectPr>
      </w:pPr>
    </w:p>
    <w:bookmarkStart w:id="53" w:name="page54"/>
    <w:bookmarkEnd w:id="53"/>
    <w:p>
      <w:pPr>
        <w:ind w:left="4" w:right="240"/>
        <w:spacing w:after="0" w:line="286"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Benchmark Transition Event has occurred with respect to EURIBOR or CDOR,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Section 5.8(c)(i).</w:t>
      </w:r>
    </w:p>
    <w:p>
      <w:pPr>
        <w:spacing w:after="0" w:line="16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u w:val="single" w:color="auto"/>
          <w:color w:val="0000FF"/>
        </w:rPr>
        <w:t>“Benchmark Replacement” means, with respect to any Benchmark Transition Event for any then-current Benchmark, the sum of: (a) the alternate benchmark rate that has been selected by the Administrative Agent and the Borrower as the replacement for such Benchmark giving due consideration to</w:t>
      </w:r>
    </w:p>
    <w:p>
      <w:pPr>
        <w:ind w:left="4" w:hanging="4"/>
        <w:spacing w:after="0" w:line="253" w:lineRule="auto"/>
        <w:tabs>
          <w:tab w:leader="none" w:pos="219" w:val="left"/>
        </w:tabs>
        <w:numPr>
          <w:ilvl w:val="0"/>
          <w:numId w:val="2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provided that, if such Benchmark Replacement as so determined would be less than the Floor, such Benchmark Replacement will be deemed to be the Floor for the purposes of</w:t>
      </w:r>
      <w:r>
        <w:rPr>
          <w:rFonts w:ascii="Arial" w:cs="Arial" w:eastAsia="Arial" w:hAnsi="Arial"/>
          <w:sz w:val="18"/>
          <w:szCs w:val="18"/>
          <w:color w:val="0000FF"/>
        </w:rPr>
        <w:t xml:space="preserve"> </w:t>
      </w:r>
      <w:r>
        <w:rPr>
          <w:rFonts w:ascii="Arial" w:cs="Arial" w:eastAsia="Arial" w:hAnsi="Arial"/>
          <w:sz w:val="18"/>
          <w:szCs w:val="18"/>
          <w:color w:val="008000"/>
        </w:rPr>
        <w:t>this Agreement and the other Loan Documents</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-6350</wp:posOffset>
            </wp:positionV>
            <wp:extent cx="21602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-31750</wp:posOffset>
            </wp:positionV>
            <wp:extent cx="2160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60905" cy="8255"/>
                    </a:xfrm>
                    <a:prstGeom prst="rect">
                      <a:avLst/>
                    </a:prstGeom>
                    <a:noFill/>
                  </pic:spPr>
                </pic:pic>
              </a:graphicData>
            </a:graphic>
          </wp:anchor>
        </w:drawing>
      </w:r>
    </w:p>
    <w:p>
      <w:pPr>
        <w:spacing w:after="0" w:line="171"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u w:val="single" w:color="auto"/>
          <w:color w:val="0000FF"/>
        </w:rPr>
        <w:t>“Benchmark Replacement Adjustment”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0000FF"/>
        </w:rPr>
        <w:t>“Benchmark Replacement Date” means the earliest to occur of the following events with respect to the then-current Benchmark for any Currency:</w:t>
      </w:r>
    </w:p>
    <w:p>
      <w:pPr>
        <w:spacing w:after="0" w:line="140" w:lineRule="exact"/>
        <w:rPr>
          <w:sz w:val="20"/>
          <w:szCs w:val="20"/>
          <w:color w:val="auto"/>
        </w:rPr>
      </w:pPr>
    </w:p>
    <w:p>
      <w:pPr>
        <w:ind w:left="4" w:right="80" w:firstLine="436"/>
        <w:spacing w:after="0" w:line="286" w:lineRule="auto"/>
        <w:tabs>
          <w:tab w:leader="none" w:pos="689" w:val="left"/>
        </w:tabs>
        <w:numPr>
          <w:ilvl w:val="0"/>
          <w:numId w:val="2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57" w:lineRule="exact"/>
        <w:rPr>
          <w:rFonts w:ascii="Arial" w:cs="Arial" w:eastAsia="Arial" w:hAnsi="Arial"/>
          <w:sz w:val="17"/>
          <w:szCs w:val="17"/>
          <w:u w:val="single" w:color="auto"/>
          <w:color w:val="0000FF"/>
        </w:rPr>
      </w:pPr>
    </w:p>
    <w:p>
      <w:pPr>
        <w:ind w:left="4" w:right="160" w:firstLine="436"/>
        <w:spacing w:after="0" w:line="257" w:lineRule="auto"/>
        <w:tabs>
          <w:tab w:leader="none" w:pos="699" w:val="left"/>
        </w:tabs>
        <w:numPr>
          <w:ilvl w:val="0"/>
          <w:numId w:val="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w:t>
      </w:r>
      <w:r>
        <w:rPr>
          <w:rFonts w:ascii="Arial" w:cs="Arial" w:eastAsia="Arial" w:hAnsi="Arial"/>
          <w:sz w:val="18"/>
          <w:szCs w:val="18"/>
          <w:color w:val="0000FF"/>
        </w:rPr>
        <w:t xml:space="preserve"> </w:t>
      </w:r>
      <w:r>
        <w:rPr>
          <w:rFonts w:ascii="Arial" w:cs="Arial" w:eastAsia="Arial" w:hAnsi="Arial"/>
          <w:sz w:val="18"/>
          <w:szCs w:val="18"/>
          <w:color w:val="008000"/>
        </w:rPr>
        <w:t>be determined by reference to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most recent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statement or publication referenced in such clause (c) 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-282575</wp:posOffset>
            </wp:positionV>
            <wp:extent cx="15862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86230"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-307975</wp:posOffset>
            </wp:positionV>
            <wp:extent cx="1589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89405" cy="8890"/>
                    </a:xfrm>
                    <a:prstGeom prst="rect">
                      <a:avLst/>
                    </a:prstGeom>
                    <a:noFill/>
                  </pic:spPr>
                </pic:pic>
              </a:graphicData>
            </a:graphic>
          </wp:anchor>
        </w:drawing>
      </w:r>
    </w:p>
    <w:p>
      <w:pPr>
        <w:spacing w:after="0" w:line="168"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u w:val="single" w:color="auto"/>
          <w:color w:val="0000FF"/>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4"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u w:val="single" w:color="auto"/>
          <w:color w:val="0000FF"/>
        </w:rPr>
        <w:t>“Benchmark Transition Event” means, with respect to the then-current Benchmark for any Currency, the occurrence of one or more of the following events with respect to such Benchmark:</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490" w:right="459" w:bottom="1440" w:gutter="0" w:footer="0" w:header="0"/>
        </w:sectPr>
      </w:pPr>
    </w:p>
    <w:bookmarkStart w:id="54" w:name="page55"/>
    <w:bookmarkEnd w:id="54"/>
    <w:p>
      <w:pPr>
        <w:ind w:left="4" w:right="40" w:firstLine="436"/>
        <w:spacing w:after="0" w:line="259" w:lineRule="auto"/>
        <w:tabs>
          <w:tab w:leader="none" w:pos="689" w:val="left"/>
        </w:tabs>
        <w:numPr>
          <w:ilvl w:val="0"/>
          <w:numId w:val="2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8" w:lineRule="exact"/>
        <w:rPr>
          <w:rFonts w:ascii="Arial" w:cs="Arial" w:eastAsia="Arial" w:hAnsi="Arial"/>
          <w:sz w:val="18"/>
          <w:szCs w:val="18"/>
          <w:u w:val="single" w:color="auto"/>
          <w:color w:val="0000FF"/>
        </w:rPr>
      </w:pPr>
    </w:p>
    <w:p>
      <w:pPr>
        <w:ind w:left="4" w:firstLine="436"/>
        <w:spacing w:after="0" w:line="254" w:lineRule="auto"/>
        <w:tabs>
          <w:tab w:leader="none" w:pos="699" w:val="left"/>
        </w:tabs>
        <w:numPr>
          <w:ilvl w:val="0"/>
          <w:numId w:val="2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83" w:lineRule="exact"/>
        <w:rPr>
          <w:rFonts w:ascii="Arial" w:cs="Arial" w:eastAsia="Arial" w:hAnsi="Arial"/>
          <w:sz w:val="18"/>
          <w:szCs w:val="18"/>
          <w:u w:val="single" w:color="auto"/>
          <w:color w:val="0000FF"/>
        </w:rPr>
      </w:pPr>
    </w:p>
    <w:p>
      <w:pPr>
        <w:ind w:left="4" w:right="420" w:firstLine="436"/>
        <w:spacing w:after="0" w:line="263" w:lineRule="auto"/>
        <w:tabs>
          <w:tab w:leader="none" w:pos="689" w:val="left"/>
        </w:tabs>
        <w:numPr>
          <w:ilvl w:val="0"/>
          <w:numId w:val="2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4"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u w:val="single" w:color="auto"/>
          <w:color w:val="0000FF"/>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left="4" w:right="140" w:firstLine="440"/>
        <w:spacing w:after="0" w:line="266" w:lineRule="auto"/>
        <w:rPr>
          <w:sz w:val="20"/>
          <w:szCs w:val="20"/>
          <w:color w:val="auto"/>
        </w:rPr>
      </w:pPr>
      <w:r>
        <w:rPr>
          <w:rFonts w:ascii="Arial" w:cs="Arial" w:eastAsia="Arial" w:hAnsi="Arial"/>
          <w:sz w:val="16"/>
          <w:szCs w:val="16"/>
          <w:u w:val="single" w:color="auto"/>
          <w:color w:val="0000FF"/>
        </w:rPr>
        <w:t>“Benchmark Transition Start Date” means, with respect to any Benchmark for any Currency, in the case of a Benchmark Transition Event, the earlier of (a) the applicable Benchmark Replacement Date and (b) if such Benchmark Transition Event is a public statement or publication of information of a prospective event, the 90</w:t>
      </w:r>
      <w:r>
        <w:rPr>
          <w:rFonts w:ascii="Arial" w:cs="Arial" w:eastAsia="Arial" w:hAnsi="Arial"/>
          <w:sz w:val="23"/>
          <w:szCs w:val="23"/>
          <w:u w:val="single" w:color="auto"/>
          <w:color w:val="0000FF"/>
          <w:vertAlign w:val="superscript"/>
        </w:rPr>
        <w:t>th</w:t>
      </w:r>
      <w:r>
        <w:rPr>
          <w:rFonts w:ascii="Arial" w:cs="Arial" w:eastAsia="Arial" w:hAnsi="Arial"/>
          <w:sz w:val="16"/>
          <w:szCs w:val="16"/>
          <w:u w:val="single" w:color="auto"/>
          <w:color w:val="0000FF"/>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5" w:lineRule="exact"/>
        <w:rPr>
          <w:sz w:val="20"/>
          <w:szCs w:val="20"/>
          <w:color w:val="auto"/>
        </w:rPr>
      </w:pPr>
    </w:p>
    <w:p>
      <w:pPr>
        <w:jc w:val="both"/>
        <w:ind w:left="4" w:right="100" w:firstLine="440"/>
        <w:spacing w:after="0" w:line="287" w:lineRule="auto"/>
        <w:rPr>
          <w:sz w:val="20"/>
          <w:szCs w:val="20"/>
          <w:color w:val="auto"/>
        </w:rPr>
      </w:pPr>
      <w:r>
        <w:rPr>
          <w:rFonts w:ascii="Arial" w:cs="Arial" w:eastAsia="Arial" w:hAnsi="Arial"/>
          <w:sz w:val="16"/>
          <w:szCs w:val="16"/>
          <w:u w:val="single" w:color="auto"/>
          <w:color w:val="0000FF"/>
        </w:rPr>
        <w:t>“Benchmark Unavailability Period” 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Loan Document</w:t>
      </w:r>
      <w:r>
        <w:rPr>
          <w:rFonts w:ascii="Arial" w:cs="Arial" w:eastAsia="Arial" w:hAnsi="Arial"/>
          <w:sz w:val="16"/>
          <w:szCs w:val="16"/>
          <w:color w:val="0000FF"/>
        </w:rPr>
        <w:t xml:space="preserve"> </w:t>
      </w:r>
      <w:r>
        <w:rPr>
          <w:rFonts w:ascii="Arial" w:cs="Arial" w:eastAsia="Arial" w:hAnsi="Arial"/>
          <w:sz w:val="16"/>
          <w:szCs w:val="16"/>
          <w:color w:val="008000"/>
        </w:rPr>
        <w:t>in accordance with Section 5.8(c)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5349240</wp:posOffset>
            </wp:positionH>
            <wp:positionV relativeFrom="paragraph">
              <wp:posOffset>1270</wp:posOffset>
            </wp:positionV>
            <wp:extent cx="15601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60195" cy="88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-23495</wp:posOffset>
            </wp:positionV>
            <wp:extent cx="15608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60830" cy="8255"/>
                    </a:xfrm>
                    <a:prstGeom prst="rect">
                      <a:avLst/>
                    </a:prstGeom>
                    <a:noFill/>
                  </pic:spPr>
                </pic:pic>
              </a:graphicData>
            </a:graphic>
          </wp:anchor>
        </w:drawing>
      </w:r>
    </w:p>
    <w:p>
      <w:pPr>
        <w:ind w:left="4" w:right="40" w:hanging="4"/>
        <w:spacing w:after="0" w:line="260" w:lineRule="auto"/>
        <w:tabs>
          <w:tab w:leader="none" w:pos="219" w:val="left"/>
        </w:tabs>
        <w:numPr>
          <w:ilvl w:val="0"/>
          <w:numId w:val="2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and (y) ending at the time that a Benchmark Replacement has replaced such Benchmark for all purposes hereunder and under any Loan Document</w:t>
      </w:r>
      <w:r>
        <w:rPr>
          <w:rFonts w:ascii="Arial" w:cs="Arial" w:eastAsia="Arial" w:hAnsi="Arial"/>
          <w:sz w:val="18"/>
          <w:szCs w:val="18"/>
          <w:color w:val="0000FF"/>
        </w:rPr>
        <w:t xml:space="preserve"> </w:t>
      </w:r>
      <w:r>
        <w:rPr>
          <w:rFonts w:ascii="Arial" w:cs="Arial" w:eastAsia="Arial" w:hAnsi="Arial"/>
          <w:sz w:val="18"/>
          <w:szCs w:val="18"/>
          <w:color w:val="008000"/>
        </w:rPr>
        <w:t>in</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accordance with Section 5.8(c)</w:t>
      </w:r>
      <w:r>
        <w:rPr>
          <w:rFonts w:ascii="Arial" w:cs="Arial" w:eastAsia="Arial" w:hAnsi="Arial"/>
          <w:sz w:val="18"/>
          <w:szCs w:val="18"/>
          <w:u w:val="single" w:color="auto"/>
          <w:color w:val="0000FF"/>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6831965</wp:posOffset>
            </wp:positionH>
            <wp:positionV relativeFrom="paragraph">
              <wp:posOffset>-146685</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6830695</wp:posOffset>
            </wp:positionH>
            <wp:positionV relativeFrom="paragraph">
              <wp:posOffset>-172720</wp:posOffset>
            </wp:positionV>
            <wp:extent cx="1174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7475" cy="8890"/>
                    </a:xfrm>
                    <a:prstGeom prst="rect">
                      <a:avLst/>
                    </a:prstGeom>
                    <a:noFill/>
                  </pic:spPr>
                </pic:pic>
              </a:graphicData>
            </a:graphic>
          </wp:anchor>
        </w:drawing>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490" w:right="479" w:bottom="1440" w:gutter="0" w:footer="0" w:header="0"/>
        </w:sectPr>
      </w:pPr>
    </w:p>
    <w:bookmarkStart w:id="55" w:name="page56"/>
    <w:bookmarkEnd w:id="55"/>
    <w:p>
      <w:pPr>
        <w:ind w:right="120" w:firstLine="440"/>
        <w:spacing w:after="0" w:line="21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BioThrax</w:t>
      </w:r>
      <w:r>
        <w:rPr>
          <w:rFonts w:ascii="Arial" w:cs="Arial" w:eastAsia="Arial" w:hAnsi="Arial"/>
          <w:sz w:val="18"/>
          <w:szCs w:val="18"/>
          <w:color w:val="auto"/>
        </w:rPr>
        <w:t>” means BioThrax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(Anthrax Vaccine Absorbed), a vaccine indicated for the active immunization for the prevention of disease caused by Bacillus anthracis.</w:t>
      </w:r>
    </w:p>
    <w:p>
      <w:pPr>
        <w:spacing w:after="0" w:line="203"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BioThrax Contract</w:t>
      </w:r>
      <w:r>
        <w:rPr>
          <w:rFonts w:ascii="Arial" w:cs="Arial" w:eastAsia="Arial" w:hAnsi="Arial"/>
          <w:sz w:val="18"/>
          <w:szCs w:val="18"/>
          <w:color w:val="auto"/>
        </w:rPr>
        <w:t>” means that certain CDC BioThrax Procurement Contract (Contract No. 200- 2017- 92634), effective December 8, 2016, between Emergent BioDefense Operations Lansing LLC and the Centers for Disease Control and Prevention, as the same may be amended, restated, supplemented, replaced, substituted for, renewed, or otherwise modified from time to time.</w:t>
      </w:r>
    </w:p>
    <w:p>
      <w:pPr>
        <w:spacing w:after="0" w:line="184" w:lineRule="exact"/>
        <w:rPr>
          <w:sz w:val="20"/>
          <w:szCs w:val="20"/>
          <w:color w:val="auto"/>
        </w:rPr>
      </w:pPr>
    </w:p>
    <w:p>
      <w:pPr>
        <w:ind w:right="5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BioThrax Receivables Account</w:t>
      </w:r>
      <w:r>
        <w:rPr>
          <w:rFonts w:ascii="Arial" w:cs="Arial" w:eastAsia="Arial" w:hAnsi="Arial"/>
          <w:sz w:val="17"/>
          <w:szCs w:val="17"/>
          <w:color w:val="auto"/>
        </w:rPr>
        <w:t>” means that certain deposit account of the Borrower ending –1874 maintained with PNC Bank, National Association (including any successor account thereto or replacement account thereof) and any other account in which payments from the Federal Government (or any subdivision or agency thereof) on account of the BioThrax Contracts are made or deposited.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thereto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w:t>
      </w:r>
      <w:r>
        <w:rPr>
          <w:rFonts w:ascii="Arial" w:cs="Arial" w:eastAsia="Arial" w:hAnsi="Arial"/>
          <w:sz w:val="18"/>
          <w:szCs w:val="18"/>
          <w:color w:val="FF0000"/>
          <w:strike w:val="1"/>
        </w:rPr>
        <w:t>other</w:t>
      </w:r>
      <w:r>
        <w:rPr>
          <w:rFonts w:ascii="Arial" w:cs="Arial" w:eastAsia="Arial" w:hAnsi="Arial"/>
          <w:sz w:val="18"/>
          <w:szCs w:val="18"/>
          <w:color w:val="auto"/>
        </w:rPr>
        <w:t xml:space="preserve"> tha</w:t>
      </w:r>
      <w:r>
        <w:rPr>
          <w:rFonts w:ascii="Arial" w:cs="Arial" w:eastAsia="Arial" w:hAnsi="Arial"/>
          <w:sz w:val="18"/>
          <w:szCs w:val="18"/>
          <w:color w:val="FF0000"/>
          <w:strike w:val="1"/>
        </w:rPr>
        <w:t>n</w:t>
      </w:r>
      <w:r>
        <w:rPr>
          <w:rFonts w:ascii="Arial" w:cs="Arial" w:eastAsia="Arial" w:hAnsi="Arial"/>
          <w:sz w:val="18"/>
          <w:szCs w:val="18"/>
          <w:u w:val="single" w:color="auto"/>
          <w:color w:val="0000FF"/>
        </w:rPr>
        <w:t>t (a) is not</w:t>
      </w:r>
      <w:r>
        <w:rPr>
          <w:rFonts w:ascii="Arial" w:cs="Arial" w:eastAsia="Arial" w:hAnsi="Arial"/>
          <w:sz w:val="18"/>
          <w:szCs w:val="18"/>
          <w:color w:val="auto"/>
        </w:rPr>
        <w:t xml:space="preserve"> a Saturday, Sunday or </w:t>
      </w:r>
      <w:r>
        <w:rPr>
          <w:rFonts w:ascii="Arial" w:cs="Arial" w:eastAsia="Arial" w:hAnsi="Arial"/>
          <w:sz w:val="18"/>
          <w:szCs w:val="18"/>
          <w:color w:val="FF0000"/>
          <w:strike w:val="1"/>
        </w:rPr>
        <w:t>legal holiday on which</w:t>
      </w:r>
      <w:r>
        <w:rPr>
          <w:rFonts w:ascii="Arial" w:cs="Arial" w:eastAsia="Arial" w:hAnsi="Arial"/>
          <w:sz w:val="18"/>
          <w:szCs w:val="18"/>
          <w:u w:val="single" w:color="auto"/>
          <w:color w:val="0000FF"/>
        </w:rPr>
        <w:t>other day on which the Federal Reserve Bank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New York is closed and (b) is not a day on which commercial</w:t>
      </w:r>
      <w:r>
        <w:rPr>
          <w:rFonts w:ascii="Arial" w:cs="Arial" w:eastAsia="Arial" w:hAnsi="Arial"/>
          <w:sz w:val="18"/>
          <w:szCs w:val="18"/>
          <w:color w:val="0000FF"/>
        </w:rPr>
        <w:t xml:space="preserve"> </w:t>
      </w:r>
      <w:r>
        <w:rPr>
          <w:rFonts w:ascii="Arial" w:cs="Arial" w:eastAsia="Arial" w:hAnsi="Arial"/>
          <w:sz w:val="18"/>
          <w:szCs w:val="18"/>
          <w:color w:val="000000"/>
        </w:rPr>
        <w:t>banks in Charlotte, North Carolina</w:t>
      </w:r>
      <w:r>
        <w:rPr>
          <w:rFonts w:ascii="Arial" w:cs="Arial" w:eastAsia="Arial" w:hAnsi="Arial"/>
          <w:sz w:val="18"/>
          <w:szCs w:val="18"/>
          <w:color w:val="FF0000"/>
          <w:strike w:val="1"/>
        </w:rPr>
        <w:t>, and New York, New York, are open for the conduct of</w:t>
      </w:r>
      <w:r>
        <w:rPr>
          <w:rFonts w:ascii="Arial" w:cs="Arial" w:eastAsia="Arial" w:hAnsi="Arial"/>
          <w:sz w:val="18"/>
          <w:szCs w:val="18"/>
          <w:color w:val="0000FF"/>
        </w:rPr>
        <w:t xml:space="preserve"> </w:t>
      </w:r>
      <w:r>
        <w:rPr>
          <w:rFonts w:ascii="Arial" w:cs="Arial" w:eastAsia="Arial" w:hAnsi="Arial"/>
          <w:sz w:val="18"/>
          <w:szCs w:val="18"/>
          <w:color w:val="FF0000"/>
          <w:strike w:val="1"/>
        </w:rPr>
        <w:t>their commercial banking business and:</w:t>
      </w:r>
      <w:r>
        <w:rPr>
          <w:rFonts w:ascii="Arial" w:cs="Arial" w:eastAsia="Arial" w:hAnsi="Arial"/>
          <w:sz w:val="18"/>
          <w:szCs w:val="18"/>
          <w:color w:val="FF0000"/>
        </w:rPr>
        <w:t xml:space="preserve"> </w:t>
      </w:r>
      <w:r>
        <w:rPr>
          <w:rFonts w:ascii="Arial" w:cs="Arial" w:eastAsia="Arial" w:hAnsi="Arial"/>
          <w:sz w:val="18"/>
          <w:szCs w:val="18"/>
          <w:color w:val="0000FF"/>
        </w:rPr>
        <w:t>are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-10795</wp:posOffset>
            </wp:positionV>
            <wp:extent cx="5143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-36830</wp:posOffset>
            </wp:positionV>
            <wp:extent cx="516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6890" cy="8890"/>
                    </a:xfrm>
                    <a:prstGeom prst="rect">
                      <a:avLst/>
                    </a:prstGeom>
                    <a:noFill/>
                  </pic:spPr>
                </pic:pic>
              </a:graphicData>
            </a:graphic>
          </wp:anchor>
        </w:drawing>
      </w:r>
    </w:p>
    <w:p>
      <w:pPr>
        <w:spacing w:after="0" w:line="164" w:lineRule="exact"/>
        <w:rPr>
          <w:sz w:val="20"/>
          <w:szCs w:val="20"/>
          <w:color w:val="auto"/>
        </w:rPr>
      </w:pPr>
    </w:p>
    <w:p>
      <w:pPr>
        <w:ind w:right="220" w:firstLine="436"/>
        <w:spacing w:after="0" w:line="263" w:lineRule="auto"/>
        <w:tabs>
          <w:tab w:leader="none" w:pos="685" w:val="left"/>
        </w:tabs>
        <w:numPr>
          <w:ilvl w:val="0"/>
          <w:numId w:val="26"/>
        </w:numPr>
        <w:rPr>
          <w:rFonts w:ascii="Arial" w:cs="Arial" w:eastAsia="Arial" w:hAnsi="Arial"/>
          <w:sz w:val="18"/>
          <w:szCs w:val="18"/>
          <w:color w:val="FF0000"/>
          <w:strike w:val="1"/>
        </w:rPr>
      </w:pPr>
      <w:r>
        <w:rPr>
          <w:rFonts w:ascii="Arial" w:cs="Arial" w:eastAsia="Arial" w:hAnsi="Arial"/>
          <w:sz w:val="18"/>
          <w:szCs w:val="18"/>
          <w:color w:val="FF0000"/>
          <w:strike w:val="1"/>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London Banking Day;</w:t>
      </w:r>
    </w:p>
    <w:p>
      <w:pPr>
        <w:spacing w:after="0" w:line="183" w:lineRule="exact"/>
        <w:rPr>
          <w:rFonts w:ascii="Arial" w:cs="Arial" w:eastAsia="Arial" w:hAnsi="Arial"/>
          <w:sz w:val="18"/>
          <w:szCs w:val="18"/>
          <w:color w:val="FF0000"/>
          <w:strike w:val="1"/>
        </w:rPr>
      </w:pPr>
    </w:p>
    <w:p>
      <w:pPr>
        <w:ind w:right="100" w:firstLine="436"/>
        <w:spacing w:after="0" w:line="263" w:lineRule="auto"/>
        <w:tabs>
          <w:tab w:leader="none" w:pos="695" w:val="left"/>
        </w:tabs>
        <w:numPr>
          <w:ilvl w:val="0"/>
          <w:numId w:val="26"/>
        </w:numPr>
        <w:rPr>
          <w:rFonts w:ascii="Arial" w:cs="Arial" w:eastAsia="Arial" w:hAnsi="Arial"/>
          <w:sz w:val="18"/>
          <w:szCs w:val="18"/>
          <w:color w:val="FF0000"/>
          <w:strike w:val="1"/>
        </w:rPr>
      </w:pPr>
      <w:r>
        <w:rPr>
          <w:rFonts w:ascii="Arial" w:cs="Arial" w:eastAsia="Arial" w:hAnsi="Arial"/>
          <w:sz w:val="18"/>
          <w:szCs w:val="18"/>
          <w:color w:val="FF0000"/>
          <w:strike w:val="1"/>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any TARGET Day;</w:t>
      </w:r>
    </w:p>
    <w:p>
      <w:pPr>
        <w:spacing w:after="0" w:line="183" w:lineRule="exact"/>
        <w:rPr>
          <w:rFonts w:ascii="Arial" w:cs="Arial" w:eastAsia="Arial" w:hAnsi="Arial"/>
          <w:sz w:val="18"/>
          <w:szCs w:val="18"/>
          <w:color w:val="FF0000"/>
          <w:strike w:val="1"/>
        </w:rPr>
      </w:pPr>
    </w:p>
    <w:p>
      <w:pPr>
        <w:ind w:right="260" w:firstLine="436"/>
        <w:spacing w:after="0" w:line="263" w:lineRule="auto"/>
        <w:tabs>
          <w:tab w:leader="none" w:pos="685" w:val="left"/>
        </w:tabs>
        <w:numPr>
          <w:ilvl w:val="0"/>
          <w:numId w:val="2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if such day relates to any interest rate settings as to a Eurocurrency Rate Loan denominated in a currency other than Dollars or Euro, means any such day on which dealings in deposits in the relevant currency are conducted by and between </w:t>
      </w:r>
      <w:r>
        <w:rPr>
          <w:rFonts w:ascii="Arial" w:cs="Arial" w:eastAsia="Arial" w:hAnsi="Arial"/>
          <w:sz w:val="18"/>
          <w:szCs w:val="18"/>
          <w:color w:val="008000"/>
          <w:strike w:val="1"/>
        </w:rPr>
        <w:t>banks in the London or other applicable offshore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interbank market for </w:t>
      </w:r>
      <w:r>
        <w:rPr>
          <w:rFonts w:ascii="Arial" w:cs="Arial" w:eastAsia="Arial" w:hAnsi="Arial"/>
          <w:sz w:val="18"/>
          <w:szCs w:val="18"/>
          <w:color w:val="FF0000"/>
          <w:strike w:val="1"/>
        </w:rPr>
        <w:t>such currency; and</w:t>
      </w:r>
    </w:p>
    <w:p>
      <w:pPr>
        <w:spacing w:after="0" w:line="183" w:lineRule="exact"/>
        <w:rPr>
          <w:rFonts w:ascii="Arial" w:cs="Arial" w:eastAsia="Arial" w:hAnsi="Arial"/>
          <w:sz w:val="18"/>
          <w:szCs w:val="18"/>
          <w:color w:val="FF0000"/>
          <w:strike w:val="1"/>
        </w:rPr>
      </w:pPr>
    </w:p>
    <w:p>
      <w:pPr>
        <w:ind w:right="220" w:firstLine="436"/>
        <w:spacing w:after="0" w:line="279" w:lineRule="auto"/>
        <w:tabs>
          <w:tab w:leader="none" w:pos="695" w:val="left"/>
        </w:tabs>
        <w:numPr>
          <w:ilvl w:val="0"/>
          <w:numId w:val="26"/>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w:t>
      </w:r>
      <w:r>
        <w:rPr>
          <w:rFonts w:ascii="Arial" w:cs="Arial" w:eastAsia="Arial" w:hAnsi="Arial"/>
          <w:sz w:val="17"/>
          <w:szCs w:val="17"/>
          <w:color w:val="008000"/>
          <w:strike w:val="1"/>
        </w:rPr>
        <w:t>on</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which banks are open for </w:t>
      </w:r>
      <w:r>
        <w:rPr>
          <w:rFonts w:ascii="Arial" w:cs="Arial" w:eastAsia="Arial" w:hAnsi="Arial"/>
          <w:sz w:val="17"/>
          <w:szCs w:val="17"/>
          <w:color w:val="FF0000"/>
          <w:strike w:val="1"/>
        </w:rPr>
        <w:t>foreign exchange business in the principal financial center of the country of such currency.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Date</w:t>
      </w:r>
      <w:r>
        <w:rPr>
          <w:rFonts w:ascii="Arial" w:cs="Arial" w:eastAsia="Arial" w:hAnsi="Arial"/>
          <w:sz w:val="18"/>
          <w:szCs w:val="18"/>
          <w:color w:val="auto"/>
        </w:rPr>
        <w:t>” has the meaning assigned thereto in the definition of Applicable Margin.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w:t>
      </w:r>
      <w:r>
        <w:rPr>
          <w:rFonts w:ascii="Arial" w:cs="Arial" w:eastAsia="Arial" w:hAnsi="Arial"/>
          <w:sz w:val="18"/>
          <w:szCs w:val="18"/>
          <w:color w:val="auto"/>
        </w:rPr>
        <w:t>” or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any Person for any period, any expenditure in respect of the purchase or other acquisition of any fixed or capital asset (excluding normal replacements and maintenance which are properly charged to current operations), all as determined in accordance with GAAP.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490" w:right="479" w:bottom="1440" w:gutter="0" w:footer="0" w:header="0"/>
        </w:sectPr>
      </w:pPr>
    </w:p>
    <w:bookmarkStart w:id="56" w:name="page57"/>
    <w:bookmarkEnd w:id="5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all leases that have been or should be, in accordance with GAAP, recorded as capitalized leases.</w:t>
      </w:r>
    </w:p>
    <w:p>
      <w:pPr>
        <w:spacing w:after="0" w:line="225"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deposit in a Controlled Account or to pledge and deposit with, or deliver to the Administrative Agent, or directly to the applicable Issuing Lender (with notice thereof to the Administrative Agent), for the benefit of one or more of the Issuing Lenders, the Swingline Lender or the Lenders, as collateral for L/C Obligations or obligations of the Lenders to fund participations in respect of L/C Obligations or Swingline Loans, cash or deposit account balances or, if the Administrative Agent and the applicable Issuing Lender and the Swingline Lender shall agree, in their sole discretion, other credit support, in each case pursuant to documentation in form and substance reasonably satisfactory to the Administrative Agent, such Issuing Lender and the Swingline Lender, as applicable. “</w:t>
      </w:r>
      <w:r>
        <w:rPr>
          <w:rFonts w:ascii="Arial" w:cs="Arial" w:eastAsia="Arial" w:hAnsi="Arial"/>
          <w:sz w:val="17"/>
          <w:szCs w:val="17"/>
          <w:u w:val="single" w:color="auto"/>
          <w:color w:val="auto"/>
        </w:rPr>
        <w:t>Cash Collateral</w:t>
      </w:r>
      <w:r>
        <w:rPr>
          <w:rFonts w:ascii="Arial" w:cs="Arial" w:eastAsia="Arial" w:hAnsi="Arial"/>
          <w:sz w:val="17"/>
          <w:szCs w:val="17"/>
          <w:color w:val="auto"/>
        </w:rPr>
        <w:t>” shall have a meaning correlative to the foregoing and shall include the proceeds of such cash collateral and other credit support.</w:t>
      </w:r>
    </w:p>
    <w:p>
      <w:pPr>
        <w:spacing w:after="0" w:line="17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types of Investments, to the extent owned by the Borrower or any of its Subsidiaries free and clear of all Liens (other than (x) Liens created under the Collateral Documents and (y) to the extent incurred in the ordinary course of business and not securing any Indebtedness, customary Liens (including rights of setoff) of banking institutions arising as a matter of law with respect to deposits maintained with such Person):</w:t>
      </w:r>
    </w:p>
    <w:p>
      <w:pPr>
        <w:spacing w:after="0" w:line="79" w:lineRule="exact"/>
        <w:rPr>
          <w:sz w:val="20"/>
          <w:szCs w:val="20"/>
          <w:color w:val="auto"/>
        </w:rPr>
      </w:pPr>
    </w:p>
    <w:p>
      <w:pPr>
        <w:ind w:left="4" w:right="340" w:firstLine="436"/>
        <w:spacing w:after="0" w:line="263" w:lineRule="auto"/>
        <w:tabs>
          <w:tab w:leader="none" w:pos="6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75" w:lineRule="exact"/>
        <w:rPr>
          <w:rFonts w:ascii="Arial" w:cs="Arial" w:eastAsia="Arial" w:hAnsi="Arial"/>
          <w:sz w:val="18"/>
          <w:szCs w:val="18"/>
          <w:color w:val="auto"/>
        </w:rPr>
      </w:pPr>
    </w:p>
    <w:p>
      <w:pPr>
        <w:ind w:left="4" w:firstLine="436"/>
        <w:spacing w:after="0" w:line="257" w:lineRule="auto"/>
        <w:tabs>
          <w:tab w:leader="none" w:pos="6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has combined capital and surplus of at least $1,000,000,000, in each case with maturities of not more than 180 days from the date of acquisition thereof;</w:t>
      </w:r>
    </w:p>
    <w:p>
      <w:pPr>
        <w:spacing w:after="0" w:line="79" w:lineRule="exact"/>
        <w:rPr>
          <w:rFonts w:ascii="Arial" w:cs="Arial" w:eastAsia="Arial" w:hAnsi="Arial"/>
          <w:sz w:val="18"/>
          <w:szCs w:val="18"/>
          <w:color w:val="auto"/>
        </w:rPr>
      </w:pPr>
    </w:p>
    <w:p>
      <w:pPr>
        <w:ind w:left="4" w:right="120" w:firstLine="436"/>
        <w:spacing w:after="0" w:line="263" w:lineRule="auto"/>
        <w:tabs>
          <w:tab w:leader="none" w:pos="6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 and</w:t>
      </w:r>
    </w:p>
    <w:p>
      <w:pPr>
        <w:spacing w:after="0" w:line="75" w:lineRule="exact"/>
        <w:rPr>
          <w:rFonts w:ascii="Arial" w:cs="Arial" w:eastAsia="Arial" w:hAnsi="Arial"/>
          <w:sz w:val="18"/>
          <w:szCs w:val="18"/>
          <w:color w:val="auto"/>
        </w:rPr>
      </w:pPr>
    </w:p>
    <w:p>
      <w:pPr>
        <w:ind w:left="4" w:right="40" w:firstLine="436"/>
        <w:spacing w:after="0" w:line="287" w:lineRule="auto"/>
        <w:tabs>
          <w:tab w:leader="none" w:pos="699"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and (c) of this definition.</w:t>
      </w:r>
    </w:p>
    <w:p>
      <w:pPr>
        <w:spacing w:after="0" w:line="211" w:lineRule="exact"/>
        <w:rPr>
          <w:sz w:val="20"/>
          <w:szCs w:val="20"/>
          <w:color w:val="auto"/>
        </w:rPr>
      </w:pPr>
    </w:p>
    <w:p>
      <w:pPr>
        <w:ind w:left="4" w:right="2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Agreement</w:t>
      </w:r>
      <w:r>
        <w:rPr>
          <w:rFonts w:ascii="Arial" w:cs="Arial" w:eastAsia="Arial" w:hAnsi="Arial"/>
          <w:sz w:val="16"/>
          <w:szCs w:val="16"/>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490" w:right="459" w:bottom="1440" w:gutter="0" w:footer="0" w:header="0"/>
        </w:sectPr>
      </w:pPr>
    </w:p>
    <w:bookmarkStart w:id="57" w:name="page58"/>
    <w:bookmarkEnd w:id="57"/>
    <w:p>
      <w:pPr>
        <w:ind w:right="2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7"/>
          <w:szCs w:val="17"/>
          <w:u w:val="single" w:color="auto"/>
          <w:color w:val="auto"/>
        </w:rPr>
        <w:t>Cash Management Bank</w:t>
      </w:r>
      <w:r>
        <w:rPr>
          <w:rFonts w:ascii="Arial" w:cs="Arial" w:eastAsia="Arial" w:hAnsi="Arial"/>
          <w:sz w:val="17"/>
          <w:szCs w:val="17"/>
          <w:color w:val="auto"/>
        </w:rPr>
        <w:t>” means any Person that, (a) at the time it enters into a Cash Management Agreement with the Borrower or any of its Subsidiaries, is a Lender, an Affiliate of a Lender, the Administrative Agent or an Affiliate of the Administrative Agent, or (b) at the time it (or its Affiliate) becomes a Lender or the Administrative Agent (including on the Closing Date), is a party to a Cash Management Agreement with the Borrower or any of its Subsidiaries, in each case in its capacity as a party to such Cash Management Agreement.</w:t>
      </w:r>
    </w:p>
    <w:p>
      <w:pPr>
        <w:spacing w:after="0" w:line="171"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Casualty Event</w:t>
      </w:r>
      <w:r>
        <w:rPr>
          <w:rFonts w:ascii="Arial" w:cs="Arial" w:eastAsia="Arial" w:hAnsi="Arial"/>
          <w:sz w:val="17"/>
          <w:szCs w:val="17"/>
          <w:color w:val="auto"/>
        </w:rPr>
        <w:t>” means the receipt by any Credit Party or any of its Subsidiaries of any cash insurance proceeds or condemnation award payable by reason of theft, loss, physical destruction or damage, taking or similar event with respect to any of their respective Property.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“CDOR” has the meaning assigned thereto</w:t>
      </w:r>
      <w:r>
        <w:rPr>
          <w:rFonts w:ascii="Arial" w:cs="Arial" w:eastAsia="Arial" w:hAnsi="Arial"/>
          <w:sz w:val="18"/>
          <w:szCs w:val="18"/>
          <w:color w:val="0000FF"/>
        </w:rPr>
        <w:t xml:space="preserve"> </w:t>
      </w:r>
      <w:r>
        <w:rPr>
          <w:rFonts w:ascii="Arial" w:cs="Arial" w:eastAsia="Arial" w:hAnsi="Arial"/>
          <w:sz w:val="18"/>
          <w:szCs w:val="18"/>
          <w:color w:val="008000"/>
        </w:rPr>
        <w:t>in the definition of “Eurocurrency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1903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-10160</wp:posOffset>
            </wp:positionV>
            <wp:extent cx="19005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CERCLIS</w:t>
      </w:r>
      <w:r>
        <w:rPr>
          <w:rFonts w:ascii="Arial" w:cs="Arial" w:eastAsia="Arial" w:hAnsi="Arial"/>
          <w:sz w:val="17"/>
          <w:szCs w:val="17"/>
          <w:color w:val="auto"/>
        </w:rPr>
        <w:t>” means the Comprehensive Environmental Response, Compensation and Liability Information System maintained by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Environmental Protection Agency.</w:t>
      </w:r>
    </w:p>
    <w:p>
      <w:pPr>
        <w:spacing w:after="0" w:line="21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a Foreign Subsidiary that is a “controlled foreign corporation” under Section 957 of the Code, or (b) at the election of the Borrower, any Domestic Subsidiary substantially all the assets of which consist of Equity Interests in Foreign Subsidiaries that constitute CFCs. As of the Closing Date, the Borrower has elected that Emergent International Inc., a Delaware corporation, shall not constitute a CFC under clause (b) of the immediately forgoing sentence.</w:t>
      </w:r>
    </w:p>
    <w:p>
      <w:pPr>
        <w:spacing w:after="0" w:line="187"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u w:val="single" w:color="auto"/>
          <w:color w:val="008000"/>
        </w:rPr>
        <w:t>“Change in Law”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3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117" w:lineRule="exact"/>
        <w:rPr>
          <w:sz w:val="20"/>
          <w:szCs w:val="20"/>
          <w:color w:val="auto"/>
        </w:rPr>
      </w:pPr>
    </w:p>
    <w:p>
      <w:pPr>
        <w:ind w:firstLine="436"/>
        <w:spacing w:after="0" w:line="272" w:lineRule="auto"/>
        <w:tabs>
          <w:tab w:leader="none" w:pos="6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490" w:right="499" w:bottom="1440" w:gutter="0" w:footer="0" w:header="0"/>
        </w:sectPr>
      </w:pPr>
    </w:p>
    <w:bookmarkStart w:id="58" w:name="page59"/>
    <w:bookmarkEnd w:id="58"/>
    <w:p>
      <w:pPr>
        <w:ind w:left="4" w:right="240" w:firstLine="436"/>
        <w:spacing w:after="0" w:line="291" w:lineRule="auto"/>
        <w:tabs>
          <w:tab w:leader="none" w:pos="699"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during any period of 12 consecutive months, a majority of the members of the board of directors or other equivalent governing body of the Borrower cease to be composed of individuals (i) who were members of that board or equivalent governing body on the first day of such period,</w:t>
      </w:r>
    </w:p>
    <w:p>
      <w:pPr>
        <w:ind w:left="4" w:hanging="4"/>
        <w:spacing w:after="0" w:line="253" w:lineRule="auto"/>
        <w:tabs>
          <w:tab w:leader="none" w:pos="2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193" w:lineRule="exact"/>
        <w:rPr>
          <w:sz w:val="20"/>
          <w:szCs w:val="20"/>
          <w:color w:val="auto"/>
        </w:rPr>
      </w:pPr>
    </w:p>
    <w:p>
      <w:pPr>
        <w:ind w:left="4" w:right="20" w:firstLine="440"/>
        <w:spacing w:after="0" w:line="253" w:lineRule="auto"/>
        <w:rPr>
          <w:sz w:val="20"/>
          <w:szCs w:val="20"/>
          <w:color w:val="auto"/>
        </w:rPr>
      </w:pPr>
      <w:r>
        <w:rPr>
          <w:rFonts w:ascii="Arial" w:cs="Arial" w:eastAsia="Arial" w:hAnsi="Arial"/>
          <w:sz w:val="18"/>
          <w:szCs w:val="18"/>
          <w:color w:val="008000"/>
          <w:strike w:val="1"/>
        </w:rPr>
        <w:t>“</w:t>
      </w:r>
      <w:r>
        <w:rPr>
          <w:rFonts w:ascii="Arial" w:cs="Arial" w:eastAsia="Arial" w:hAnsi="Arial"/>
          <w:sz w:val="18"/>
          <w:szCs w:val="18"/>
          <w:u w:val="single" w:color="auto"/>
          <w:color w:val="008000"/>
          <w:strike w:val="1"/>
        </w:rPr>
        <w:t>Change in Law</w:t>
      </w:r>
      <w:r>
        <w:rPr>
          <w:rFonts w:ascii="Arial" w:cs="Arial" w:eastAsia="Arial" w:hAnsi="Arial"/>
          <w:sz w:val="18"/>
          <w:szCs w:val="18"/>
          <w:color w:val="008000"/>
          <w:strike w:val="1"/>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008000"/>
          <w:strike w:val="1"/>
        </w:rPr>
        <w:t>provided</w:t>
      </w:r>
      <w:r>
        <w:rPr>
          <w:rFonts w:ascii="Arial" w:cs="Arial" w:eastAsia="Arial" w:hAnsi="Arial"/>
          <w:sz w:val="18"/>
          <w:szCs w:val="18"/>
          <w:color w:val="008000"/>
          <w:strike w:val="1"/>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96"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when used in reference to any Loan, whether such Loan is a Revolving Credit Loan, Swingline Loan</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0000FF"/>
        </w:rPr>
        <w:t>or</w:t>
      </w:r>
      <w:r>
        <w:rPr>
          <w:rFonts w:ascii="Arial" w:cs="Arial" w:eastAsia="Arial" w:hAnsi="Arial"/>
          <w:sz w:val="18"/>
          <w:szCs w:val="18"/>
          <w:color w:val="auto"/>
        </w:rPr>
        <w:t xml:space="preserve"> Initial </w:t>
      </w:r>
      <w:r>
        <w:rPr>
          <w:rFonts w:ascii="Arial" w:cs="Arial" w:eastAsia="Arial" w:hAnsi="Arial"/>
          <w:sz w:val="18"/>
          <w:szCs w:val="18"/>
          <w:color w:val="FF0000"/>
          <w:strike w:val="1"/>
        </w:rPr>
        <w:t>Term Loan or</w:t>
      </w:r>
      <w:r>
        <w:rPr>
          <w:rFonts w:ascii="Arial" w:cs="Arial" w:eastAsia="Arial" w:hAnsi="Arial"/>
          <w:sz w:val="18"/>
          <w:szCs w:val="18"/>
          <w:color w:val="auto"/>
        </w:rPr>
        <w:t xml:space="preserve"> </w:t>
      </w:r>
      <w:r>
        <w:rPr>
          <w:rFonts w:ascii="Arial" w:cs="Arial" w:eastAsia="Arial" w:hAnsi="Arial"/>
          <w:sz w:val="18"/>
          <w:szCs w:val="18"/>
          <w:color w:val="FF0000"/>
          <w:strike w:val="1"/>
        </w:rPr>
        <w:t>Incremental</w:t>
      </w:r>
      <w:r>
        <w:rPr>
          <w:rFonts w:ascii="Arial" w:cs="Arial" w:eastAsia="Arial" w:hAnsi="Arial"/>
          <w:sz w:val="18"/>
          <w:szCs w:val="18"/>
          <w:color w:val="FF0000"/>
        </w:rPr>
        <w:t xml:space="preserve"> </w:t>
      </w:r>
      <w:r>
        <w:rPr>
          <w:rFonts w:ascii="Arial" w:cs="Arial" w:eastAsia="Arial" w:hAnsi="Arial"/>
          <w:sz w:val="18"/>
          <w:szCs w:val="18"/>
          <w:color w:val="000000"/>
        </w:rPr>
        <w:t>Term Loan and, when used in reference to any Commitment, whether such Commitment is a Revolving Credit Commitment</w:t>
      </w:r>
      <w:r>
        <w:rPr>
          <w:rFonts w:ascii="Arial" w:cs="Arial" w:eastAsia="Arial" w:hAnsi="Arial"/>
          <w:sz w:val="18"/>
          <w:szCs w:val="18"/>
          <w:color w:val="FF0000"/>
          <w:strike w:val="1"/>
        </w:rPr>
        <w:t>, Term Loan</w:t>
      </w:r>
      <w:r>
        <w:rPr>
          <w:rFonts w:ascii="Arial" w:cs="Arial" w:eastAsia="Arial" w:hAnsi="Arial"/>
          <w:sz w:val="18"/>
          <w:szCs w:val="18"/>
          <w:color w:val="FF0000"/>
        </w:rPr>
        <w:t xml:space="preserve"> </w:t>
      </w:r>
      <w:r>
        <w:rPr>
          <w:rFonts w:ascii="Arial" w:cs="Arial" w:eastAsia="Arial" w:hAnsi="Arial"/>
          <w:sz w:val="18"/>
          <w:szCs w:val="18"/>
          <w:color w:val="FF0000"/>
          <w:strike w:val="1"/>
        </w:rPr>
        <w:t>Commitment or an Incremental</w:t>
      </w:r>
      <w:r>
        <w:rPr>
          <w:rFonts w:ascii="Arial" w:cs="Arial" w:eastAsia="Arial" w:hAnsi="Arial"/>
          <w:sz w:val="18"/>
          <w:szCs w:val="18"/>
          <w:color w:val="FF0000"/>
        </w:rPr>
        <w:t xml:space="preserve"> </w:t>
      </w:r>
      <w:r>
        <w:rPr>
          <w:rFonts w:ascii="Arial" w:cs="Arial" w:eastAsia="Arial" w:hAnsi="Arial"/>
          <w:sz w:val="18"/>
          <w:szCs w:val="18"/>
          <w:color w:val="0000FF"/>
        </w:rPr>
        <w:t>or</w:t>
      </w:r>
      <w:r>
        <w:rPr>
          <w:rFonts w:ascii="Arial" w:cs="Arial" w:eastAsia="Arial" w:hAnsi="Arial"/>
          <w:sz w:val="18"/>
          <w:szCs w:val="18"/>
          <w:color w:val="FF0000"/>
        </w:rPr>
        <w:t xml:space="preserve"> </w:t>
      </w:r>
      <w:r>
        <w:rPr>
          <w:rFonts w:ascii="Arial" w:cs="Arial" w:eastAsia="Arial" w:hAnsi="Arial"/>
          <w:sz w:val="18"/>
          <w:szCs w:val="18"/>
          <w:color w:val="000000"/>
        </w:rPr>
        <w:t>Term Loan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5640705</wp:posOffset>
            </wp:positionH>
            <wp:positionV relativeFrom="paragraph">
              <wp:posOffset>-285115</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-311150</wp:posOffset>
            </wp:positionV>
            <wp:extent cx="1238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-10795</wp:posOffset>
            </wp:positionV>
            <wp:extent cx="1200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-36830</wp:posOffset>
            </wp:positionV>
            <wp:extent cx="1238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the collateral security for the Secured Obligations pledged or granted pursuant to the Collateral Documents.</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means the Amended and Restated Collateral Agreement of even date herewith executed by the Credit Parties in favor of the Administrative Agent, for the ratable benefit of the Secured Parties, which shall be in form and substance reasonably acceptable to the Administrative Agent.</w:t>
      </w:r>
    </w:p>
    <w:p>
      <w:pPr>
        <w:spacing w:after="0" w:line="184" w:lineRule="exact"/>
        <w:rPr>
          <w:sz w:val="20"/>
          <w:szCs w:val="20"/>
          <w:color w:val="auto"/>
        </w:rPr>
      </w:pPr>
    </w:p>
    <w:p>
      <w:pPr>
        <w:ind w:left="4" w:right="2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the collective reference to the Collateral Agreement and each other agreement or writing pursuant to which any Credit Party pledges or grants a security interest to the Administrative Agent or its agent in any Property or assets securing the Secured Obligations.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means, as to any Lender, such Lender’s Revolving Credit Commitment Percentage or Term Loan Percentage, as applicable.</w:t>
      </w:r>
    </w:p>
    <w:p>
      <w:pPr>
        <w:spacing w:after="0" w:line="170"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as to all Lenders, the Revolving Credit Commitments and the Term Loan Commitments of such Lenders. 14</w:t>
      </w:r>
    </w:p>
    <w:p>
      <w:pPr>
        <w:sectPr>
          <w:pgSz w:w="11900" w:h="16838" w:orient="portrait"/>
          <w:cols w:equalWidth="0" w:num="1">
            <w:col w:w="10924"/>
          </w:cols>
          <w:pgMar w:left="436" w:top="490" w:right="539" w:bottom="1440" w:gutter="0" w:footer="0" w:header="0"/>
        </w:sectPr>
      </w:pPr>
    </w:p>
    <w:bookmarkStart w:id="59" w:name="page60"/>
    <w:bookmarkEnd w:id="5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w:t>
      </w:r>
    </w:p>
    <w:p>
      <w:pPr>
        <w:spacing w:after="0" w:line="225"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of the chief financial officer or the treasurer of the Borrower substantially in the form attached as </w:t>
      </w:r>
      <w:r>
        <w:rPr>
          <w:rFonts w:ascii="Arial" w:cs="Arial" w:eastAsia="Arial" w:hAnsi="Arial"/>
          <w:sz w:val="18"/>
          <w:szCs w:val="18"/>
          <w:b w:val="1"/>
          <w:bCs w:val="1"/>
          <w:i w:val="1"/>
          <w:iCs w:val="1"/>
          <w:color w:val="auto"/>
        </w:rPr>
        <w:t>Exhibit F</w:t>
      </w:r>
      <w:r>
        <w:rPr>
          <w:rFonts w:ascii="Arial" w:cs="Arial" w:eastAsia="Arial" w:hAnsi="Arial"/>
          <w:sz w:val="18"/>
          <w:szCs w:val="18"/>
          <w:color w:val="auto"/>
        </w:rPr>
        <w:t>.</w:t>
      </w:r>
    </w:p>
    <w:p>
      <w:pPr>
        <w:spacing w:after="0" w:line="17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u w:val="single" w:color="auto"/>
          <w:color w:val="0000FF"/>
        </w:rPr>
        <w:t>“Conforming Changes”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5.9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w:t>
      </w:r>
      <w:r>
        <w:rPr>
          <w:rFonts w:ascii="Arial" w:cs="Arial" w:eastAsia="Arial" w:hAnsi="Arial"/>
          <w:sz w:val="17"/>
          <w:szCs w:val="17"/>
          <w:color w:val="0000FF"/>
        </w:rPr>
        <w:t xml:space="preserve"> </w:t>
      </w:r>
      <w:r>
        <w:rPr>
          <w:rFonts w:ascii="Arial" w:cs="Arial" w:eastAsia="Arial" w:hAnsi="Arial"/>
          <w:sz w:val="17"/>
          <w:szCs w:val="17"/>
          <w:color w:val="008000"/>
        </w:rPr>
        <w:t>this Agreement and the</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 xml:space="preserve">other Loan Documents) </w:t>
      </w:r>
      <w:r>
        <w:rPr>
          <w:rFonts w:ascii="Arial" w:cs="Arial" w:eastAsia="Arial" w:hAnsi="Arial"/>
          <w:sz w:val="17"/>
          <w:szCs w:val="17"/>
          <w:u w:val="single" w:color="auto"/>
          <w:color w:val="0000FF"/>
        </w:rPr>
        <w:t>in consultation with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5786755</wp:posOffset>
            </wp:positionH>
            <wp:positionV relativeFrom="paragraph">
              <wp:posOffset>-149225</wp:posOffset>
            </wp:positionV>
            <wp:extent cx="10883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88390" cy="8890"/>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-174625</wp:posOffset>
            </wp:positionV>
            <wp:extent cx="10852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162"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70"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Debt Service Coverage Ratio</w:t>
      </w:r>
      <w:r>
        <w:rPr>
          <w:rFonts w:ascii="Arial" w:cs="Arial" w:eastAsia="Arial" w:hAnsi="Arial"/>
          <w:sz w:val="16"/>
          <w:szCs w:val="16"/>
          <w:color w:val="auto"/>
        </w:rPr>
        <w:t xml:space="preserve">” means, as of any date of determination, the ratio of (a) the result of (i) Consolidated EBITDA for the most recently ended Measurement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aggregate amount of Maintenance CapEx during such Measurement Period to (b) the sum of</w:t>
      </w:r>
    </w:p>
    <w:p>
      <w:pPr>
        <w:ind w:left="4" w:right="520" w:hanging="4"/>
        <w:spacing w:after="0" w:line="260" w:lineRule="auto"/>
        <w:tabs>
          <w:tab w:leader="none" w:pos="2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Consolidated Interest Charges payable in cash for such Measurement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principal amount of all regularly scheduled principal payments on Consolidated Funded Indebtedness for such Measurement Period.</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Measurement Period, for the Borrower and its Subsidiaries on a Consolidated basis, an amount equal to:</w:t>
      </w:r>
    </w:p>
    <w:p>
      <w:pPr>
        <w:spacing w:after="0" w:line="140" w:lineRule="exact"/>
        <w:rPr>
          <w:sz w:val="20"/>
          <w:szCs w:val="20"/>
          <w:color w:val="auto"/>
        </w:rPr>
      </w:pPr>
    </w:p>
    <w:p>
      <w:pPr>
        <w:ind w:left="684" w:hanging="244"/>
        <w:spacing w:after="0"/>
        <w:tabs>
          <w:tab w:leader="none" w:pos="6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4" w:right="40" w:firstLine="436"/>
        <w:spacing w:after="0" w:line="277" w:lineRule="auto"/>
        <w:tabs>
          <w:tab w:leader="none" w:pos="6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without duplication, the sum of following to the extent deducted in calculating such Consolidated Net Income (other than as set forth in clause (vi)(E)) in accordance with GAAP for such period:</w:t>
      </w:r>
    </w:p>
    <w:p>
      <w:pPr>
        <w:spacing w:after="0" w:line="62" w:lineRule="exact"/>
        <w:rPr>
          <w:rFonts w:ascii="Arial" w:cs="Arial" w:eastAsia="Arial" w:hAnsi="Arial"/>
          <w:sz w:val="18"/>
          <w:szCs w:val="18"/>
          <w:color w:val="auto"/>
        </w:rPr>
      </w:pPr>
    </w:p>
    <w:p>
      <w:pPr>
        <w:ind w:left="1084" w:hanging="221"/>
        <w:spacing w:after="0"/>
        <w:tabs>
          <w:tab w:leader="none" w:pos="10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Interest Charges for such period;</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provision for Federal, state, local and foreign income taxes payable by the Borrower and its Subsidiaries;</w:t>
      </w:r>
    </w:p>
    <w:p>
      <w:pPr>
        <w:spacing w:after="0" w:line="117" w:lineRule="exact"/>
        <w:rPr>
          <w:rFonts w:ascii="Arial" w:cs="Arial" w:eastAsia="Arial" w:hAnsi="Arial"/>
          <w:sz w:val="18"/>
          <w:szCs w:val="18"/>
          <w:color w:val="auto"/>
        </w:rPr>
      </w:pPr>
    </w:p>
    <w:p>
      <w:pPr>
        <w:ind w:left="1184" w:hanging="321"/>
        <w:spacing w:after="0"/>
        <w:tabs>
          <w:tab w:leader="none" w:pos="11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490" w:right="479" w:bottom="1440" w:gutter="0" w:footer="0" w:header="0"/>
        </w:sectPr>
      </w:pPr>
    </w:p>
    <w:bookmarkStart w:id="60" w:name="page61"/>
    <w:bookmarkEnd w:id="60"/>
    <w:p>
      <w:pPr>
        <w:ind w:left="444" w:firstLine="419"/>
        <w:spacing w:after="0" w:line="277" w:lineRule="auto"/>
        <w:tabs>
          <w:tab w:leader="none" w:pos="1172"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other non-cash expenses, excluding any non-cash expense that represents an accrual for a cash expense to be taken in a future period and any non-cash expense that relates to the write-down or write-off of accounts receivable or inventory;</w:t>
      </w:r>
    </w:p>
    <w:p>
      <w:pPr>
        <w:spacing w:after="0" w:line="62" w:lineRule="exact"/>
        <w:rPr>
          <w:rFonts w:ascii="Arial" w:cs="Arial" w:eastAsia="Arial" w:hAnsi="Arial"/>
          <w:sz w:val="18"/>
          <w:szCs w:val="18"/>
          <w:color w:val="auto"/>
        </w:rPr>
      </w:pPr>
    </w:p>
    <w:p>
      <w:pPr>
        <w:ind w:left="444" w:right="680" w:firstLine="419"/>
        <w:spacing w:after="0" w:line="263" w:lineRule="auto"/>
        <w:tabs>
          <w:tab w:leader="none" w:pos="112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transaction fees, charges and other amounts related to the Transactions and any amendment or other modification to the Loan Documents, in each case to the extent paid within six (6) months of the Closing Date or the effectiveness of such amendment or other modification;</w:t>
      </w:r>
    </w:p>
    <w:p>
      <w:pPr>
        <w:spacing w:after="0" w:line="75" w:lineRule="exact"/>
        <w:rPr>
          <w:rFonts w:ascii="Arial" w:cs="Arial" w:eastAsia="Arial" w:hAnsi="Arial"/>
          <w:sz w:val="18"/>
          <w:szCs w:val="18"/>
          <w:color w:val="auto"/>
        </w:rPr>
      </w:pPr>
    </w:p>
    <w:p>
      <w:pPr>
        <w:ind w:left="444" w:right="40" w:firstLine="419"/>
        <w:spacing w:after="0" w:line="286" w:lineRule="auto"/>
        <w:tabs>
          <w:tab w:leader="none" w:pos="1172"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(A) costs and expenses in connection with any Acquisitions (including, without limitation, any financing fees, merger and acquisition fees, legal fees and expenses, due diligence fees or any other fees and expenses in connection therewith), whether or not consummated, (B) other unusual and non-recurring cash expenses or charges, (C) to the extent incurred in connection with a Permitted Acquisition, one-time non-recurring severance charges incurred within twelve (12) months of such Permitted Acquisition, (D) cash restructuring charges with respect to Permitted Acquisitions or otherwise and (E) synergies, operating expense reductions and other net cost savings and integration costs projected by the Borrower in connection with Permitted Acquisitions that have been consummated during the applicable Measurement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synergies, expense reductions and cost savings are reasonably identifiable, factually supportable, expected to have a continuing impact on the operations of the Borrower and its subsidiaries and have been determined by the Borrower in good faith to be reasonably anticipated to be realizable within 12 months following any such Permitted Acquisition as set forth in reasonable detail on a certificate of a responsible officer of the Borrower delivered to the Administrative Agent and (ii) no such amounts shall be added pursuant to this clause to the extent duplicative of any expenses or charges otherwise added to consolidated EBITDA, whether through a pro forma adjustment or otherwise;</w:t>
      </w:r>
    </w:p>
    <w:p>
      <w:pPr>
        <w:spacing w:after="0" w:line="65" w:lineRule="exact"/>
        <w:rPr>
          <w:rFonts w:ascii="Arial" w:cs="Arial" w:eastAsia="Arial" w:hAnsi="Arial"/>
          <w:sz w:val="16"/>
          <w:szCs w:val="16"/>
          <w:color w:val="auto"/>
        </w:rPr>
      </w:pPr>
    </w:p>
    <w:p>
      <w:pPr>
        <w:ind w:left="444" w:right="940" w:firstLine="419"/>
        <w:spacing w:after="0" w:line="277" w:lineRule="auto"/>
        <w:tabs>
          <w:tab w:leader="none" w:pos="122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the extent covered by insurance and actually reimbursed, expenses with respect to liability or casualty events or business interruption;</w:t>
      </w:r>
    </w:p>
    <w:p>
      <w:pPr>
        <w:spacing w:after="0" w:line="62" w:lineRule="exact"/>
        <w:rPr>
          <w:rFonts w:ascii="Arial" w:cs="Arial" w:eastAsia="Arial" w:hAnsi="Arial"/>
          <w:sz w:val="18"/>
          <w:szCs w:val="18"/>
          <w:color w:val="auto"/>
        </w:rPr>
      </w:pPr>
    </w:p>
    <w:p>
      <w:pPr>
        <w:ind w:left="1264" w:hanging="401"/>
        <w:spacing w:after="0"/>
        <w:tabs>
          <w:tab w:leader="none" w:pos="12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any net after-tax effect of loss for such period attributable to the early extinguishment of any Hedge Agreement; </w:t>
      </w:r>
      <w:r>
        <w:rPr>
          <w:rFonts w:ascii="Arial" w:cs="Arial" w:eastAsia="Arial" w:hAnsi="Arial"/>
          <w:sz w:val="18"/>
          <w:szCs w:val="18"/>
          <w:u w:val="single" w:color="auto"/>
          <w:color w:val="auto"/>
        </w:rPr>
        <w:t>minus</w:t>
      </w:r>
    </w:p>
    <w:p>
      <w:pPr>
        <w:spacing w:after="0" w:line="130" w:lineRule="exact"/>
        <w:rPr>
          <w:rFonts w:ascii="Arial" w:cs="Arial" w:eastAsia="Arial" w:hAnsi="Arial"/>
          <w:sz w:val="18"/>
          <w:szCs w:val="18"/>
          <w:color w:val="auto"/>
        </w:rPr>
      </w:pPr>
    </w:p>
    <w:p>
      <w:pPr>
        <w:ind w:left="444" w:hanging="444"/>
        <w:spacing w:after="0"/>
        <w:tabs>
          <w:tab w:leader="none" w:pos="4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without duplication, the following to the extent included in calculating such Consolidated Net Income:</w:t>
      </w:r>
    </w:p>
    <w:p>
      <w:pPr>
        <w:spacing w:after="0" w:line="117" w:lineRule="exact"/>
        <w:rPr>
          <w:rFonts w:ascii="Arial" w:cs="Arial" w:eastAsia="Arial" w:hAnsi="Arial"/>
          <w:sz w:val="18"/>
          <w:szCs w:val="18"/>
          <w:color w:val="auto"/>
        </w:rPr>
      </w:pPr>
    </w:p>
    <w:p>
      <w:pPr>
        <w:ind w:left="1084" w:hanging="221"/>
        <w:spacing w:after="0"/>
        <w:tabs>
          <w:tab w:leader="none" w:pos="1084" w:val="left"/>
        </w:tabs>
        <w:numPr>
          <w:ilvl w:val="1"/>
          <w:numId w:val="35"/>
        </w:numPr>
        <w:rPr>
          <w:rFonts w:ascii="Arial" w:cs="Arial" w:eastAsia="Arial" w:hAnsi="Arial"/>
          <w:sz w:val="18"/>
          <w:szCs w:val="18"/>
          <w:color w:val="auto"/>
        </w:rPr>
      </w:pPr>
      <w:r>
        <w:rPr>
          <w:rFonts w:ascii="Arial" w:cs="Arial" w:eastAsia="Arial" w:hAnsi="Arial"/>
          <w:sz w:val="18"/>
          <w:szCs w:val="18"/>
          <w:color w:val="auto"/>
        </w:rPr>
        <w:t>Federal, state, local and foreign income tax credits of the Borrower and its Subsidiaries for such period;</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non-cash items increasing Consolidated Net Income for such period;</w:t>
      </w:r>
    </w:p>
    <w:p>
      <w:pPr>
        <w:spacing w:after="0" w:line="117" w:lineRule="exact"/>
        <w:rPr>
          <w:rFonts w:ascii="Arial" w:cs="Arial" w:eastAsia="Arial" w:hAnsi="Arial"/>
          <w:sz w:val="18"/>
          <w:szCs w:val="18"/>
          <w:color w:val="auto"/>
        </w:rPr>
      </w:pPr>
    </w:p>
    <w:p>
      <w:pPr>
        <w:ind w:left="1184" w:hanging="321"/>
        <w:spacing w:after="0"/>
        <w:tabs>
          <w:tab w:leader="none" w:pos="118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net after-tax effect of income for such period attributable to the early extinguishment of any Hedge Agreement; and</w:t>
      </w:r>
    </w:p>
    <w:p>
      <w:pPr>
        <w:spacing w:after="0" w:line="117" w:lineRule="exact"/>
        <w:rPr>
          <w:rFonts w:ascii="Arial" w:cs="Arial" w:eastAsia="Arial" w:hAnsi="Arial"/>
          <w:sz w:val="18"/>
          <w:szCs w:val="18"/>
          <w:color w:val="auto"/>
        </w:rPr>
      </w:pPr>
    </w:p>
    <w:p>
      <w:pPr>
        <w:ind w:left="444" w:right="500" w:firstLine="419"/>
        <w:spacing w:after="0" w:line="277" w:lineRule="auto"/>
        <w:tabs>
          <w:tab w:leader="none" w:pos="117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cash expense made during such period which represents the reversal of any non-cash expense that was added in a prior period pursuant to clause (b)(iv) above.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490" w:right="439" w:bottom="1440" w:gutter="0" w:footer="0" w:header="0"/>
        </w:sectPr>
      </w:pPr>
    </w:p>
    <w:bookmarkStart w:id="61" w:name="page62"/>
    <w:bookmarkEnd w:id="61"/>
    <w:p>
      <w:pPr>
        <w:ind w:left="4"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the foregoing to the contrary, (w) the aggregate amount added pursuant to clause</w:t>
      </w:r>
      <w:r>
        <w:rPr>
          <w:rFonts w:ascii="Arial" w:cs="Arial" w:eastAsia="Arial" w:hAnsi="Arial"/>
          <w:sz w:val="17"/>
          <w:szCs w:val="17"/>
          <w:u w:val="single" w:color="auto"/>
          <w:color w:val="0000FF"/>
        </w:rPr>
        <w:t>s</w:t>
      </w:r>
      <w:r>
        <w:rPr>
          <w:rFonts w:ascii="Arial" w:cs="Arial" w:eastAsia="Arial" w:hAnsi="Arial"/>
          <w:sz w:val="17"/>
          <w:szCs w:val="17"/>
          <w:color w:val="auto"/>
        </w:rPr>
        <w:t xml:space="preserve"> (b)(vi)</w:t>
      </w:r>
      <w:r>
        <w:rPr>
          <w:rFonts w:ascii="Arial" w:cs="Arial" w:eastAsia="Arial" w:hAnsi="Arial"/>
          <w:sz w:val="17"/>
          <w:szCs w:val="17"/>
          <w:u w:val="single" w:color="auto"/>
          <w:color w:val="0000FF"/>
        </w:rPr>
        <w:t>, (b)(vii) and (b)(viii)</w:t>
      </w:r>
      <w:r>
        <w:rPr>
          <w:rFonts w:ascii="Arial" w:cs="Arial" w:eastAsia="Arial" w:hAnsi="Arial"/>
          <w:sz w:val="17"/>
          <w:szCs w:val="17"/>
          <w:color w:val="auto"/>
        </w:rPr>
        <w:t xml:space="preserve"> contained in this definition above for any period shall in no event exceed </w:t>
      </w:r>
      <w:r>
        <w:rPr>
          <w:rFonts w:ascii="Arial" w:cs="Arial" w:eastAsia="Arial" w:hAnsi="Arial"/>
          <w:sz w:val="17"/>
          <w:szCs w:val="17"/>
          <w:color w:val="FF0000"/>
          <w:strike w:val="1"/>
        </w:rPr>
        <w:t>20</w:t>
      </w:r>
      <w:r>
        <w:rPr>
          <w:rFonts w:ascii="Arial" w:cs="Arial" w:eastAsia="Arial" w:hAnsi="Arial"/>
          <w:sz w:val="17"/>
          <w:szCs w:val="17"/>
          <w:u w:val="single" w:color="auto"/>
          <w:color w:val="0000FF"/>
        </w:rPr>
        <w:t>(A) during the period from the Fourth Amendment Effective Date through February 29, 2024,</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amount of transaction and restructuring costs, including severance charges, that are not otherwise added back pursuant to clause (b)(v) contained in this definition above for such period, and (B) thereafter (for the avoidance of doubt, commencing with the Measurement Period ending on March 31, 2024), 10</w:t>
      </w:r>
      <w:r>
        <w:rPr>
          <w:rFonts w:ascii="Arial" w:cs="Arial" w:eastAsia="Arial" w:hAnsi="Arial"/>
          <w:sz w:val="17"/>
          <w:szCs w:val="17"/>
          <w:color w:val="000000"/>
        </w:rPr>
        <w:t>% of Consolidated EBITDA for such period (calculated prior to any such add-backs pursuant to clause</w:t>
      </w:r>
      <w:r>
        <w:rPr>
          <w:rFonts w:ascii="Arial" w:cs="Arial" w:eastAsia="Arial" w:hAnsi="Arial"/>
          <w:sz w:val="17"/>
          <w:szCs w:val="17"/>
          <w:u w:val="single" w:color="auto"/>
          <w:color w:val="0000FF"/>
        </w:rPr>
        <w:t>s</w:t>
      </w:r>
      <w:r>
        <w:rPr>
          <w:rFonts w:ascii="Arial" w:cs="Arial" w:eastAsia="Arial" w:hAnsi="Arial"/>
          <w:sz w:val="17"/>
          <w:szCs w:val="17"/>
          <w:color w:val="0000FF"/>
        </w:rPr>
        <w:t xml:space="preserve"> </w:t>
      </w:r>
      <w:r>
        <w:rPr>
          <w:rFonts w:ascii="Arial" w:cs="Arial" w:eastAsia="Arial" w:hAnsi="Arial"/>
          <w:sz w:val="17"/>
          <w:szCs w:val="17"/>
          <w:color w:val="000000"/>
        </w:rPr>
        <w:t>(b)(vi</w:t>
      </w:r>
      <w:r>
        <w:rPr>
          <w:rFonts w:ascii="Arial" w:cs="Arial" w:eastAsia="Arial" w:hAnsi="Arial"/>
          <w:sz w:val="17"/>
          <w:szCs w:val="17"/>
          <w:u w:val="single" w:color="auto"/>
          <w:color w:val="0000FF"/>
        </w:rPr>
        <w:t>), (b)(vii) and (b)(viii</w:t>
      </w:r>
      <w:r>
        <w:rPr>
          <w:rFonts w:ascii="Arial" w:cs="Arial" w:eastAsia="Arial" w:hAnsi="Arial"/>
          <w:sz w:val="17"/>
          <w:szCs w:val="17"/>
          <w:color w:val="000000"/>
        </w:rPr>
        <w:t>)), (x) there</w:t>
      </w:r>
      <w:r>
        <w:rPr>
          <w:rFonts w:ascii="Arial" w:cs="Arial" w:eastAsia="Arial" w:hAnsi="Arial"/>
          <w:sz w:val="17"/>
          <w:szCs w:val="17"/>
          <w:color w:val="0000FF"/>
        </w:rPr>
        <w:t xml:space="preserve"> </w:t>
      </w:r>
      <w:r>
        <w:rPr>
          <w:rFonts w:ascii="Arial" w:cs="Arial" w:eastAsia="Arial" w:hAnsi="Arial"/>
          <w:sz w:val="17"/>
          <w:szCs w:val="17"/>
          <w:color w:val="000000"/>
        </w:rPr>
        <w:t xml:space="preserve">shall be included in determining Consolidated EBITDA for any period, without duplication, the Acquired EBITDA of any Person or business, or attributable to any property or asset, acquired by the Borrower or any Subsidiary during such period (but not the Acquired EBITDA of any related Person or business or any Acquired EBITDA attributable to any assets or property, in each case to the extent not so acquired) in connection with a Permitted Acquisition to the extent not subsequently sold, transferred, abandoned or otherwise disposed by the Borrower or such Subsidiary, based on the actual Acquired EBITDA of such acquired entity or business for such period (including the portion thereof occurring prior to such acquisition or conversion), </w:t>
      </w:r>
      <w:r>
        <w:rPr>
          <w:rFonts w:ascii="Arial" w:cs="Arial" w:eastAsia="Arial" w:hAnsi="Arial"/>
          <w:sz w:val="17"/>
          <w:szCs w:val="17"/>
          <w:u w:val="single" w:color="auto"/>
          <w:color w:val="0000FF"/>
        </w:rPr>
        <w:t>and</w:t>
      </w:r>
      <w:r>
        <w:rPr>
          <w:rFonts w:ascii="Arial" w:cs="Arial" w:eastAsia="Arial" w:hAnsi="Arial"/>
          <w:sz w:val="17"/>
          <w:szCs w:val="17"/>
          <w:color w:val="000000"/>
        </w:rPr>
        <w:t xml:space="preserve"> (y) there shall be excluded in determining Consolidated EBITDA for any period, without duplication, the Disposed EBITDA of any Person or business, or attributable to any property or asset, Disposed of by the Borrower or any Subsidiary during such period in connection with a Specified Disposition or discontinuation of operations, based on the Disposed EBITDA of such Disposed entity or business or discontinued operations for such period (including the portion thereof occurring prior to such Disposition or discontinuation) </w:t>
      </w:r>
      <w:r>
        <w:rPr>
          <w:rFonts w:ascii="Arial" w:cs="Arial" w:eastAsia="Arial" w:hAnsi="Arial"/>
          <w:sz w:val="17"/>
          <w:szCs w:val="17"/>
          <w:color w:val="FF0000"/>
        </w:rPr>
        <w:t>and (z)</w:t>
      </w:r>
      <w:r>
        <w:rPr>
          <w:rFonts w:ascii="Arial" w:cs="Arial" w:eastAsia="Arial" w:hAnsi="Arial"/>
          <w:sz w:val="17"/>
          <w:szCs w:val="17"/>
          <w:u w:val="single" w:color="auto"/>
          <w:color w:val="0000FF"/>
        </w:rPr>
        <w:t>; provided, that, notwithstanding the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foregoing, with respect to the Project Emerald Transaction, any Disposed EBITDA prior to April 1, 2023 shall be included in determining</w:t>
      </w:r>
      <w:r>
        <w:rPr>
          <w:rFonts w:ascii="Arial" w:cs="Arial" w:eastAsia="Arial" w:hAnsi="Arial"/>
          <w:sz w:val="17"/>
          <w:szCs w:val="17"/>
          <w:color w:val="0000FF"/>
        </w:rPr>
        <w:t xml:space="preserve"> </w:t>
      </w:r>
      <w:r>
        <w:rPr>
          <w:rFonts w:ascii="Arial" w:cs="Arial" w:eastAsia="Arial" w:hAnsi="Arial"/>
          <w:sz w:val="17"/>
          <w:szCs w:val="17"/>
          <w:color w:val="000000"/>
        </w:rPr>
        <w:t>Consolidated</w:t>
      </w:r>
      <w:r>
        <w:rPr>
          <w:rFonts w:ascii="Arial" w:cs="Arial" w:eastAsia="Arial" w:hAnsi="Arial"/>
          <w:sz w:val="17"/>
          <w:szCs w:val="17"/>
          <w:color w:val="0000FF"/>
        </w:rPr>
        <w:t xml:space="preserve"> </w:t>
      </w:r>
      <w:r>
        <w:rPr>
          <w:rFonts w:ascii="Arial" w:cs="Arial" w:eastAsia="Arial" w:hAnsi="Arial"/>
          <w:sz w:val="17"/>
          <w:szCs w:val="17"/>
          <w:color w:val="000000"/>
        </w:rPr>
        <w:t xml:space="preserve">EBITDA for </w:t>
      </w:r>
      <w:r>
        <w:rPr>
          <w:rFonts w:ascii="Arial" w:cs="Arial" w:eastAsia="Arial" w:hAnsi="Arial"/>
          <w:sz w:val="17"/>
          <w:szCs w:val="17"/>
          <w:color w:val="FF0000"/>
          <w:strike w:val="1"/>
        </w:rPr>
        <w:t>the fiscal quarters ended September 30, 2017, December 31, 2017, March 31, 2018 and June 30, 2018 is $64,700,000, $74,190,000,</w:t>
      </w:r>
      <w:r>
        <w:rPr>
          <w:rFonts w:ascii="Arial" w:cs="Arial" w:eastAsia="Arial" w:hAnsi="Arial"/>
          <w:sz w:val="17"/>
          <w:szCs w:val="17"/>
          <w:color w:val="000000"/>
        </w:rPr>
        <w:t xml:space="preserve"> </w:t>
      </w:r>
      <w:r>
        <w:rPr>
          <w:rFonts w:ascii="Arial" w:cs="Arial" w:eastAsia="Arial" w:hAnsi="Arial"/>
          <w:sz w:val="17"/>
          <w:szCs w:val="17"/>
          <w:color w:val="FF0000"/>
          <w:strike w:val="1"/>
        </w:rPr>
        <w:t>$12,580,000 and $87,010,000, respectfully</w:t>
      </w:r>
      <w:r>
        <w:rPr>
          <w:rFonts w:ascii="Arial" w:cs="Arial" w:eastAsia="Arial" w:hAnsi="Arial"/>
          <w:sz w:val="17"/>
          <w:szCs w:val="17"/>
          <w:u w:val="single" w:color="auto"/>
          <w:color w:val="0000FF"/>
        </w:rPr>
        <w:t>any period</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-494665</wp:posOffset>
            </wp:positionV>
            <wp:extent cx="3486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8615" cy="8890"/>
                    </a:xfrm>
                    <a:prstGeom prst="rect">
                      <a:avLst/>
                    </a:prstGeom>
                    <a:noFill/>
                  </pic:spPr>
                </pic:pic>
              </a:graphicData>
            </a:graphic>
          </wp:anchor>
        </w:drawing>
      </w:r>
    </w:p>
    <w:p>
      <w:pPr>
        <w:spacing w:after="0" w:line="171"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xml:space="preserve">” means, as of any date of determination, for the Borrower and its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standby letters of credit, bankers’ acceptances, bank guaranties, surety bonds and similar instruments (in the case of surety bonds and similar instruments, to the extent included as a liability on the Consolidated balance sheet of the Borrower and its Subsidiaries in accordance with GAAP), (d) all obligations in respect of the deferred purchase price of property or services (including, without limitation, in the form of earnouts, milestones and other contingent payment obligations to the extent included as a liability on the Consolidated balance sheet of the Borrower and its Subsidiaries in accordance with GAAP) (other than trade accounts payable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royalties (and other contingent payment obligations in the nature of a royalty payment (including those calculated based on a percentage of sales)) shall only be included in “Consolidated Funded Indebtedness” to the extent such liability exceeds the corresponding intangible item included on the Consolidated balance sheet of the Borrower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corresponding intangible item shall be discernible and reasonably identifiable, (e) all Attributable Indebtedness in respect of Capitalized Leases and Synthetic Lease Obligations, (f) without duplication, all Guarantees with respect to outstanding Indebtedness of the types specified in clauses (a) through (e) above of Persons other than the Borrower or any Subsidiary, and (g) all Indebtedness of the types referred to in clauses (a) through (f) above of any partnership or joint venture (other than a joint venture that is itself a corporation or limited liability company) in which the Borrower or a Subsidiary is a general partner or joint venturer, unless such Indebtedness is expressly made non-recourse to the Borrower or such Subsidiary.</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Charges</w:t>
      </w:r>
      <w:r>
        <w:rPr>
          <w:rFonts w:ascii="Arial" w:cs="Arial" w:eastAsia="Arial" w:hAnsi="Arial"/>
          <w:sz w:val="16"/>
          <w:szCs w:val="16"/>
          <w:color w:val="auto"/>
        </w:rPr>
        <w:t>” means, for any Measurement Period, for the Borrower and its Subsidiaries on a Consolidated basis, the sum of</w:t>
      </w:r>
    </w:p>
    <w:p>
      <w:pPr>
        <w:spacing w:after="0" w:line="46" w:lineRule="exact"/>
        <w:rPr>
          <w:sz w:val="20"/>
          <w:szCs w:val="20"/>
          <w:color w:val="auto"/>
        </w:rPr>
      </w:pPr>
    </w:p>
    <w:p>
      <w:pPr>
        <w:ind w:left="4" w:right="140" w:hanging="4"/>
        <w:spacing w:after="0" w:line="253"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interest, premium payments, debt discount, fees, charges and related expenses of the Borrower and its Subsidiaries in connection with borrowed money (including capitalized interest) or in connection with the deferred purchase price of assets, in each case to the extent treated as interest in accordance with GAAP (excluding customary arrangement, upfront, administrative agency and amendment fees (in each case, to the extent not in the nature of interest charges)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490" w:right="479" w:bottom="1440" w:gutter="0" w:footer="0" w:header="0"/>
        </w:sectPr>
      </w:pPr>
    </w:p>
    <w:bookmarkStart w:id="62" w:name="page63"/>
    <w:bookmarkEnd w:id="62"/>
    <w:p>
      <w:pPr>
        <w:ind w:left="4"/>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incurred in connection with the Credit Facility </w:t>
      </w:r>
      <w:r>
        <w:rPr>
          <w:rFonts w:ascii="Arial" w:cs="Arial" w:eastAsia="Arial" w:hAnsi="Arial"/>
          <w:sz w:val="16"/>
          <w:szCs w:val="16"/>
          <w:color w:val="FF0000"/>
        </w:rPr>
        <w:t>or the Convertible Senior Notes</w:t>
      </w:r>
      <w:r>
        <w:rPr>
          <w:rFonts w:ascii="Arial" w:cs="Arial" w:eastAsia="Arial" w:hAnsi="Arial"/>
          <w:sz w:val="16"/>
          <w:szCs w:val="16"/>
          <w:color w:val="auto"/>
        </w:rPr>
        <w:t>) and (b) the portion of rent expense of the Borrower and its Subsidiaries under Capitalized Leases that is treated as interest in accordance with GAAP, in each case, of or by the Borrower and its Subsidiaries on a Consolidated basis for such Measurement Period. Notwithstanding the foregoing, during any Measurement Period in which any Permitted Acquisition is consummated (x) Consolidated Interest Charges for such Measurement Period shall be calculated on a pro forma basis as if such Permitted Acquisition had been consummated on the first day of such Measurement Period and (y) there shall be included in determining the Consolidated Interest Charges for such period, without duplication, the Acquired Interest Charges of any Person or business, or attributable to any property or asset, acquired by the Borrower or any Subsidiary during such period (but not the Acquired Interest Charges of any related Person or business or any Acquired Interest Charges attributable to any assets or property, in each case to the extent not so acquired) in connection with such Permitted Acquisition to the extent not subsequently sold, transferred, abandoned or otherwise disposed by the Borrower or such Subsidiary, based on the actual Acquired Interest Charges of such acquired entity or business for such period (including the portion thereof occurring prior to such acquisition or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-1332230</wp:posOffset>
            </wp:positionV>
            <wp:extent cx="14820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82090" cy="8255"/>
                    </a:xfrm>
                    <a:prstGeom prst="rect">
                      <a:avLst/>
                    </a:prstGeom>
                    <a:noFill/>
                  </pic:spPr>
                </pic:pic>
              </a:graphicData>
            </a:graphic>
          </wp:anchor>
        </w:drawing>
      </w:r>
    </w:p>
    <w:p>
      <w:pPr>
        <w:spacing w:after="0" w:line="148"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0000FF"/>
        </w:rPr>
        <w:t>“Consolidated</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Leverage Ratio” means, as of any date of determination, the ratio of (a)</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Consolidated Funded Indebtedness as</w:t>
      </w:r>
      <w:r>
        <w:rPr>
          <w:rFonts w:ascii="Arial" w:cs="Arial" w:eastAsia="Arial" w:hAnsi="Arial"/>
          <w:sz w:val="16"/>
          <w:szCs w:val="16"/>
          <w:color w:val="0000FF"/>
        </w:rPr>
        <w:t xml:space="preserve"> </w:t>
      </w:r>
      <w:r>
        <w:rPr>
          <w:rFonts w:ascii="Arial" w:cs="Arial" w:eastAsia="Arial" w:hAnsi="Arial"/>
          <w:sz w:val="16"/>
          <w:szCs w:val="16"/>
          <w:color w:val="008000"/>
        </w:rPr>
        <w:t>of such date,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5975350</wp:posOffset>
            </wp:positionH>
            <wp:positionV relativeFrom="paragraph">
              <wp:posOffset>29210</wp:posOffset>
            </wp:positionV>
            <wp:extent cx="7283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5975350</wp:posOffset>
            </wp:positionH>
            <wp:positionV relativeFrom="paragraph">
              <wp:posOffset>3810</wp:posOffset>
            </wp:positionV>
            <wp:extent cx="7264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8000"/>
        </w:rPr>
        <w:t>(b) Consolidated EBITDA for the most recently completed Measurement Period.</w:t>
      </w:r>
    </w:p>
    <w:p>
      <w:pPr>
        <w:spacing w:after="0" w:line="21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at any date of determination, the net income (or loss) of the Borrower and its Subsidiaries on a Consolidated basis for the most recently completed Measurement Period,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shall exclude</w:t>
      </w:r>
    </w:p>
    <w:p>
      <w:pPr>
        <w:ind w:left="4" w:hanging="4"/>
        <w:spacing w:after="0" w:line="268" w:lineRule="auto"/>
        <w:tabs>
          <w:tab w:leader="none" w:pos="249"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non-cash extraordinary gains and extraordinary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Applicable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net amount of cash actually received by the Borrower or a Subsidiary from such Person during such Measurement Period as a dividend or other distribution (and in the case of a dividend or other distribution to a Subsidiary, such Subsidiary is not precluded from further distributing such amount to the Borrower as described in clause (b) of this proviso).</w:t>
      </w:r>
    </w:p>
    <w:p>
      <w:pPr>
        <w:spacing w:after="0" w:line="18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Consolidated Net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Leverage Ratio</w:t>
      </w:r>
      <w:r>
        <w:rPr>
          <w:rFonts w:ascii="Arial" w:cs="Arial" w:eastAsia="Arial" w:hAnsi="Arial"/>
          <w:sz w:val="18"/>
          <w:szCs w:val="18"/>
          <w:color w:val="008000"/>
          <w:strike w:val="1"/>
        </w:rPr>
        <w:t>” means, as of any date of determination, the ratio of (a)</w:t>
      </w:r>
      <w:r>
        <w:rPr>
          <w:rFonts w:ascii="Arial" w:cs="Arial" w:eastAsia="Arial" w:hAnsi="Arial"/>
          <w:sz w:val="18"/>
          <w:szCs w:val="18"/>
          <w:color w:val="FF0000"/>
          <w:strike w:val="1"/>
        </w:rPr>
        <w:t xml:space="preserve"> (i) Consolidated Funded Indebtedness as of such date </w:t>
      </w:r>
      <w:r>
        <w:rPr>
          <w:rFonts w:ascii="Arial" w:cs="Arial" w:eastAsia="Arial" w:hAnsi="Arial"/>
          <w:sz w:val="18"/>
          <w:szCs w:val="18"/>
          <w:u w:val="single" w:color="auto"/>
          <w:color w:val="FF0000"/>
          <w:strike w:val="1"/>
        </w:rPr>
        <w:t xml:space="preserve">minus </w:t>
      </w:r>
      <w:r>
        <w:rPr>
          <w:rFonts w:ascii="Arial" w:cs="Arial" w:eastAsia="Arial" w:hAnsi="Arial"/>
          <w:sz w:val="18"/>
          <w:szCs w:val="18"/>
          <w:color w:val="FF0000"/>
          <w:strike w:val="1"/>
        </w:rPr>
        <w:t>(ii) all Unrestricted Cash and Cash Equivalents as</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008000"/>
          <w:strike w:val="1"/>
        </w:rPr>
        <w:t>of such date, to (b) Consolidated EBITDA for the most recently completed Measurement</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008000"/>
          <w:strike w:val="1"/>
        </w:rPr>
        <w:t>Period.</w:t>
      </w:r>
    </w:p>
    <w:p>
      <w:pPr>
        <w:spacing w:after="0" w:line="184"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Consolidated Secured Indebtedness</w:t>
      </w:r>
      <w:r>
        <w:rPr>
          <w:rFonts w:ascii="Arial" w:cs="Arial" w:eastAsia="Arial" w:hAnsi="Arial"/>
          <w:sz w:val="17"/>
          <w:szCs w:val="17"/>
          <w:color w:val="008000"/>
          <w:strike w:val="1"/>
        </w:rPr>
        <w:t>” means, as of any date of determination</w:t>
      </w:r>
      <w:r>
        <w:rPr>
          <w:rFonts w:ascii="Arial" w:cs="Arial" w:eastAsia="Arial" w:hAnsi="Arial"/>
          <w:sz w:val="17"/>
          <w:szCs w:val="17"/>
          <w:color w:val="FF0000"/>
          <w:strike w:val="1"/>
        </w:rPr>
        <w:t>, for the Borrower and its Subsidiaries on a Consolidated basis, all Consolidated Funded Indebtedness as of such date that is secured by a Lien on any assets of the Borrower or any of its Subsidiaries.</w:t>
      </w:r>
    </w:p>
    <w:p>
      <w:pPr>
        <w:spacing w:after="0" w:line="146"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Consolidated Secured Net Leverage Ratio</w:t>
      </w:r>
      <w:r>
        <w:rPr>
          <w:rFonts w:ascii="Arial" w:cs="Arial" w:eastAsia="Arial" w:hAnsi="Arial"/>
          <w:sz w:val="18"/>
          <w:szCs w:val="18"/>
          <w:color w:val="FF0000"/>
          <w:strike w:val="1"/>
        </w:rPr>
        <w:t xml:space="preserve">” means, as of any date of determination, the ratio of (a) (i) Consolidated Secured Indebtedness as of such date </w:t>
      </w:r>
      <w:r>
        <w:rPr>
          <w:rFonts w:ascii="Arial" w:cs="Arial" w:eastAsia="Arial" w:hAnsi="Arial"/>
          <w:sz w:val="18"/>
          <w:szCs w:val="18"/>
          <w:u w:val="single" w:color="auto"/>
          <w:color w:val="FF0000"/>
          <w:strike w:val="1"/>
        </w:rPr>
        <w:t>minus</w:t>
      </w:r>
      <w:r>
        <w:rPr>
          <w:rFonts w:ascii="Arial" w:cs="Arial" w:eastAsia="Arial" w:hAnsi="Arial"/>
          <w:sz w:val="18"/>
          <w:szCs w:val="18"/>
          <w:color w:val="FF0000"/>
          <w:strike w:val="1"/>
        </w:rPr>
        <w:t xml:space="preserve"> (ii) all Unrestricted Cash and Cash Equivalents as of such date, to (b) Consolidated EBITDA for the most recently completed Measurement Period.</w:t>
      </w:r>
    </w:p>
    <w:p>
      <w:pPr>
        <w:spacing w:after="0" w:line="18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xml:space="preserve">” means, at any time, the total assets of the Borrower and its Subsidiaries determined on a Consolidated basis at such time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amount of all intangible assets at such time, including, without limitation, all goodwill, customer lists, franchises, licenses, computer software, patents, trademarks, trade names, copyrights, service marks, brand names, unamortized deferred charges, unamortized debt discount and capitalized research and development costs.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490" w:right="479" w:bottom="1440" w:gutter="0" w:footer="0" w:header="0"/>
        </w:sectPr>
      </w:pPr>
    </w:p>
    <w:bookmarkStart w:id="63" w:name="page64"/>
    <w:bookmarkEnd w:id="63"/>
    <w:p>
      <w:pPr>
        <w:jc w:val="both"/>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means each deposit account and securities account that is subject to an account control agreement in form and substance reasonably satisfactory to the Administrative Agent and each of the applicable Issuing Lenders that is entitled to Cash Collateral hereunder at the time such control agreement is executed.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“Covered Party” has the meaning assigned thereto in Section 12.26(a).</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Convertible Senior Notes</w:t>
      </w:r>
      <w:r>
        <w:rPr>
          <w:rFonts w:ascii="Arial" w:cs="Arial" w:eastAsia="Arial" w:hAnsi="Arial"/>
          <w:sz w:val="18"/>
          <w:szCs w:val="18"/>
          <w:color w:val="FF0000"/>
          <w:strike w:val="1"/>
        </w:rPr>
        <w:t>” means the 2.875% Convertible Senior Notes due 2021, issued by the Borrower pursuant to the Convertible Senior Notes Indenture.</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Convertible Senior Notes Indenture</w:t>
      </w:r>
      <w:r>
        <w:rPr>
          <w:rFonts w:ascii="Arial" w:cs="Arial" w:eastAsia="Arial" w:hAnsi="Arial"/>
          <w:sz w:val="18"/>
          <w:szCs w:val="18"/>
          <w:color w:val="FF0000"/>
          <w:strike w:val="1"/>
        </w:rPr>
        <w:t>” means the Indenture dated as of January 29, 2014 between the Borrower, as issuer, and Wells Fargo, as trustee.</w:t>
      </w:r>
    </w:p>
    <w:p>
      <w:pPr>
        <w:spacing w:after="0" w:line="170"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Covenant Relief Period</w:t>
      </w:r>
      <w:r>
        <w:rPr>
          <w:rFonts w:ascii="Arial" w:cs="Arial" w:eastAsia="Arial" w:hAnsi="Arial"/>
          <w:sz w:val="16"/>
          <w:szCs w:val="16"/>
          <w:color w:val="FF0000"/>
          <w:strike w:val="1"/>
        </w:rPr>
        <w:t xml:space="preserve">” means the period commencing with the First Amendment Effective Date and ending on the date that the Borrower provides the financial statements referred to in </w:t>
      </w:r>
      <w:r>
        <w:rPr>
          <w:rFonts w:ascii="Arial" w:cs="Arial" w:eastAsia="Arial" w:hAnsi="Arial"/>
          <w:sz w:val="16"/>
          <w:szCs w:val="16"/>
          <w:u w:val="single" w:color="auto"/>
          <w:color w:val="FF0000"/>
          <w:strike w:val="1"/>
        </w:rPr>
        <w:t>Section 8.1(a)</w:t>
      </w:r>
      <w:r>
        <w:rPr>
          <w:rFonts w:ascii="Arial" w:cs="Arial" w:eastAsia="Arial" w:hAnsi="Arial"/>
          <w:sz w:val="16"/>
          <w:szCs w:val="16"/>
          <w:color w:val="FF0000"/>
          <w:strike w:val="1"/>
        </w:rPr>
        <w:t xml:space="preserve"> for the fiscal year ended December 31, 2019, together with a duly completed Compliance Certificate for such period pursuant to </w:t>
      </w:r>
      <w:r>
        <w:rPr>
          <w:rFonts w:ascii="Arial" w:cs="Arial" w:eastAsia="Arial" w:hAnsi="Arial"/>
          <w:sz w:val="16"/>
          <w:szCs w:val="16"/>
          <w:u w:val="single" w:color="auto"/>
          <w:color w:val="FF0000"/>
          <w:strike w:val="1"/>
        </w:rPr>
        <w:t>Section 8.2(a)</w:t>
      </w:r>
      <w:r>
        <w:rPr>
          <w:rFonts w:ascii="Arial" w:cs="Arial" w:eastAsia="Arial" w:hAnsi="Arial"/>
          <w:sz w:val="16"/>
          <w:szCs w:val="16"/>
          <w:color w:val="FF0000"/>
          <w:strike w:val="1"/>
        </w:rPr>
        <w:t xml:space="preserve"> demonstrating compliance with the financial covenants set forth in </w:t>
      </w:r>
      <w:r>
        <w:rPr>
          <w:rFonts w:ascii="Arial" w:cs="Arial" w:eastAsia="Arial" w:hAnsi="Arial"/>
          <w:sz w:val="16"/>
          <w:szCs w:val="16"/>
          <w:u w:val="single" w:color="auto"/>
          <w:color w:val="FF0000"/>
          <w:strike w:val="1"/>
        </w:rPr>
        <w:t>Section 9.11.</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collectively, the Revolving Credit Facility, the Term Loan Facility, the Swingline Facility, the L/C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collectively, the Borrower and the Guarantors.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“Currencies” means Dollars, each Alternative Currency and each Alternative L/C Currency, and “Currency” means any of such Currencies.</w:t>
      </w:r>
    </w:p>
    <w:p>
      <w:pPr>
        <w:spacing w:after="0" w:line="237" w:lineRule="exact"/>
        <w:rPr>
          <w:sz w:val="20"/>
          <w:szCs w:val="20"/>
          <w:color w:val="auto"/>
        </w:rPr>
      </w:pPr>
    </w:p>
    <w:p>
      <w:pPr>
        <w:ind w:firstLine="440"/>
        <w:spacing w:after="0" w:line="256" w:lineRule="auto"/>
        <w:rPr>
          <w:sz w:val="20"/>
          <w:szCs w:val="20"/>
          <w:color w:val="auto"/>
        </w:rPr>
      </w:pPr>
      <w:r>
        <w:rPr>
          <w:rFonts w:ascii="Arial" w:cs="Arial" w:eastAsia="Arial" w:hAnsi="Arial"/>
          <w:sz w:val="17"/>
          <w:szCs w:val="17"/>
          <w:u w:val="single" w:color="auto"/>
          <w:color w:val="0000FF"/>
        </w:rPr>
        <w:t>“Daily Simple SONIA” means, for any RFR Rate Day, a rate per annum equal to, for any Obligations, interest, fees, commissions or other amounts denominated in, or calculated with respect to Sterling, the greater of (i) SONIA for the day (such day, a “Sterling RFR Determination Day”) that is five (5) RFR Business Days prior to (A) if such RFR Rate Day is an RFR Business Day, such RFR Rate Day or (B) if such RFR Rate Day is not an RFR Business Day, the RFR Business Day immediately preceding such RFR Rate Day, in each case, as such SONIA is published by the SONIA Administrator on the SONIA Administrator’s Website; provided that if by 5:00 p.m. (London time) on the second (2</w:t>
      </w:r>
      <w:r>
        <w:rPr>
          <w:rFonts w:ascii="Arial" w:cs="Arial" w:eastAsia="Arial" w:hAnsi="Arial"/>
          <w:sz w:val="25"/>
          <w:szCs w:val="25"/>
          <w:u w:val="single" w:color="auto"/>
          <w:color w:val="0000FF"/>
          <w:vertAlign w:val="superscript"/>
        </w:rPr>
        <w:t>nd</w:t>
      </w:r>
      <w:r>
        <w:rPr>
          <w:rFonts w:ascii="Arial" w:cs="Arial" w:eastAsia="Arial" w:hAnsi="Arial"/>
          <w:sz w:val="17"/>
          <w:szCs w:val="17"/>
          <w:u w:val="single" w:color="auto"/>
          <w:color w:val="0000FF"/>
        </w:rPr>
        <w:t>) RFR Business Day immediately following any Sterling RFR Determination Day, SONIA in respect of such Sterling RFR Determination Day has not been published on the SONIA Administrator’s Website and a Benchmark Replacement Date with respect to Daily Simple SONIA has not occurred, then SONIA for such Sterling RFR Determination Day will be SONIA as published in respect of the first preceding RFR Business Day for which such SONIA was published on the SONIA Administrator’s Website; provided further that SONIA as determined pursuant to this proviso shall be utilized for purposes of calculation of Daily Simple SONIA for no more than three (3) consecutive RFR Rate Days and (ii) the Floor.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490" w:right="459" w:bottom="1440" w:gutter="0" w:footer="0" w:header="0"/>
        </w:sectPr>
      </w:pPr>
    </w:p>
    <w:bookmarkStart w:id="64" w:name="page65"/>
    <w:bookmarkEnd w:id="64"/>
    <w:p>
      <w:pPr>
        <w:ind w:right="120" w:firstLine="44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change in Daily Simple SONIA due to a change in SONIA shall be effective from and including the effective date of such change in SONIA without notice to the Borrower.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“Daily Simple SONIA Loan” means any Loan that bears interest at a rate based on Daily Simple SONIA.</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xml:space="preserve">” means the Bankruptcy Code of the United States of America, and all other liquidation, conservatorship, bankruptcy, assignment for the benefit of creditors, moratorium, rearrangement, receivership, insolvency, reorganization, or similar debtor relief </w:t>
      </w:r>
      <w:r>
        <w:rPr>
          <w:rFonts w:ascii="Arial" w:cs="Arial" w:eastAsia="Arial" w:hAnsi="Arial"/>
          <w:sz w:val="18"/>
          <w:szCs w:val="18"/>
          <w:color w:val="FF0000"/>
          <w:strike w:val="1"/>
        </w:rPr>
        <w:t>L</w:t>
      </w:r>
      <w:r>
        <w:rPr>
          <w:rFonts w:ascii="Arial" w:cs="Arial" w:eastAsia="Arial" w:hAnsi="Arial"/>
          <w:sz w:val="18"/>
          <w:szCs w:val="18"/>
          <w:u w:val="single" w:color="auto"/>
          <w:color w:val="0000FF"/>
        </w:rPr>
        <w:t>l</w:t>
      </w:r>
      <w:r>
        <w:rPr>
          <w:rFonts w:ascii="Arial" w:cs="Arial" w:eastAsia="Arial" w:hAnsi="Arial"/>
          <w:sz w:val="18"/>
          <w:szCs w:val="18"/>
          <w:color w:val="auto"/>
        </w:rPr>
        <w:t>aws of the United States or other applicable jurisdictions from time to time in effect.</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which with the passage of time, the giving of notice or any other condition, would constitute an Event of Default.</w:t>
      </w:r>
    </w:p>
    <w:p>
      <w:pPr>
        <w:spacing w:after="0" w:line="170"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5.15(b)</w:t>
      </w:r>
      <w:r>
        <w:rPr>
          <w:rFonts w:ascii="Arial" w:cs="Arial" w:eastAsia="Arial" w:hAnsi="Arial"/>
          <w:sz w:val="16"/>
          <w:szCs w:val="16"/>
          <w:color w:val="auto"/>
        </w:rPr>
        <w:t>, any Lender that (a) has failed to (i) fund all or any portion of the Revolving Credit Loans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FF0000"/>
          <w:strike w:val="1"/>
        </w:rPr>
        <w:t>participations in L/C Obligations, participations in Swingline Loans or, if applicable, any</w:t>
      </w:r>
      <w:r>
        <w:rPr>
          <w:rFonts w:ascii="Arial" w:cs="Arial" w:eastAsia="Arial" w:hAnsi="Arial"/>
          <w:sz w:val="16"/>
          <w:szCs w:val="16"/>
          <w:color w:val="FF0000"/>
        </w:rPr>
        <w:t xml:space="preserve"> </w:t>
      </w:r>
      <w:r>
        <w:rPr>
          <w:rFonts w:ascii="Arial" w:cs="Arial" w:eastAsia="Arial" w:hAnsi="Arial"/>
          <w:sz w:val="16"/>
          <w:szCs w:val="16"/>
          <w:color w:val="0000FF"/>
        </w:rPr>
        <w:t>or the</w:t>
      </w:r>
      <w:r>
        <w:rPr>
          <w:rFonts w:ascii="Arial" w:cs="Arial" w:eastAsia="Arial" w:hAnsi="Arial"/>
          <w:sz w:val="16"/>
          <w:szCs w:val="16"/>
          <w:color w:val="FF0000"/>
        </w:rPr>
        <w:t xml:space="preserve"> </w:t>
      </w:r>
      <w:r>
        <w:rPr>
          <w:rFonts w:ascii="Arial" w:cs="Arial" w:eastAsia="Arial" w:hAnsi="Arial"/>
          <w:sz w:val="16"/>
          <w:szCs w:val="16"/>
          <w:color w:val="000000"/>
        </w:rPr>
        <w:t>Term Loans required to be funded by it hereunder within</w:t>
      </w:r>
      <w:r>
        <w:rPr>
          <w:rFonts w:ascii="Arial" w:cs="Arial" w:eastAsia="Arial" w:hAnsi="Arial"/>
          <w:sz w:val="16"/>
          <w:szCs w:val="16"/>
          <w:color w:val="FF0000"/>
        </w:rPr>
        <w:t xml:space="preserve"> </w:t>
      </w:r>
      <w:r>
        <w:rPr>
          <w:rFonts w:ascii="Arial" w:cs="Arial" w:eastAsia="Arial" w:hAnsi="Arial"/>
          <w:sz w:val="16"/>
          <w:szCs w:val="16"/>
          <w:color w:val="000000"/>
        </w:rPr>
        <w:t xml:space="preserve">two Business Days of the date such Loans </w:t>
      </w:r>
      <w:r>
        <w:rPr>
          <w:rFonts w:ascii="Arial" w:cs="Arial" w:eastAsia="Arial" w:hAnsi="Arial"/>
          <w:sz w:val="16"/>
          <w:szCs w:val="16"/>
          <w:color w:val="FF0000"/>
          <w:strike w:val="1"/>
        </w:rPr>
        <w:t>or participations</w:t>
      </w:r>
      <w:r>
        <w:rPr>
          <w:rFonts w:ascii="Arial" w:cs="Arial" w:eastAsia="Arial" w:hAnsi="Arial"/>
          <w:sz w:val="16"/>
          <w:szCs w:val="16"/>
          <w:color w:val="000000"/>
        </w:rPr>
        <w:t xml:space="preserve">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w:t>
      </w:r>
      <w:r>
        <w:rPr>
          <w:rFonts w:ascii="Arial" w:cs="Arial" w:eastAsia="Arial" w:hAnsi="Arial"/>
          <w:sz w:val="16"/>
          <w:szCs w:val="16"/>
          <w:color w:val="000000"/>
        </w:rPr>
        <w:t xml:space="preserve"> Issuing Lender, the Swingline Lender or any other Lender any other amount required to be paid by it hereunder (including in respect of </w:t>
      </w:r>
      <w:r>
        <w:rPr>
          <w:rFonts w:ascii="Arial" w:cs="Arial" w:eastAsia="Arial" w:hAnsi="Arial"/>
          <w:sz w:val="16"/>
          <w:szCs w:val="16"/>
          <w:color w:val="FF0000"/>
          <w:strike w:val="1"/>
        </w:rPr>
        <w:t>its</w:t>
      </w:r>
      <w:r>
        <w:rPr>
          <w:rFonts w:ascii="Arial" w:cs="Arial" w:eastAsia="Arial" w:hAnsi="Arial"/>
          <w:sz w:val="16"/>
          <w:szCs w:val="16"/>
          <w:color w:val="000000"/>
        </w:rPr>
        <w:t xml:space="preserve"> participation</w:t>
      </w:r>
      <w:r>
        <w:rPr>
          <w:rFonts w:ascii="Arial" w:cs="Arial" w:eastAsia="Arial" w:hAnsi="Arial"/>
          <w:sz w:val="16"/>
          <w:szCs w:val="16"/>
          <w:u w:val="single" w:color="auto"/>
          <w:color w:val="0000FF"/>
        </w:rPr>
        <w:t>s</w:t>
      </w:r>
      <w:r>
        <w:rPr>
          <w:rFonts w:ascii="Arial" w:cs="Arial" w:eastAsia="Arial" w:hAnsi="Arial"/>
          <w:sz w:val="16"/>
          <w:szCs w:val="16"/>
          <w:color w:val="000000"/>
        </w:rPr>
        <w:t xml:space="preserve"> in Letters of Credit or Swingline Loans) within two Business Days of the date when due, (b) has notified the Borrower, the Administrative Agent,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w:t>
      </w:r>
      <w:r>
        <w:rPr>
          <w:rFonts w:ascii="Arial" w:cs="Arial" w:eastAsia="Arial" w:hAnsi="Arial"/>
          <w:sz w:val="16"/>
          <w:szCs w:val="16"/>
          <w:color w:val="000000"/>
        </w:rPr>
        <w:t xml:space="preserv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Lender shall cease to be a Defaulting Lender pursuant to this clause (c) upon receipt of such written confirmation by the Administrative Agent and the Borrower), or (d) has, or has a direct or indirect parent </w:t>
      </w:r>
      <w:r>
        <w:rPr>
          <w:rFonts w:ascii="Arial" w:cs="Arial" w:eastAsia="Arial" w:hAnsi="Arial"/>
          <w:sz w:val="16"/>
          <w:szCs w:val="16"/>
          <w:color w:val="FF0000"/>
          <w:strike w:val="1"/>
        </w:rPr>
        <w:t>Borrower</w:t>
      </w:r>
      <w:r>
        <w:rPr>
          <w:rFonts w:ascii="Arial" w:cs="Arial" w:eastAsia="Arial" w:hAnsi="Arial"/>
          <w:sz w:val="16"/>
          <w:szCs w:val="16"/>
          <w:u w:val="single" w:color="auto"/>
          <w:color w:val="0000FF"/>
        </w:rPr>
        <w:t>company</w:t>
      </w:r>
      <w:r>
        <w:rPr>
          <w:rFonts w:ascii="Arial" w:cs="Arial" w:eastAsia="Arial" w:hAnsi="Arial"/>
          <w:sz w:val="16"/>
          <w:szCs w:val="16"/>
          <w:color w:val="FF0000"/>
        </w:rPr>
        <w:t xml:space="preserve"> </w:t>
      </w:r>
      <w:r>
        <w:rPr>
          <w:rFonts w:ascii="Arial" w:cs="Arial" w:eastAsia="Arial" w:hAnsi="Arial"/>
          <w:sz w:val="16"/>
          <w:szCs w:val="16"/>
          <w:color w:val="000000"/>
        </w:rPr>
        <w:t>that has, (i) become the subject of a proceeding under any Debtor Relief Law, (ii) had appointed for it a receiver, custodian,</w:t>
      </w:r>
      <w:r>
        <w:rPr>
          <w:rFonts w:ascii="Arial" w:cs="Arial" w:eastAsia="Arial" w:hAnsi="Arial"/>
          <w:sz w:val="16"/>
          <w:szCs w:val="16"/>
          <w:color w:val="FF0000"/>
        </w:rPr>
        <w:t xml:space="preserve"> </w:t>
      </w:r>
      <w:r>
        <w:rPr>
          <w:rFonts w:ascii="Arial" w:cs="Arial" w:eastAsia="Arial" w:hAnsi="Arial"/>
          <w:sz w:val="16"/>
          <w:szCs w:val="16"/>
          <w:color w:val="000000"/>
        </w:rPr>
        <w:t xml:space="preserve">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Lender shall not be a Defaulting Lender solely by virtue of the ownership or acquisition of any equity interest in that Lender or any direct or indirect parent </w:t>
      </w:r>
      <w:r>
        <w:rPr>
          <w:rFonts w:ascii="Arial" w:cs="Arial" w:eastAsia="Arial" w:hAnsi="Arial"/>
          <w:sz w:val="16"/>
          <w:szCs w:val="16"/>
          <w:color w:val="FF0000"/>
          <w:strike w:val="1"/>
        </w:rPr>
        <w:t>Borrower</w:t>
      </w:r>
      <w:r>
        <w:rPr>
          <w:rFonts w:ascii="Arial" w:cs="Arial" w:eastAsia="Arial" w:hAnsi="Arial"/>
          <w:sz w:val="16"/>
          <w:szCs w:val="16"/>
          <w:u w:val="single" w:color="auto"/>
          <w:color w:val="0000FF"/>
        </w:rPr>
        <w:t>company</w:t>
      </w:r>
      <w:r>
        <w:rPr>
          <w:rFonts w:ascii="Arial" w:cs="Arial" w:eastAsia="Arial" w:hAnsi="Arial"/>
          <w:sz w:val="16"/>
          <w:szCs w:val="16"/>
          <w:color w:val="000000"/>
        </w:rPr>
        <w:t xml:space="preserve">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6"/>
          <w:szCs w:val="16"/>
          <w:u w:val="single" w:color="auto"/>
          <w:color w:val="000000"/>
        </w:rPr>
        <w:t>Section 5.15(b)</w:t>
      </w:r>
      <w:r>
        <w:rPr>
          <w:rFonts w:ascii="Arial" w:cs="Arial" w:eastAsia="Arial" w:hAnsi="Arial"/>
          <w:sz w:val="16"/>
          <w:szCs w:val="16"/>
          <w:color w:val="000000"/>
        </w:rPr>
        <w:t>) upon delivery of written notice of such determination to the Borrower, the Issuing Lender</w:t>
      </w:r>
      <w:r>
        <w:rPr>
          <w:rFonts w:ascii="Arial" w:cs="Arial" w:eastAsia="Arial" w:hAnsi="Arial"/>
          <w:sz w:val="16"/>
          <w:szCs w:val="16"/>
          <w:u w:val="single" w:color="auto"/>
          <w:color w:val="0000FF"/>
        </w:rPr>
        <w:t>s</w:t>
      </w:r>
      <w:r>
        <w:rPr>
          <w:rFonts w:ascii="Arial" w:cs="Arial" w:eastAsia="Arial" w:hAnsi="Arial"/>
          <w:sz w:val="16"/>
          <w:szCs w:val="16"/>
          <w:color w:val="000000"/>
        </w:rPr>
        <w:t>, the Swingline Lender and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-3034030</wp:posOffset>
            </wp:positionV>
            <wp:extent cx="2914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-3059430</wp:posOffset>
            </wp:positionV>
            <wp:extent cx="2921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490" w:right="459" w:bottom="1440" w:gutter="0" w:footer="0" w:header="0"/>
        </w:sectPr>
      </w:pPr>
    </w:p>
    <w:bookmarkStart w:id="65" w:name="page66"/>
    <w:bookmarkEnd w:id="65"/>
    <w:p>
      <w:pPr>
        <w:ind w:left="4" w:right="1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7"/>
          <w:szCs w:val="17"/>
          <w:u w:val="single" w:color="auto"/>
          <w:color w:val="auto"/>
        </w:rPr>
        <w:t>Deposit Account Control Agreement</w:t>
      </w:r>
      <w:r>
        <w:rPr>
          <w:rFonts w:ascii="Arial" w:cs="Arial" w:eastAsia="Arial" w:hAnsi="Arial"/>
          <w:sz w:val="17"/>
          <w:szCs w:val="17"/>
          <w:color w:val="auto"/>
        </w:rPr>
        <w:t>” shall mean an agreement in form and substance reasonably satisfactory to the Administrative Agent establishing the Administrative Agent’s “control” (as such term is defined in Section 9-104 of the UCC) with respect to, or otherwise perfecting (in any comparable manner with respect to any non-U.S. jurisdiction) the Administrative Agent’s Lien on, any deposit account.</w:t>
      </w:r>
    </w:p>
    <w:p>
      <w:pPr>
        <w:spacing w:after="0" w:line="165"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shall mean, with respect to any Person or business Disposed of for any period, the amount for such period of Consolidated EBITDA of any such Person or business so Disposed (determined using such definitions as if references to the Borrower and its Subsidiaries therein were to such Person or business), as calculated by the Borrower in good faith.</w:t>
      </w:r>
    </w:p>
    <w:p>
      <w:pPr>
        <w:spacing w:after="0" w:line="184"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including by a division of a limited liability company, and including any sale, assignment, transfer or other disposal, with or without recourse, of any notes or accounts receivable or any rights and claims associated therewith.</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Interests</w:t>
      </w:r>
      <w:r>
        <w:rPr>
          <w:rFonts w:ascii="Arial" w:cs="Arial" w:eastAsia="Arial" w:hAnsi="Arial"/>
          <w:sz w:val="16"/>
          <w:szCs w:val="16"/>
          <w:color w:val="auto"/>
        </w:rPr>
        <w:t>” means, with respect to any Person, any Equity Interests of such Person that, by its terms (or by the terms of any security or other Equity Interest into which it is convertible or for which it is exchangeable) or upon the happening of any event or condition or pursuant to any agreement,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in cash of the Loans, Obligations (including, without limitation contingent reimbursement obligations) in respect of Letters of Credit and all other Obligations (other than contingent indemnification obligations as to which no claim has been made) and the termination of the Commitments), (b) is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in cash of the Loans, Obligations (including, without limitation contingent reimbursement obligations) in respect of Letters of Credit and all other Obligations (other than contingent indemnification obligations as to which no claim has been made) and the termination of the Commitments), in whole or in part, (c) provides for the scheduled payments of dividends in cash or</w:t>
      </w:r>
    </w:p>
    <w:p>
      <w:pPr>
        <w:spacing w:after="0" w:line="4" w:lineRule="exact"/>
        <w:rPr>
          <w:sz w:val="20"/>
          <w:szCs w:val="20"/>
          <w:color w:val="auto"/>
        </w:rPr>
      </w:pPr>
    </w:p>
    <w:p>
      <w:pPr>
        <w:ind w:left="4" w:right="40" w:hanging="4"/>
        <w:spacing w:after="0" w:line="253" w:lineRule="auto"/>
        <w:tabs>
          <w:tab w:leader="none" w:pos="2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is or may be convertible into or exchangeable for Indebtedness or any other Equity Interest that would constitute Disqualified Equity Interests, in each case, prior to the date that is </w:t>
      </w:r>
      <w:r>
        <w:rPr>
          <w:rFonts w:ascii="Arial" w:cs="Arial" w:eastAsia="Arial" w:hAnsi="Arial"/>
          <w:sz w:val="18"/>
          <w:szCs w:val="18"/>
          <w:color w:val="FF0000"/>
          <w:strike w:val="1"/>
        </w:rPr>
        <w:t>ninety-one</w:t>
      </w:r>
      <w:r>
        <w:rPr>
          <w:rFonts w:ascii="Arial" w:cs="Arial" w:eastAsia="Arial" w:hAnsi="Arial"/>
          <w:sz w:val="18"/>
          <w:szCs w:val="18"/>
          <w:u w:val="single" w:color="auto"/>
          <w:color w:val="0000FF"/>
        </w:rPr>
        <w:t>one hundred eighty</w:t>
      </w:r>
      <w:r>
        <w:rPr>
          <w:rFonts w:ascii="Arial" w:cs="Arial" w:eastAsia="Arial" w:hAnsi="Arial"/>
          <w:sz w:val="18"/>
          <w:szCs w:val="18"/>
          <w:color w:val="auto"/>
        </w:rPr>
        <w:t xml:space="preserve"> (</w:t>
      </w:r>
      <w:r>
        <w:rPr>
          <w:rFonts w:ascii="Arial" w:cs="Arial" w:eastAsia="Arial" w:hAnsi="Arial"/>
          <w:sz w:val="18"/>
          <w:szCs w:val="18"/>
          <w:color w:val="FF0000"/>
          <w:strike w:val="1"/>
        </w:rPr>
        <w:t>91</w:t>
      </w:r>
      <w:r>
        <w:rPr>
          <w:rFonts w:ascii="Arial" w:cs="Arial" w:eastAsia="Arial" w:hAnsi="Arial"/>
          <w:sz w:val="18"/>
          <w:szCs w:val="18"/>
          <w:u w:val="single" w:color="auto"/>
          <w:color w:val="0000FF"/>
        </w:rPr>
        <w:t>180</w:t>
      </w:r>
      <w:r>
        <w:rPr>
          <w:rFonts w:ascii="Arial" w:cs="Arial" w:eastAsia="Arial" w:hAnsi="Arial"/>
          <w:sz w:val="18"/>
          <w:szCs w:val="18"/>
          <w:color w:val="auto"/>
        </w:rPr>
        <w:t xml:space="preserve">) days after the latest scheduled maturity date of the Loans and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Equity Interests issued pursuant to a plan for the benefit of employees of Borrower or its Subsidiaries or by any such plan to such employees shall not constitute Disqualified Equity Interests solely because it may be required to be repurchased by Borrower or its Subsidiaries in order to satisfy applicable statutory or regulatory obligations.</w:t>
      </w:r>
    </w:p>
    <w:p>
      <w:pPr>
        <w:spacing w:after="0" w:line="191"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xml:space="preserve">” means, </w:t>
      </w:r>
      <w:r>
        <w:rPr>
          <w:rFonts w:ascii="Arial" w:cs="Arial" w:eastAsia="Arial" w:hAnsi="Arial"/>
          <w:sz w:val="17"/>
          <w:szCs w:val="17"/>
          <w:color w:val="FF0000"/>
          <w:strike w:val="1"/>
        </w:rPr>
        <w:t>at</w:t>
      </w:r>
      <w:r>
        <w:rPr>
          <w:rFonts w:ascii="Arial" w:cs="Arial" w:eastAsia="Arial" w:hAnsi="Arial"/>
          <w:sz w:val="17"/>
          <w:szCs w:val="17"/>
          <w:u w:val="single" w:color="auto"/>
          <w:color w:val="0000FF"/>
        </w:rPr>
        <w:t>subject to Section 1.11, for</w:t>
      </w:r>
      <w:r>
        <w:rPr>
          <w:rFonts w:ascii="Arial" w:cs="Arial" w:eastAsia="Arial" w:hAnsi="Arial"/>
          <w:sz w:val="17"/>
          <w:szCs w:val="17"/>
          <w:color w:val="auto"/>
        </w:rPr>
        <w:t xml:space="preserve"> any </w:t>
      </w:r>
      <w:r>
        <w:rPr>
          <w:rFonts w:ascii="Arial" w:cs="Arial" w:eastAsia="Arial" w:hAnsi="Arial"/>
          <w:sz w:val="17"/>
          <w:szCs w:val="17"/>
          <w:u w:val="single" w:color="auto"/>
          <w:color w:val="0000FF"/>
        </w:rPr>
        <w:t>amount, at the</w:t>
      </w:r>
      <w:r>
        <w:rPr>
          <w:rFonts w:ascii="Arial" w:cs="Arial" w:eastAsia="Arial" w:hAnsi="Arial"/>
          <w:sz w:val="17"/>
          <w:szCs w:val="17"/>
          <w:color w:val="auto"/>
        </w:rPr>
        <w:t xml:space="preserve"> time </w:t>
      </w:r>
      <w:r>
        <w:rPr>
          <w:rFonts w:ascii="Arial" w:cs="Arial" w:eastAsia="Arial" w:hAnsi="Arial"/>
          <w:sz w:val="17"/>
          <w:szCs w:val="17"/>
          <w:color w:val="0000FF"/>
        </w:rPr>
        <w:t>of determination thereof</w:t>
      </w:r>
      <w:r>
        <w:rPr>
          <w:rFonts w:ascii="Arial" w:cs="Arial" w:eastAsia="Arial" w:hAnsi="Arial"/>
          <w:sz w:val="17"/>
          <w:szCs w:val="17"/>
          <w:color w:val="auto"/>
        </w:rPr>
        <w:t xml:space="preserve">, (a) </w:t>
      </w:r>
      <w:r>
        <w:rPr>
          <w:rFonts w:ascii="Arial" w:cs="Arial" w:eastAsia="Arial" w:hAnsi="Arial"/>
          <w:sz w:val="17"/>
          <w:szCs w:val="17"/>
          <w:color w:val="FF0000"/>
          <w:strike w:val="1"/>
        </w:rPr>
        <w:t>with respect to any</w:t>
      </w:r>
      <w:r>
        <w:rPr>
          <w:rFonts w:ascii="Arial" w:cs="Arial" w:eastAsia="Arial" w:hAnsi="Arial"/>
          <w:sz w:val="17"/>
          <w:szCs w:val="17"/>
          <w:u w:val="single" w:color="auto"/>
          <w:color w:val="0000FF"/>
        </w:rPr>
        <w:t>if such</w:t>
      </w:r>
      <w:r>
        <w:rPr>
          <w:rFonts w:ascii="Arial" w:cs="Arial" w:eastAsia="Arial" w:hAnsi="Arial"/>
          <w:sz w:val="17"/>
          <w:szCs w:val="17"/>
          <w:color w:val="auto"/>
        </w:rPr>
        <w:t xml:space="preserve"> amount </w:t>
      </w:r>
      <w:r>
        <w:rPr>
          <w:rFonts w:ascii="Arial" w:cs="Arial" w:eastAsia="Arial" w:hAnsi="Arial"/>
          <w:sz w:val="17"/>
          <w:szCs w:val="17"/>
          <w:color w:val="FF0000"/>
          <w:strike w:val="1"/>
        </w:rPr>
        <w:t>denominated</w:t>
      </w:r>
      <w:r>
        <w:rPr>
          <w:rFonts w:ascii="Arial" w:cs="Arial" w:eastAsia="Arial" w:hAnsi="Arial"/>
          <w:sz w:val="17"/>
          <w:szCs w:val="17"/>
          <w:u w:val="single" w:color="auto"/>
          <w:color w:val="0000FF"/>
        </w:rPr>
        <w:t>is expressed</w:t>
      </w:r>
      <w:r>
        <w:rPr>
          <w:rFonts w:ascii="Arial" w:cs="Arial" w:eastAsia="Arial" w:hAnsi="Arial"/>
          <w:sz w:val="17"/>
          <w:szCs w:val="17"/>
          <w:color w:val="FF0000"/>
        </w:rPr>
        <w:t xml:space="preserve"> </w:t>
      </w:r>
      <w:r>
        <w:rPr>
          <w:rFonts w:ascii="Arial" w:cs="Arial" w:eastAsia="Arial" w:hAnsi="Arial"/>
          <w:sz w:val="17"/>
          <w:szCs w:val="17"/>
          <w:color w:val="000000"/>
        </w:rPr>
        <w:t>in Dollars, such amount,</w:t>
      </w:r>
      <w:r>
        <w:rPr>
          <w:rFonts w:ascii="Arial" w:cs="Arial" w:eastAsia="Arial" w:hAnsi="Arial"/>
          <w:sz w:val="17"/>
          <w:szCs w:val="17"/>
          <w:color w:val="FF0000"/>
        </w:rPr>
        <w:t xml:space="preserve"> </w:t>
      </w:r>
      <w:r>
        <w:rPr>
          <w:rFonts w:ascii="Arial" w:cs="Arial" w:eastAsia="Arial" w:hAnsi="Arial"/>
          <w:sz w:val="17"/>
          <w:szCs w:val="17"/>
          <w:color w:val="FF0000"/>
          <w:strike w:val="1"/>
        </w:rPr>
        <w:t>and</w:t>
      </w:r>
      <w:r>
        <w:rPr>
          <w:rFonts w:ascii="Arial" w:cs="Arial" w:eastAsia="Arial" w:hAnsi="Arial"/>
          <w:sz w:val="17"/>
          <w:szCs w:val="17"/>
          <w:color w:val="FF0000"/>
        </w:rPr>
        <w:t xml:space="preserve"> </w:t>
      </w:r>
      <w:r>
        <w:rPr>
          <w:rFonts w:ascii="Arial" w:cs="Arial" w:eastAsia="Arial" w:hAnsi="Arial"/>
          <w:sz w:val="17"/>
          <w:szCs w:val="17"/>
          <w:color w:val="000000"/>
        </w:rPr>
        <w:t>(b)</w:t>
      </w:r>
      <w:r>
        <w:rPr>
          <w:rFonts w:ascii="Arial" w:cs="Arial" w:eastAsia="Arial" w:hAnsi="Arial"/>
          <w:sz w:val="17"/>
          <w:szCs w:val="17"/>
          <w:color w:val="FF0000"/>
        </w:rPr>
        <w:t xml:space="preserve"> </w:t>
      </w:r>
      <w:r>
        <w:rPr>
          <w:rFonts w:ascii="Arial" w:cs="Arial" w:eastAsia="Arial" w:hAnsi="Arial"/>
          <w:sz w:val="17"/>
          <w:szCs w:val="17"/>
          <w:color w:val="FF0000"/>
          <w:strike w:val="1"/>
        </w:rPr>
        <w:t>with respect to any amount denominated in any Alternative</w:t>
      </w:r>
      <w:r>
        <w:rPr>
          <w:rFonts w:ascii="Arial" w:cs="Arial" w:eastAsia="Arial" w:hAnsi="Arial"/>
          <w:sz w:val="17"/>
          <w:szCs w:val="17"/>
          <w:u w:val="single" w:color="auto"/>
          <w:color w:val="0000FF"/>
        </w:rPr>
        <w:t>if such amount is expressed in a</w:t>
      </w:r>
      <w:r>
        <w:rPr>
          <w:rFonts w:ascii="Arial" w:cs="Arial" w:eastAsia="Arial" w:hAnsi="Arial"/>
          <w:sz w:val="17"/>
          <w:szCs w:val="17"/>
          <w:color w:val="FF0000"/>
        </w:rPr>
        <w:t xml:space="preserve"> </w:t>
      </w:r>
      <w:r>
        <w:rPr>
          <w:rFonts w:ascii="Arial" w:cs="Arial" w:eastAsia="Arial" w:hAnsi="Arial"/>
          <w:sz w:val="17"/>
          <w:szCs w:val="17"/>
          <w:color w:val="FF0000"/>
          <w:strike w:val="1"/>
        </w:rPr>
        <w:t>C</w:t>
      </w:r>
      <w:r>
        <w:rPr>
          <w:rFonts w:ascii="Arial" w:cs="Arial" w:eastAsia="Arial" w:hAnsi="Arial"/>
          <w:sz w:val="17"/>
          <w:szCs w:val="17"/>
          <w:u w:val="single" w:color="auto"/>
          <w:color w:val="0000FF"/>
        </w:rPr>
        <w:t>c</w:t>
      </w:r>
      <w:r>
        <w:rPr>
          <w:rFonts w:ascii="Arial" w:cs="Arial" w:eastAsia="Arial" w:hAnsi="Arial"/>
          <w:sz w:val="17"/>
          <w:szCs w:val="17"/>
          <w:color w:val="000000"/>
        </w:rPr>
        <w:t>urrency</w:t>
      </w:r>
      <w:r>
        <w:rPr>
          <w:rFonts w:ascii="Arial" w:cs="Arial" w:eastAsia="Arial" w:hAnsi="Arial"/>
          <w:sz w:val="17"/>
          <w:szCs w:val="17"/>
          <w:color w:val="FF0000"/>
        </w:rPr>
        <w:t xml:space="preserve"> </w:t>
      </w:r>
      <w:r>
        <w:rPr>
          <w:rFonts w:ascii="Arial" w:cs="Arial" w:eastAsia="Arial" w:hAnsi="Arial"/>
          <w:sz w:val="17"/>
          <w:szCs w:val="17"/>
          <w:color w:val="FF0000"/>
          <w:strike w:val="1"/>
        </w:rPr>
        <w:t>or Alternative L/C Currency</w:t>
      </w:r>
      <w:r>
        <w:rPr>
          <w:rFonts w:ascii="Arial" w:cs="Arial" w:eastAsia="Arial" w:hAnsi="Arial"/>
          <w:sz w:val="17"/>
          <w:szCs w:val="17"/>
          <w:u w:val="single" w:color="auto"/>
          <w:color w:val="0000FF"/>
        </w:rPr>
        <w:t>other Dollars</w:t>
      </w:r>
      <w:r>
        <w:rPr>
          <w:rFonts w:ascii="Arial" w:cs="Arial" w:eastAsia="Arial" w:hAnsi="Arial"/>
          <w:sz w:val="17"/>
          <w:szCs w:val="17"/>
          <w:color w:val="000000"/>
        </w:rPr>
        <w:t>, the equivalent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of such</w:t>
      </w:r>
      <w:r>
        <w:rPr>
          <w:rFonts w:ascii="Arial" w:cs="Arial" w:eastAsia="Arial" w:hAnsi="Arial"/>
          <w:sz w:val="17"/>
          <w:szCs w:val="17"/>
          <w:color w:val="FF0000"/>
        </w:rPr>
        <w:t xml:space="preserve"> </w:t>
      </w:r>
      <w:r>
        <w:rPr>
          <w:rFonts w:ascii="Arial" w:cs="Arial" w:eastAsia="Arial" w:hAnsi="Arial"/>
          <w:sz w:val="17"/>
          <w:szCs w:val="17"/>
          <w:color w:val="000000"/>
        </w:rPr>
        <w:t>amount</w:t>
      </w:r>
      <w:r>
        <w:rPr>
          <w:rFonts w:ascii="Arial" w:cs="Arial" w:eastAsia="Arial" w:hAnsi="Arial"/>
          <w:sz w:val="17"/>
          <w:szCs w:val="17"/>
          <w:color w:val="FF0000"/>
        </w:rPr>
        <w:t xml:space="preserve"> </w:t>
      </w:r>
      <w:r>
        <w:rPr>
          <w:rFonts w:ascii="Arial" w:cs="Arial" w:eastAsia="Arial" w:hAnsi="Arial"/>
          <w:sz w:val="17"/>
          <w:szCs w:val="17"/>
          <w:color w:val="FF0000"/>
          <w:strike w:val="1"/>
        </w:rPr>
        <w:t>thereof</w:t>
      </w:r>
      <w:r>
        <w:rPr>
          <w:rFonts w:ascii="Arial" w:cs="Arial" w:eastAsia="Arial" w:hAnsi="Arial"/>
          <w:sz w:val="17"/>
          <w:szCs w:val="17"/>
          <w:color w:val="FF0000"/>
        </w:rPr>
        <w:t xml:space="preserve"> </w:t>
      </w:r>
      <w:r>
        <w:rPr>
          <w:rFonts w:ascii="Arial" w:cs="Arial" w:eastAsia="Arial" w:hAnsi="Arial"/>
          <w:sz w:val="17"/>
          <w:szCs w:val="17"/>
          <w:color w:val="000000"/>
        </w:rPr>
        <w:t>in Dollars</w:t>
      </w:r>
      <w:r>
        <w:rPr>
          <w:rFonts w:ascii="Arial" w:cs="Arial" w:eastAsia="Arial" w:hAnsi="Arial"/>
          <w:sz w:val="17"/>
          <w:szCs w:val="17"/>
          <w:color w:val="FF0000"/>
        </w:rPr>
        <w:t xml:space="preserve"> </w:t>
      </w:r>
      <w:r>
        <w:rPr>
          <w:rFonts w:ascii="Arial" w:cs="Arial" w:eastAsia="Arial" w:hAnsi="Arial"/>
          <w:sz w:val="17"/>
          <w:szCs w:val="17"/>
          <w:color w:val="FF0000"/>
          <w:strike w:val="1"/>
        </w:rPr>
        <w:t>as</w:t>
      </w:r>
      <w:r>
        <w:rPr>
          <w:rFonts w:ascii="Arial" w:cs="Arial" w:eastAsia="Arial" w:hAnsi="Arial"/>
          <w:sz w:val="17"/>
          <w:szCs w:val="17"/>
          <w:color w:val="FF0000"/>
        </w:rPr>
        <w:t xml:space="preserve"> </w:t>
      </w:r>
      <w:r>
        <w:rPr>
          <w:rFonts w:ascii="Arial" w:cs="Arial" w:eastAsia="Arial" w:hAnsi="Arial"/>
          <w:sz w:val="17"/>
          <w:szCs w:val="17"/>
          <w:color w:val="000000"/>
        </w:rPr>
        <w:t>determined by the Administrative Agent</w:t>
      </w:r>
      <w:r>
        <w:rPr>
          <w:rFonts w:ascii="Arial" w:cs="Arial" w:eastAsia="Arial" w:hAnsi="Arial"/>
          <w:sz w:val="17"/>
          <w:szCs w:val="17"/>
          <w:color w:val="FF0000"/>
        </w:rPr>
        <w:t xml:space="preserve"> </w:t>
      </w:r>
      <w:r>
        <w:rPr>
          <w:rFonts w:ascii="Arial" w:cs="Arial" w:eastAsia="Arial" w:hAnsi="Arial"/>
          <w:sz w:val="17"/>
          <w:szCs w:val="17"/>
          <w:color w:val="FF0000"/>
          <w:strike w:val="1"/>
        </w:rPr>
        <w:t>or an</w:t>
      </w:r>
      <w:r>
        <w:rPr>
          <w:rFonts w:ascii="Arial" w:cs="Arial" w:eastAsia="Arial" w:hAnsi="Arial"/>
          <w:sz w:val="17"/>
          <w:szCs w:val="17"/>
          <w:color w:val="FF0000"/>
        </w:rPr>
        <w:t xml:space="preserve"> </w:t>
      </w:r>
      <w:r>
        <w:rPr>
          <w:rFonts w:ascii="Arial" w:cs="Arial" w:eastAsia="Arial" w:hAnsi="Arial"/>
          <w:sz w:val="17"/>
          <w:szCs w:val="17"/>
          <w:color w:val="FF0000"/>
          <w:strike w:val="1"/>
        </w:rPr>
        <w:t>Issuing Lender, as applicable,</w:t>
      </w:r>
      <w:r>
        <w:rPr>
          <w:rFonts w:ascii="Arial" w:cs="Arial" w:eastAsia="Arial" w:hAnsi="Arial"/>
          <w:sz w:val="17"/>
          <w:szCs w:val="17"/>
          <w:color w:val="FF0000"/>
        </w:rPr>
        <w:t xml:space="preserve"> </w:t>
      </w:r>
      <w:r>
        <w:rPr>
          <w:rFonts w:ascii="Arial" w:cs="Arial" w:eastAsia="Arial" w:hAnsi="Arial"/>
          <w:sz w:val="17"/>
          <w:szCs w:val="17"/>
          <w:color w:val="000000"/>
        </w:rPr>
        <w:t>at such time on the basis of the Spot Rate</w:t>
      </w:r>
      <w:r>
        <w:rPr>
          <w:rFonts w:ascii="Arial" w:cs="Arial" w:eastAsia="Arial" w:hAnsi="Arial"/>
          <w:sz w:val="17"/>
          <w:szCs w:val="17"/>
          <w:color w:val="FF0000"/>
        </w:rPr>
        <w:t xml:space="preserve"> </w:t>
      </w:r>
      <w:r>
        <w:rPr>
          <w:rFonts w:ascii="Arial" w:cs="Arial" w:eastAsia="Arial" w:hAnsi="Arial"/>
          <w:sz w:val="17"/>
          <w:szCs w:val="17"/>
          <w:color w:val="FF0000"/>
          <w:strike w:val="1"/>
        </w:rPr>
        <w:t>(</w:t>
      </w:r>
      <w:r>
        <w:rPr>
          <w:rFonts w:ascii="Arial" w:cs="Arial" w:eastAsia="Arial" w:hAnsi="Arial"/>
          <w:sz w:val="17"/>
          <w:szCs w:val="17"/>
          <w:u w:val="single" w:color="auto"/>
          <w:color w:val="0000FF"/>
        </w:rPr>
        <w:t>for such currency</w:t>
      </w:r>
      <w:r>
        <w:rPr>
          <w:rFonts w:ascii="Arial" w:cs="Arial" w:eastAsia="Arial" w:hAnsi="Arial"/>
          <w:sz w:val="17"/>
          <w:szCs w:val="17"/>
          <w:color w:val="FF0000"/>
        </w:rPr>
        <w:t xml:space="preserve"> </w:t>
      </w:r>
      <w:r>
        <w:rPr>
          <w:rFonts w:ascii="Arial" w:cs="Arial" w:eastAsia="Arial" w:hAnsi="Arial"/>
          <w:sz w:val="17"/>
          <w:szCs w:val="17"/>
          <w:color w:val="000000"/>
        </w:rPr>
        <w:t>determined in respect of the most recent Revaluation Date</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color w:val="000000"/>
        </w:rPr>
        <w:t xml:space="preserve">for the purchase of Dollars with such </w:t>
      </w:r>
      <w:r>
        <w:rPr>
          <w:rFonts w:ascii="Arial" w:cs="Arial" w:eastAsia="Arial" w:hAnsi="Arial"/>
          <w:sz w:val="17"/>
          <w:szCs w:val="17"/>
          <w:color w:val="FF0000"/>
          <w:strike w:val="1"/>
        </w:rPr>
        <w:t>Alternative C</w:t>
      </w:r>
      <w:r>
        <w:rPr>
          <w:rFonts w:ascii="Arial" w:cs="Arial" w:eastAsia="Arial" w:hAnsi="Arial"/>
          <w:sz w:val="17"/>
          <w:szCs w:val="17"/>
          <w:u w:val="single" w:color="auto"/>
          <w:color w:val="0000FF"/>
        </w:rPr>
        <w:t>c</w:t>
      </w:r>
      <w:r>
        <w:rPr>
          <w:rFonts w:ascii="Arial" w:cs="Arial" w:eastAsia="Arial" w:hAnsi="Arial"/>
          <w:sz w:val="17"/>
          <w:szCs w:val="17"/>
          <w:color w:val="000000"/>
        </w:rPr>
        <w:t xml:space="preserve">urrency </w:t>
      </w:r>
      <w:r>
        <w:rPr>
          <w:rFonts w:ascii="Arial" w:cs="Arial" w:eastAsia="Arial" w:hAnsi="Arial"/>
          <w:sz w:val="17"/>
          <w:szCs w:val="17"/>
          <w:color w:val="FF0000"/>
        </w:rPr>
        <w:t>or Alternative L/C Currency</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-564515</wp:posOffset>
            </wp:positionV>
            <wp:extent cx="11398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-589915</wp:posOffset>
            </wp:positionV>
            <wp:extent cx="11391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39190" cy="889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-92710</wp:posOffset>
            </wp:positionV>
            <wp:extent cx="13125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15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unless otherwise qualified, dollars in lawful currency of the United States.</w:t>
      </w:r>
    </w:p>
    <w:p>
      <w:pPr>
        <w:spacing w:after="0" w:line="225"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organized under the laws of any political subdivision of the United States, but excluding any Subsidiary of the Borrower directly or indirectly owned by a Subsidiary organized under the laws of any political subdivision outside than the United States.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490" w:right="479" w:bottom="1440" w:gutter="0" w:footer="0" w:header="0"/>
        </w:sectPr>
      </w:pPr>
    </w:p>
    <w:bookmarkStart w:id="66" w:name="page67"/>
    <w:bookmarkEnd w:id="66"/>
    <w:p>
      <w:pPr>
        <w:ind w:right="2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EI/Adapt Intercompany Loan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9.3(t)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EI/PaxVax Intercompany Loan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9.3(v)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“Electronic Record” has the meaning assigned to that term in, and shall be interpreted in accordance with, 15 U.S.C. 7006.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“Electronic Signature” has the meaning assigned to that term in, and shall be interpreted in accordance with, 15 U.S.C. 7006.</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12.9(b)(iii)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12.9(b)(iii)</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Emergent International</w:t>
      </w:r>
      <w:r>
        <w:rPr>
          <w:rFonts w:ascii="Arial" w:cs="Arial" w:eastAsia="Arial" w:hAnsi="Arial"/>
          <w:sz w:val="18"/>
          <w:szCs w:val="18"/>
          <w:color w:val="auto"/>
        </w:rPr>
        <w:t>” means Emergent International Inc., a Delaware corporation.</w:t>
      </w:r>
    </w:p>
    <w:p>
      <w:pPr>
        <w:spacing w:after="0" w:line="225"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spacing w:after="0" w:line="16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EMU</w:t>
      </w:r>
      <w:r>
        <w:rPr>
          <w:rFonts w:ascii="Arial" w:cs="Arial" w:eastAsia="Arial" w:hAnsi="Arial"/>
          <w:sz w:val="18"/>
          <w:szCs w:val="18"/>
          <w:color w:val="FF0000"/>
          <w:strike w:val="1"/>
        </w:rPr>
        <w:t>” means the economic and monetary union in accordance with the Treaty of Rome 1957, as amended by the Single European Act 1986, the Maastricht Treaty of 1992 and the Amsterdam Treaty of 1998.</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xml:space="preserve">” means the legislative measures of the </w:t>
      </w:r>
      <w:r>
        <w:rPr>
          <w:rFonts w:ascii="Arial" w:cs="Arial" w:eastAsia="Arial" w:hAnsi="Arial"/>
          <w:sz w:val="18"/>
          <w:szCs w:val="18"/>
          <w:color w:val="FF0000"/>
          <w:strike w:val="1"/>
        </w:rPr>
        <w:t>EMU</w:t>
      </w:r>
      <w:r>
        <w:rPr>
          <w:rFonts w:ascii="Arial" w:cs="Arial" w:eastAsia="Arial" w:hAnsi="Arial"/>
          <w:sz w:val="18"/>
          <w:szCs w:val="18"/>
          <w:u w:val="single" w:color="auto"/>
          <w:color w:val="0000FF"/>
        </w:rPr>
        <w:t>European Council</w:t>
      </w:r>
      <w:r>
        <w:rPr>
          <w:rFonts w:ascii="Arial" w:cs="Arial" w:eastAsia="Arial" w:hAnsi="Arial"/>
          <w:sz w:val="18"/>
          <w:szCs w:val="18"/>
          <w:color w:val="auto"/>
        </w:rPr>
        <w:t xml:space="preserve"> for the introduction of, changeover to or operation of a single or unified European currency.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means the separate letter agreement dated August 28, 2018 among the Borrower and the Lead Arranger.</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490" w:right="479" w:bottom="1440" w:gutter="0" w:footer="0" w:header="0"/>
        </w:sectPr>
      </w:pPr>
    </w:p>
    <w:bookmarkStart w:id="67" w:name="page68"/>
    <w:bookmarkEnd w:id="67"/>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public health or the environment.</w:t>
      </w:r>
    </w:p>
    <w:p>
      <w:pPr>
        <w:spacing w:after="0" w:line="165"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Federal, state, local, and foreign statutes, laws, regulations, ordinances, rules, judgments, orders, decrees, permits, concessions, grants, franchises, licenses, agreements or governmental restrictions to the extent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Credit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or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490" w:right="45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“Erroneous Payment” has the meaning assigned thereto in Section 11.11(a).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“Erroneous Payment Deficiency Assignment” has the meaning assigned thereto in Section 11.11(d).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“Erroneous Payment Impacted Class” has the meaning assigned thereto in Section 11.11(d).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“Erroneous Payment Return Deficiency” has the meaning assigned thereto in Section 11.11(d).</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thereto),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“EURIBOR” has the meaning assigned thereto in the definition of “Eurocurrency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xml:space="preserve">” mean the </w:t>
      </w:r>
      <w:r>
        <w:rPr>
          <w:rFonts w:ascii="Arial" w:cs="Arial" w:eastAsia="Arial" w:hAnsi="Arial"/>
          <w:sz w:val="17"/>
          <w:szCs w:val="17"/>
          <w:color w:val="FF0000"/>
          <w:strike w:val="1"/>
        </w:rPr>
        <w:t>lawful</w:t>
      </w:r>
      <w:r>
        <w:rPr>
          <w:rFonts w:ascii="Arial" w:cs="Arial" w:eastAsia="Arial" w:hAnsi="Arial"/>
          <w:sz w:val="17"/>
          <w:szCs w:val="17"/>
          <w:u w:val="single" w:color="auto"/>
          <w:color w:val="0000FF"/>
        </w:rPr>
        <w:t>single</w:t>
      </w:r>
      <w:r>
        <w:rPr>
          <w:rFonts w:ascii="Arial" w:cs="Arial" w:eastAsia="Arial" w:hAnsi="Arial"/>
          <w:sz w:val="17"/>
          <w:szCs w:val="17"/>
          <w:color w:val="auto"/>
        </w:rPr>
        <w:t xml:space="preserve"> currency of the Participating Member States introduced in accordance with the EMU Legislation.</w:t>
      </w:r>
    </w:p>
    <w:p>
      <w:pPr>
        <w:spacing w:after="0" w:line="237" w:lineRule="exact"/>
        <w:rPr>
          <w:sz w:val="20"/>
          <w:szCs w:val="20"/>
          <w:color w:val="auto"/>
        </w:rPr>
      </w:pPr>
    </w:p>
    <w:p>
      <w:pPr>
        <w:jc w:val="both"/>
        <w:ind w:right="60" w:firstLine="440"/>
        <w:spacing w:after="0" w:line="279" w:lineRule="auto"/>
        <w:rPr>
          <w:sz w:val="20"/>
          <w:szCs w:val="20"/>
          <w:color w:val="auto"/>
        </w:rPr>
      </w:pPr>
      <w:r>
        <w:rPr>
          <w:rFonts w:ascii="Arial" w:cs="Arial" w:eastAsia="Arial" w:hAnsi="Arial"/>
          <w:sz w:val="17"/>
          <w:szCs w:val="17"/>
          <w:u w:val="single" w:color="auto"/>
          <w:color w:val="0000FF"/>
        </w:rPr>
        <w:t>“Eurocurrency Banking Day” means (a) for Obligations, interest, fees, commissions or other amounts denominated in, or calculated with respect to, Euros, a TARGET Day and (b) for Obligations, interest, fees, commissions or other amounts denominated in, or calculated with respect to, Canadian Dollars, any day (other than a Saturday or Sunday)</w:t>
      </w:r>
      <w:r>
        <w:rPr>
          <w:rFonts w:ascii="Arial" w:cs="Arial" w:eastAsia="Arial" w:hAnsi="Arial"/>
          <w:sz w:val="17"/>
          <w:szCs w:val="17"/>
          <w:color w:val="0000FF"/>
        </w:rPr>
        <w:t xml:space="preserve"> </w:t>
      </w:r>
      <w:r>
        <w:rPr>
          <w:rFonts w:ascii="Arial" w:cs="Arial" w:eastAsia="Arial" w:hAnsi="Arial"/>
          <w:sz w:val="17"/>
          <w:szCs w:val="17"/>
          <w:color w:val="008000"/>
        </w:rPr>
        <w:t>on which banks are open for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business in Toronto; provided, that for purposes of notice requirements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in Sections 2.3(a), 2.4(c), 4.2(a), 4.4(a) and 5.2, in each case, such day is also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-156210</wp:posOffset>
            </wp:positionV>
            <wp:extent cx="13544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-181610</wp:posOffset>
            </wp:positionV>
            <wp:extent cx="13550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Rate</w:t>
      </w:r>
      <w:r>
        <w:rPr>
          <w:rFonts w:ascii="Arial" w:cs="Arial" w:eastAsia="Arial" w:hAnsi="Arial"/>
          <w:sz w:val="17"/>
          <w:szCs w:val="17"/>
          <w:color w:val="auto"/>
        </w:rPr>
        <w:t xml:space="preserve">” means, </w:t>
      </w:r>
      <w:r>
        <w:rPr>
          <w:rFonts w:ascii="Arial" w:cs="Arial" w:eastAsia="Arial" w:hAnsi="Arial"/>
          <w:sz w:val="17"/>
          <w:szCs w:val="17"/>
          <w:color w:val="FF0000"/>
          <w:strike w:val="1"/>
        </w:rPr>
        <w:t>subject to the implementation of a Replacement Rate</w:t>
      </w:r>
      <w:r>
        <w:rPr>
          <w:rFonts w:ascii="Arial" w:cs="Arial" w:eastAsia="Arial" w:hAnsi="Arial"/>
          <w:sz w:val="17"/>
          <w:szCs w:val="17"/>
          <w:color w:val="auto"/>
        </w:rPr>
        <w:t xml:space="preserve"> </w:t>
      </w:r>
      <w:r>
        <w:rPr>
          <w:rFonts w:ascii="Arial" w:cs="Arial" w:eastAsia="Arial" w:hAnsi="Arial"/>
          <w:sz w:val="17"/>
          <w:szCs w:val="17"/>
          <w:color w:val="008000"/>
          <w:strike w:val="1"/>
        </w:rPr>
        <w:t>in accordance with</w:t>
      </w:r>
      <w:r>
        <w:rPr>
          <w:rFonts w:ascii="Arial" w:cs="Arial" w:eastAsia="Arial" w:hAnsi="Arial"/>
          <w:sz w:val="17"/>
          <w:szCs w:val="17"/>
          <w:color w:val="auto"/>
        </w:rPr>
        <w:t xml:space="preserve"> </w:t>
      </w:r>
      <w:r>
        <w:rPr>
          <w:rFonts w:ascii="Arial" w:cs="Arial" w:eastAsia="Arial" w:hAnsi="Arial"/>
          <w:sz w:val="17"/>
          <w:szCs w:val="17"/>
          <w:u w:val="single" w:color="auto"/>
          <w:color w:val="008000"/>
          <w:strike w:val="1"/>
        </w:rPr>
        <w:t>Section 5.8(c)</w:t>
      </w:r>
      <w:r>
        <w:rPr>
          <w:rFonts w:ascii="Arial" w:cs="Arial" w:eastAsia="Arial" w:hAnsi="Arial"/>
          <w:sz w:val="17"/>
          <w:szCs w:val="17"/>
          <w:color w:val="FF0000"/>
          <w:strike w:val="1"/>
        </w:rPr>
        <w:t>, with respect to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Extension of Credit</w:t>
      </w:r>
      <w:r>
        <w:rPr>
          <w:rFonts w:ascii="Arial" w:cs="Arial" w:eastAsia="Arial" w:hAnsi="Arial"/>
          <w:sz w:val="18"/>
          <w:szCs w:val="18"/>
          <w:u w:val="single" w:color="auto"/>
          <w:color w:val="0000FF"/>
        </w:rPr>
        <w:t>for any Eurocurrency Rate Loan for any Interest Period</w:t>
      </w:r>
      <w:r>
        <w:rPr>
          <w:rFonts w:ascii="Arial" w:cs="Arial" w:eastAsia="Arial" w:hAnsi="Arial"/>
          <w:sz w:val="18"/>
          <w:szCs w:val="18"/>
          <w:color w:val="000000"/>
        </w:rPr>
        <w:t>:</w:t>
      </w:r>
    </w:p>
    <w:p>
      <w:pPr>
        <w:spacing w:after="0" w:line="103" w:lineRule="exact"/>
        <w:rPr>
          <w:sz w:val="20"/>
          <w:szCs w:val="20"/>
          <w:color w:val="auto"/>
        </w:rPr>
      </w:pPr>
    </w:p>
    <w:p>
      <w:pPr>
        <w:ind w:right="60" w:firstLine="436"/>
        <w:spacing w:after="0" w:line="287" w:lineRule="auto"/>
        <w:tabs>
          <w:tab w:leader="none" w:pos="685" w:val="left"/>
        </w:tabs>
        <w:numPr>
          <w:ilvl w:val="0"/>
          <w:numId w:val="39"/>
        </w:numPr>
        <w:rPr>
          <w:rFonts w:ascii="Arial" w:cs="Arial" w:eastAsia="Arial" w:hAnsi="Arial"/>
          <w:sz w:val="16"/>
          <w:szCs w:val="16"/>
          <w:color w:val="FF0000"/>
          <w:strike w:val="1"/>
        </w:rPr>
      </w:pPr>
      <w:r>
        <w:rPr>
          <w:rFonts w:ascii="Arial" w:cs="Arial" w:eastAsia="Arial" w:hAnsi="Arial"/>
          <w:sz w:val="16"/>
          <w:szCs w:val="16"/>
          <w:color w:val="FF0000"/>
          <w:strike w:val="1"/>
        </w:rPr>
        <w:t>denominated in a LIBOR Currency, the rate of interest per annum determined on the basis of the rate for deposits in such LIBOR Currency for a period equal to the applicable Interest Period as published by the ICE Benchmark Administration Limited, a United Kingdom company, or a comparable or successor quoting service approved by the Administrative Agent (or, if applicable, the Replacement Rate in accordance with</w:t>
      </w:r>
    </w:p>
    <w:p>
      <w:pPr>
        <w:spacing w:after="0" w:line="2" w:lineRule="exact"/>
        <w:rPr>
          <w:rFonts w:ascii="Arial" w:cs="Arial" w:eastAsia="Arial" w:hAnsi="Arial"/>
          <w:sz w:val="16"/>
          <w:szCs w:val="16"/>
          <w:color w:val="FF0000"/>
          <w:strike w:val="1"/>
        </w:rPr>
      </w:pPr>
    </w:p>
    <w:p>
      <w:pPr>
        <w:spacing w:after="0" w:line="295" w:lineRule="auto"/>
        <w:rPr>
          <w:rFonts w:ascii="Arial" w:cs="Arial" w:eastAsia="Arial" w:hAnsi="Arial"/>
          <w:sz w:val="16"/>
          <w:szCs w:val="16"/>
          <w:color w:val="FF0000"/>
          <w:strike w:val="1"/>
        </w:rPr>
      </w:pPr>
      <w:r>
        <w:rPr>
          <w:rFonts w:ascii="Arial" w:cs="Arial" w:eastAsia="Arial" w:hAnsi="Arial"/>
          <w:sz w:val="16"/>
          <w:szCs w:val="16"/>
          <w:u w:val="single" w:color="auto"/>
          <w:color w:val="FF0000"/>
          <w:strike w:val="1"/>
        </w:rPr>
        <w:t>Section 5.8(c)</w:t>
      </w:r>
      <w:r>
        <w:rPr>
          <w:rFonts w:ascii="Arial" w:cs="Arial" w:eastAsia="Arial" w:hAnsi="Arial"/>
          <w:sz w:val="16"/>
          <w:szCs w:val="16"/>
          <w:color w:val="FF0000"/>
          <w:strike w:val="1"/>
        </w:rPr>
        <w:t>), at approximately 11:00 a.m. (London time) two (2) London Banking Days prior to the first day of the applicable Interest Period (or if,</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for any reason, such rate is not so published, the rate determined by the Administrative Agent to be the arithmetic average of the rate per annum at which deposits in such LIBOR Currency would be offered by first class banks in the London interbank market to the Administrative Agent at approximately 11:00 a.m. (London time) two (2) London Banking Days prior to the first day of the applicable Interest Period for a period equal to such Interest Period);</w:t>
      </w:r>
    </w:p>
    <w:p>
      <w:pPr>
        <w:spacing w:after="0" w:line="53" w:lineRule="exact"/>
        <w:rPr>
          <w:sz w:val="20"/>
          <w:szCs w:val="20"/>
          <w:color w:val="auto"/>
        </w:rPr>
      </w:pPr>
    </w:p>
    <w:p>
      <w:pPr>
        <w:jc w:val="both"/>
        <w:ind w:right="20" w:firstLine="436"/>
        <w:spacing w:after="0" w:line="311" w:lineRule="auto"/>
        <w:tabs>
          <w:tab w:leader="none" w:pos="685" w:val="left"/>
        </w:tabs>
        <w:numPr>
          <w:ilvl w:val="0"/>
          <w:numId w:val="4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denominated in Euros, the greater of (i) the</w:t>
      </w:r>
      <w:r>
        <w:rPr>
          <w:rFonts w:ascii="Arial" w:cs="Arial" w:eastAsia="Arial" w:hAnsi="Arial"/>
          <w:sz w:val="16"/>
          <w:szCs w:val="16"/>
          <w:color w:val="0000FF"/>
        </w:rPr>
        <w:t xml:space="preserve"> </w:t>
      </w:r>
      <w:r>
        <w:rPr>
          <w:rFonts w:ascii="Arial" w:cs="Arial" w:eastAsia="Arial" w:hAnsi="Arial"/>
          <w:sz w:val="16"/>
          <w:szCs w:val="16"/>
          <w:color w:val="008000"/>
        </w:rPr>
        <w:t>rate of interest per annum</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equal to the Euro Interbank Offered Rate (“EURIBOR”) as administered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by the European Money Markets Institute (</w:t>
      </w:r>
      <w:r>
        <w:rPr>
          <w:rFonts w:ascii="Arial" w:cs="Arial" w:eastAsia="Arial" w:hAnsi="Arial"/>
          <w:sz w:val="16"/>
          <w:szCs w:val="16"/>
          <w:u w:val="single" w:color="auto"/>
          <w:color w:val="008000"/>
        </w:rPr>
        <w:t>or a comparable or successor</w:t>
      </w:r>
      <w:r>
        <w:rPr>
          <w:rFonts w:ascii="Arial" w:cs="Arial" w:eastAsia="Arial" w:hAnsi="Arial"/>
          <w:sz w:val="16"/>
          <w:szCs w:val="16"/>
          <w:u w:val="single" w:color="auto"/>
          <w:color w:val="0000FF"/>
        </w:rPr>
        <w:t xml:space="preserve"> administrator </w:t>
      </w:r>
      <w:r>
        <w:rPr>
          <w:rFonts w:ascii="Arial" w:cs="Arial" w:eastAsia="Arial" w:hAnsi="Arial"/>
          <w:sz w:val="16"/>
          <w:szCs w:val="16"/>
          <w:u w:val="single" w:color="auto"/>
          <w:color w:val="008000"/>
        </w:rPr>
        <w:t>approved by the Administrative Agent,</w:t>
      </w:r>
      <w:r>
        <w:rPr>
          <w:rFonts w:ascii="Arial" w:cs="Arial" w:eastAsia="Arial" w:hAnsi="Arial"/>
          <w:sz w:val="16"/>
          <w:szCs w:val="16"/>
          <w:u w:val="single" w:color="auto"/>
          <w:color w:val="0000FF"/>
        </w:rPr>
        <w:t xml:space="preserve"> for a period comparable to the applicable Interest Period), at approximately 11:00 a.m. (Brussels time) on the applicable Rate Determination Date and (ii) the Floor;</w:t>
      </w:r>
    </w:p>
    <w:p>
      <w:pPr>
        <w:spacing w:after="0" w:line="40" w:lineRule="exact"/>
        <w:rPr>
          <w:rFonts w:ascii="Arial" w:cs="Arial" w:eastAsia="Arial" w:hAnsi="Arial"/>
          <w:sz w:val="16"/>
          <w:szCs w:val="16"/>
          <w:u w:val="single" w:color="auto"/>
          <w:color w:val="0000FF"/>
        </w:rPr>
      </w:pPr>
    </w:p>
    <w:p>
      <w:pPr>
        <w:ind w:right="180" w:firstLine="436"/>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denominated in Canadian Dollars, the </w:t>
      </w:r>
      <w:r>
        <w:rPr>
          <w:rFonts w:ascii="Arial" w:cs="Arial" w:eastAsia="Arial" w:hAnsi="Arial"/>
          <w:sz w:val="18"/>
          <w:szCs w:val="18"/>
          <w:u w:val="single" w:color="auto"/>
          <w:color w:val="0000FF"/>
        </w:rPr>
        <w:t>greater of (i) the</w:t>
      </w:r>
      <w:r>
        <w:rPr>
          <w:rFonts w:ascii="Arial" w:cs="Arial" w:eastAsia="Arial" w:hAnsi="Arial"/>
          <w:sz w:val="18"/>
          <w:szCs w:val="18"/>
          <w:color w:val="auto"/>
        </w:rPr>
        <w:t xml:space="preserve"> rate per annum equal to the </w:t>
      </w:r>
      <w:r>
        <w:rPr>
          <w:rFonts w:ascii="Arial" w:cs="Arial" w:eastAsia="Arial" w:hAnsi="Arial"/>
          <w:sz w:val="18"/>
          <w:szCs w:val="18"/>
          <w:color w:val="FF0000"/>
          <w:strike w:val="1"/>
        </w:rPr>
        <w:t>Canadian Dealer Offered Rate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rate determined</w:t>
      </w:r>
      <w:r>
        <w:rPr>
          <w:rFonts w:ascii="Arial" w:cs="Arial" w:eastAsia="Arial" w:hAnsi="Arial"/>
          <w:sz w:val="18"/>
          <w:szCs w:val="18"/>
          <w:color w:val="auto"/>
        </w:rPr>
        <w:t xml:space="preserve"> </w:t>
      </w:r>
      <w:r>
        <w:rPr>
          <w:rFonts w:ascii="Arial" w:cs="Arial" w:eastAsia="Arial" w:hAnsi="Arial"/>
          <w:sz w:val="18"/>
          <w:szCs w:val="18"/>
          <w:color w:val="008000"/>
        </w:rPr>
        <w:t>by the</w:t>
      </w:r>
      <w:r>
        <w:rPr>
          <w:rFonts w:ascii="Arial" w:cs="Arial" w:eastAsia="Arial" w:hAnsi="Arial"/>
          <w:sz w:val="18"/>
          <w:szCs w:val="18"/>
          <w:color w:val="auto"/>
        </w:rPr>
        <w:t xml:space="preserve"> </w:t>
      </w:r>
      <w:r>
        <w:rPr>
          <w:rFonts w:ascii="Arial" w:cs="Arial" w:eastAsia="Arial" w:hAnsi="Arial"/>
          <w:sz w:val="18"/>
          <w:szCs w:val="18"/>
          <w:u w:val="single" w:color="auto"/>
          <w:color w:val="008000"/>
        </w:rPr>
        <w:t xml:space="preserve">Administrative Agent on the </w:t>
      </w:r>
      <w:r>
        <w:rPr>
          <w:rFonts w:ascii="Arial" w:cs="Arial" w:eastAsia="Arial" w:hAnsi="Arial"/>
          <w:sz w:val="18"/>
          <w:szCs w:val="18"/>
          <w:u w:val="single" w:color="auto"/>
          <w:color w:val="0000FF"/>
        </w:rPr>
        <w:t>basis of the rate applicable to Canadian Dollar bankers’ acceptances (“CDOR”) as administered by Refinitiv Benchmarks</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Services (UK) Limited, or a comparable or successor administrator approved by the Administrative Agent,</w:t>
      </w:r>
      <w:r>
        <w:rPr>
          <w:rFonts w:ascii="Arial" w:cs="Arial" w:eastAsia="Arial" w:hAnsi="Arial"/>
          <w:sz w:val="18"/>
          <w:szCs w:val="18"/>
          <w:color w:val="0000FF"/>
        </w:rPr>
        <w:t xml:space="preserve"> </w:t>
      </w:r>
      <w:r>
        <w:rPr>
          <w:rFonts w:ascii="Arial" w:cs="Arial" w:eastAsia="Arial" w:hAnsi="Arial"/>
          <w:sz w:val="18"/>
          <w:szCs w:val="18"/>
          <w:color w:val="000000"/>
        </w:rPr>
        <w:t>for a period</w:t>
      </w:r>
      <w:r>
        <w:rPr>
          <w:rFonts w:ascii="Arial" w:cs="Arial" w:eastAsia="Arial" w:hAnsi="Arial"/>
          <w:sz w:val="18"/>
          <w:szCs w:val="18"/>
          <w:color w:val="0000FF"/>
        </w:rPr>
        <w:t xml:space="preserve"> </w:t>
      </w:r>
      <w:r>
        <w:rPr>
          <w:rFonts w:ascii="Arial" w:cs="Arial" w:eastAsia="Arial" w:hAnsi="Arial"/>
          <w:sz w:val="18"/>
          <w:szCs w:val="18"/>
          <w:color w:val="FF0000"/>
          <w:strike w:val="1"/>
        </w:rPr>
        <w:t>equal</w:t>
      </w:r>
      <w:r>
        <w:rPr>
          <w:rFonts w:ascii="Arial" w:cs="Arial" w:eastAsia="Arial" w:hAnsi="Arial"/>
          <w:sz w:val="18"/>
          <w:szCs w:val="18"/>
          <w:u w:val="single" w:color="auto"/>
          <w:color w:val="0000FF"/>
        </w:rPr>
        <w:t>comparable</w:t>
      </w:r>
      <w:r>
        <w:rPr>
          <w:rFonts w:ascii="Arial" w:cs="Arial" w:eastAsia="Arial" w:hAnsi="Arial"/>
          <w:sz w:val="18"/>
          <w:szCs w:val="18"/>
          <w:color w:val="0000FF"/>
        </w:rPr>
        <w:t xml:space="preserve"> </w:t>
      </w:r>
      <w:r>
        <w:rPr>
          <w:rFonts w:ascii="Arial" w:cs="Arial" w:eastAsia="Arial" w:hAnsi="Arial"/>
          <w:sz w:val="18"/>
          <w:szCs w:val="18"/>
          <w:color w:val="000000"/>
        </w:rPr>
        <w:t>to the</w:t>
      </w:r>
      <w:r>
        <w:rPr>
          <w:rFonts w:ascii="Arial" w:cs="Arial" w:eastAsia="Arial" w:hAnsi="Arial"/>
          <w:sz w:val="18"/>
          <w:szCs w:val="18"/>
          <w:color w:val="0000FF"/>
        </w:rPr>
        <w:t xml:space="preserve"> </w:t>
      </w:r>
      <w:r>
        <w:rPr>
          <w:rFonts w:ascii="Arial" w:cs="Arial" w:eastAsia="Arial" w:hAnsi="Arial"/>
          <w:sz w:val="18"/>
          <w:szCs w:val="18"/>
          <w:color w:val="000000"/>
        </w:rPr>
        <w:t xml:space="preserve">applicable Interest Period, </w:t>
      </w:r>
      <w:r>
        <w:rPr>
          <w:rFonts w:ascii="Arial" w:cs="Arial" w:eastAsia="Arial" w:hAnsi="Arial"/>
          <w:sz w:val="18"/>
          <w:szCs w:val="18"/>
          <w:color w:val="008000"/>
          <w:strike w:val="1"/>
        </w:rPr>
        <w:t>or a comparable or successor</w:t>
      </w:r>
      <w:r>
        <w:rPr>
          <w:rFonts w:ascii="Arial" w:cs="Arial" w:eastAsia="Arial" w:hAnsi="Arial"/>
          <w:sz w:val="18"/>
          <w:szCs w:val="18"/>
          <w:color w:val="000000"/>
        </w:rPr>
        <w:t xml:space="preserve"> </w:t>
      </w:r>
      <w:r>
        <w:rPr>
          <w:rFonts w:ascii="Arial" w:cs="Arial" w:eastAsia="Arial" w:hAnsi="Arial"/>
          <w:sz w:val="18"/>
          <w:szCs w:val="18"/>
          <w:color w:val="FF0000"/>
          <w:strike w:val="1"/>
        </w:rPr>
        <w:t>rate which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-900430</wp:posOffset>
            </wp:positionV>
            <wp:extent cx="12344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-926465</wp:posOffset>
            </wp:positionV>
            <wp:extent cx="12312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3126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-420370</wp:posOffset>
            </wp:positionV>
            <wp:extent cx="3086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-446405</wp:posOffset>
            </wp:positionV>
            <wp:extent cx="3111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1150"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490" w:right="459" w:bottom="1440" w:gutter="0" w:footer="0" w:header="0"/>
        </w:sectPr>
      </w:pPr>
    </w:p>
    <w:bookmarkStart w:id="69" w:name="page70"/>
    <w:bookmarkEnd w:id="69"/>
    <w:p>
      <w:pPr>
        <w:ind w:right="200"/>
        <w:spacing w:after="0" w:line="279"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is </w:t>
      </w:r>
      <w:r>
        <w:rPr>
          <w:rFonts w:ascii="Arial" w:cs="Arial" w:eastAsia="Arial" w:hAnsi="Arial"/>
          <w:sz w:val="17"/>
          <w:szCs w:val="17"/>
          <w:color w:val="008000"/>
          <w:strike w:val="1"/>
        </w:rPr>
        <w:t>approved by the Administrative Agent,</w:t>
      </w:r>
      <w:r>
        <w:rPr>
          <w:rFonts w:ascii="Arial" w:cs="Arial" w:eastAsia="Arial" w:hAnsi="Arial"/>
          <w:sz w:val="17"/>
          <w:szCs w:val="17"/>
          <w:color w:val="FF0000"/>
          <w:strike w:val="1"/>
        </w:rPr>
        <w:t xml:space="preserve"> as published on the applicable Thomson Reuters screen page (or such other commercially available source providing such quotations as may be designated </w:t>
      </w:r>
      <w:r>
        <w:rPr>
          <w:rFonts w:ascii="Arial" w:cs="Arial" w:eastAsia="Arial" w:hAnsi="Arial"/>
          <w:sz w:val="17"/>
          <w:szCs w:val="17"/>
          <w:color w:val="008000"/>
          <w:strike w:val="1"/>
        </w:rPr>
        <w:t>by the Administrative Agent from</w:t>
      </w:r>
      <w:r>
        <w:rPr>
          <w:rFonts w:ascii="Arial" w:cs="Arial" w:eastAsia="Arial" w:hAnsi="Arial"/>
          <w:sz w:val="17"/>
          <w:szCs w:val="17"/>
          <w:color w:val="FF0000"/>
          <w:strike w:val="1"/>
        </w:rPr>
        <w:t xml:space="preserve"> time to time) at or about</w:t>
      </w:r>
      <w:r>
        <w:rPr>
          <w:rFonts w:ascii="Arial" w:cs="Arial" w:eastAsia="Arial" w:hAnsi="Arial"/>
          <w:sz w:val="17"/>
          <w:szCs w:val="17"/>
          <w:u w:val="single" w:color="auto"/>
          <w:color w:val="0000FF"/>
          <w:strike w:val="1"/>
        </w:rPr>
        <w:t>at approximately</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10:00 a.m. (Toronto</w:t>
      </w:r>
      <w:r>
        <w:rPr>
          <w:rFonts w:ascii="Arial" w:cs="Arial" w:eastAsia="Arial" w:hAnsi="Arial"/>
          <w:sz w:val="17"/>
          <w:szCs w:val="17"/>
          <w:color w:val="FF0000"/>
          <w:strike w:val="1"/>
        </w:rPr>
        <w:t xml:space="preserve">, Ontario </w:t>
      </w:r>
      <w:r>
        <w:rPr>
          <w:rFonts w:ascii="Arial" w:cs="Arial" w:eastAsia="Arial" w:hAnsi="Arial"/>
          <w:sz w:val="17"/>
          <w:szCs w:val="17"/>
          <w:color w:val="000000"/>
          <w:strike w:val="1"/>
        </w:rPr>
        <w:t>time) on</w:t>
      </w:r>
      <w:r>
        <w:rPr>
          <w:rFonts w:ascii="Arial" w:cs="Arial" w:eastAsia="Arial" w:hAnsi="Arial"/>
          <w:sz w:val="17"/>
          <w:szCs w:val="17"/>
          <w:color w:val="FF0000"/>
          <w:strike w:val="1"/>
        </w:rPr>
        <w:t xml:space="preserve"> first day of </w:t>
      </w:r>
      <w:r>
        <w:rPr>
          <w:rFonts w:ascii="Arial" w:cs="Arial" w:eastAsia="Arial" w:hAnsi="Arial"/>
          <w:sz w:val="17"/>
          <w:szCs w:val="17"/>
          <w:color w:val="000000"/>
          <w:strike w:val="1"/>
        </w:rPr>
        <w:t>the applicable</w:t>
      </w:r>
      <w:r>
        <w:rPr>
          <w:rFonts w:ascii="Arial" w:cs="Arial" w:eastAsia="Arial" w:hAnsi="Arial"/>
          <w:sz w:val="17"/>
          <w:szCs w:val="17"/>
          <w:color w:val="FF0000"/>
          <w:strike w:val="1"/>
        </w:rPr>
        <w:t xml:space="preserve"> Interest Period, or, if such date </w:t>
      </w:r>
      <w:r>
        <w:rPr>
          <w:rFonts w:ascii="Arial" w:cs="Arial" w:eastAsia="Arial" w:hAnsi="Arial"/>
          <w:sz w:val="17"/>
          <w:szCs w:val="17"/>
          <w:color w:val="008000"/>
          <w:strike w:val="1"/>
        </w:rPr>
        <w:t>is not a Business Day,</w:t>
      </w:r>
      <w:r>
        <w:rPr>
          <w:rFonts w:ascii="Arial" w:cs="Arial" w:eastAsia="Arial" w:hAnsi="Arial"/>
          <w:sz w:val="17"/>
          <w:szCs w:val="17"/>
          <w:color w:val="FF0000"/>
          <w:strike w:val="1"/>
        </w:rPr>
        <w:t xml:space="preserve"> then </w:t>
      </w:r>
      <w:r>
        <w:rPr>
          <w:rFonts w:ascii="Arial" w:cs="Arial" w:eastAsia="Arial" w:hAnsi="Arial"/>
          <w:sz w:val="17"/>
          <w:szCs w:val="17"/>
          <w:color w:val="008000"/>
          <w:strike w:val="1"/>
        </w:rPr>
        <w:t>the immediately preceding Business Day</w:t>
      </w:r>
      <w:r>
        <w:rPr>
          <w:rFonts w:ascii="Arial" w:cs="Arial" w:eastAsia="Arial" w:hAnsi="Arial"/>
          <w:sz w:val="17"/>
          <w:szCs w:val="17"/>
          <w:color w:val="FF0000"/>
          <w:strike w:val="1"/>
        </w:rPr>
        <w:t xml:space="preserve"> with a term equivalent to such Interest Period;</w:t>
      </w:r>
      <w:r>
        <w:rPr>
          <w:rFonts w:ascii="Arial" w:cs="Arial" w:eastAsia="Arial" w:hAnsi="Arial"/>
          <w:sz w:val="17"/>
          <w:szCs w:val="17"/>
          <w:u w:val="single" w:color="auto"/>
          <w:color w:val="0000FF"/>
          <w:strike w:val="1"/>
        </w:rPr>
        <w:t>Rate Determination Date and (ii) the Floor; and</w:t>
      </w:r>
    </w:p>
    <w:p>
      <w:pPr>
        <w:spacing w:after="0" w:line="63" w:lineRule="exact"/>
        <w:rPr>
          <w:sz w:val="20"/>
          <w:szCs w:val="20"/>
          <w:color w:val="auto"/>
        </w:rPr>
      </w:pPr>
    </w:p>
    <w:p>
      <w:pPr>
        <w:ind w:right="200" w:firstLine="436"/>
        <w:spacing w:after="0" w:line="259"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color w:val="FF0000"/>
          <w:strike w:val="1"/>
        </w:rPr>
        <w:t>with respect to a Credit Extension</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if applicable and approved by</w:t>
      </w:r>
      <w:r>
        <w:rPr>
          <w:rFonts w:ascii="Arial" w:cs="Arial" w:eastAsia="Arial" w:hAnsi="Arial"/>
          <w:sz w:val="18"/>
          <w:szCs w:val="18"/>
          <w:color w:val="FF0000"/>
        </w:rPr>
        <w:t xml:space="preserve"> </w:t>
      </w:r>
      <w:r>
        <w:rPr>
          <w:rFonts w:ascii="Arial" w:cs="Arial" w:eastAsia="Arial" w:hAnsi="Arial"/>
          <w:sz w:val="18"/>
          <w:szCs w:val="18"/>
          <w:color w:val="008000"/>
        </w:rPr>
        <w:t>the Administrative Agent and the Lenders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pursuant to Section 1.13,</w:t>
      </w:r>
      <w:r>
        <w:rPr>
          <w:rFonts w:ascii="Arial" w:cs="Arial" w:eastAsia="Arial" w:hAnsi="Arial"/>
          <w:sz w:val="18"/>
          <w:szCs w:val="18"/>
          <w:color w:val="FF0000"/>
        </w:rPr>
        <w:t xml:space="preserve"> </w:t>
      </w:r>
      <w:r>
        <w:rPr>
          <w:rFonts w:ascii="Arial" w:cs="Arial" w:eastAsia="Arial" w:hAnsi="Arial"/>
          <w:sz w:val="18"/>
          <w:szCs w:val="18"/>
          <w:color w:val="000000"/>
        </w:rPr>
        <w:t xml:space="preserve">denominated in any other </w:t>
      </w:r>
      <w:r>
        <w:rPr>
          <w:rFonts w:ascii="Arial" w:cs="Arial" w:eastAsia="Arial" w:hAnsi="Arial"/>
          <w:sz w:val="18"/>
          <w:szCs w:val="18"/>
          <w:color w:val="FF0000"/>
          <w:strike w:val="1"/>
        </w:rPr>
        <w:t>Non-LIBOR</w:t>
      </w:r>
      <w:r>
        <w:rPr>
          <w:rFonts w:ascii="Arial" w:cs="Arial" w:eastAsia="Arial" w:hAnsi="Arial"/>
          <w:sz w:val="18"/>
          <w:szCs w:val="18"/>
          <w:color w:val="000000"/>
        </w:rPr>
        <w:t xml:space="preserve"> Currency</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(other than a Currency referenced in clauses (a) and (b) above or Sterling), the greater of (i)</w:t>
      </w:r>
      <w:r>
        <w:rPr>
          <w:rFonts w:ascii="Arial" w:cs="Arial" w:eastAsia="Arial" w:hAnsi="Arial"/>
          <w:sz w:val="18"/>
          <w:szCs w:val="18"/>
          <w:color w:val="000000"/>
        </w:rPr>
        <w:t xml:space="preserve"> the rate </w:t>
      </w:r>
      <w:r>
        <w:rPr>
          <w:rFonts w:ascii="Arial" w:cs="Arial" w:eastAsia="Arial" w:hAnsi="Arial"/>
          <w:sz w:val="18"/>
          <w:szCs w:val="18"/>
          <w:color w:val="FF0000"/>
          <w:strike w:val="1"/>
        </w:rPr>
        <w:t>per annum as</w:t>
      </w:r>
      <w:r>
        <w:rPr>
          <w:rFonts w:ascii="Arial" w:cs="Arial" w:eastAsia="Arial" w:hAnsi="Arial"/>
          <w:sz w:val="18"/>
          <w:szCs w:val="18"/>
          <w:color w:val="FF0000"/>
        </w:rPr>
        <w:t xml:space="preserve"> </w:t>
      </w:r>
      <w:r>
        <w:rPr>
          <w:rFonts w:ascii="Arial" w:cs="Arial" w:eastAsia="Arial" w:hAnsi="Arial"/>
          <w:sz w:val="18"/>
          <w:szCs w:val="18"/>
          <w:color w:val="000000"/>
        </w:rPr>
        <w:t>designated with respect to such</w:t>
      </w:r>
      <w:r>
        <w:rPr>
          <w:rFonts w:ascii="Arial" w:cs="Arial" w:eastAsia="Arial" w:hAnsi="Arial"/>
          <w:sz w:val="18"/>
          <w:szCs w:val="18"/>
          <w:color w:val="FF0000"/>
        </w:rPr>
        <w:t xml:space="preserve"> </w:t>
      </w:r>
      <w:r>
        <w:rPr>
          <w:rFonts w:ascii="Arial" w:cs="Arial" w:eastAsia="Arial" w:hAnsi="Arial"/>
          <w:sz w:val="18"/>
          <w:szCs w:val="18"/>
          <w:color w:val="FF0000"/>
          <w:strike w:val="1"/>
        </w:rPr>
        <w:t>Alternative</w:t>
      </w:r>
      <w:r>
        <w:rPr>
          <w:rFonts w:ascii="Arial" w:cs="Arial" w:eastAsia="Arial" w:hAnsi="Arial"/>
          <w:sz w:val="18"/>
          <w:szCs w:val="18"/>
          <w:color w:val="FF0000"/>
        </w:rPr>
        <w:t xml:space="preserve"> </w:t>
      </w:r>
      <w:r>
        <w:rPr>
          <w:rFonts w:ascii="Arial" w:cs="Arial" w:eastAsia="Arial" w:hAnsi="Arial"/>
          <w:sz w:val="18"/>
          <w:szCs w:val="18"/>
          <w:color w:val="000000"/>
        </w:rPr>
        <w:t>Currency at the time such</w:t>
      </w:r>
      <w:r>
        <w:rPr>
          <w:rFonts w:ascii="Arial" w:cs="Arial" w:eastAsia="Arial" w:hAnsi="Arial"/>
          <w:sz w:val="18"/>
          <w:szCs w:val="18"/>
          <w:color w:val="FF0000"/>
        </w:rPr>
        <w:t xml:space="preserve"> </w:t>
      </w:r>
      <w:r>
        <w:rPr>
          <w:rFonts w:ascii="Arial" w:cs="Arial" w:eastAsia="Arial" w:hAnsi="Arial"/>
          <w:sz w:val="18"/>
          <w:szCs w:val="18"/>
          <w:color w:val="FF0000"/>
          <w:strike w:val="1"/>
        </w:rPr>
        <w:t>Alternative</w:t>
      </w:r>
      <w:r>
        <w:rPr>
          <w:rFonts w:ascii="Arial" w:cs="Arial" w:eastAsia="Arial" w:hAnsi="Arial"/>
          <w:sz w:val="18"/>
          <w:szCs w:val="18"/>
          <w:color w:val="FF0000"/>
        </w:rPr>
        <w:t xml:space="preserve"> </w:t>
      </w:r>
      <w:r>
        <w:rPr>
          <w:rFonts w:ascii="Arial" w:cs="Arial" w:eastAsia="Arial" w:hAnsi="Arial"/>
          <w:sz w:val="18"/>
          <w:szCs w:val="18"/>
          <w:color w:val="000000"/>
        </w:rPr>
        <w:t>Currency is approved by the Administrative Agent and</w:t>
      </w:r>
      <w:r>
        <w:rPr>
          <w:rFonts w:ascii="Arial" w:cs="Arial" w:eastAsia="Arial" w:hAnsi="Arial"/>
          <w:sz w:val="18"/>
          <w:szCs w:val="18"/>
          <w:color w:val="FF0000"/>
        </w:rPr>
        <w:t xml:space="preserve"> </w:t>
      </w:r>
      <w:r>
        <w:rPr>
          <w:rFonts w:ascii="Arial" w:cs="Arial" w:eastAsia="Arial" w:hAnsi="Arial"/>
          <w:sz w:val="18"/>
          <w:szCs w:val="18"/>
          <w:color w:val="000000"/>
        </w:rPr>
        <w:t xml:space="preserve">the </w:t>
      </w:r>
      <w:r>
        <w:rPr>
          <w:rFonts w:ascii="Arial" w:cs="Arial" w:eastAsia="Arial" w:hAnsi="Arial"/>
          <w:sz w:val="18"/>
          <w:szCs w:val="18"/>
          <w:color w:val="FF0000"/>
          <w:strike w:val="1"/>
        </w:rPr>
        <w:t>Revolving Credit</w:t>
      </w:r>
      <w:r>
        <w:rPr>
          <w:rFonts w:ascii="Arial" w:cs="Arial" w:eastAsia="Arial" w:hAnsi="Arial"/>
          <w:sz w:val="18"/>
          <w:szCs w:val="18"/>
          <w:color w:val="000000"/>
        </w:rPr>
        <w:t xml:space="preserve"> Lenders pursuant to </w:t>
      </w:r>
      <w:r>
        <w:rPr>
          <w:rFonts w:ascii="Arial" w:cs="Arial" w:eastAsia="Arial" w:hAnsi="Arial"/>
          <w:sz w:val="18"/>
          <w:szCs w:val="18"/>
          <w:u w:val="single" w:color="auto"/>
          <w:color w:val="000000"/>
        </w:rPr>
        <w:t>Section 1.13</w:t>
      </w:r>
      <w:r>
        <w:rPr>
          <w:rFonts w:ascii="Arial" w:cs="Arial" w:eastAsia="Arial" w:hAnsi="Arial"/>
          <w:sz w:val="18"/>
          <w:szCs w:val="18"/>
          <w:u w:val="single" w:color="auto"/>
          <w:color w:val="FF0000"/>
          <w:strike w:val="1"/>
        </w:rPr>
        <w:t>(a)</w:t>
      </w:r>
      <w:r>
        <w:rPr>
          <w:rFonts w:ascii="Arial" w:cs="Arial" w:eastAsia="Arial" w:hAnsi="Arial"/>
          <w:sz w:val="18"/>
          <w:szCs w:val="18"/>
          <w:color w:val="FF0000"/>
          <w:strike w:val="1"/>
        </w:rPr>
        <w:t>;</w:t>
      </w:r>
      <w:r>
        <w:rPr>
          <w:rFonts w:ascii="Arial" w:cs="Arial" w:eastAsia="Arial" w:hAnsi="Arial"/>
          <w:sz w:val="18"/>
          <w:szCs w:val="18"/>
          <w:color w:val="000000"/>
        </w:rPr>
        <w:t xml:space="preserve"> and </w:t>
      </w:r>
      <w:r>
        <w:rPr>
          <w:rFonts w:ascii="Arial" w:cs="Arial" w:eastAsia="Arial" w:hAnsi="Arial"/>
          <w:sz w:val="18"/>
          <w:szCs w:val="18"/>
          <w:color w:val="0000FF"/>
        </w:rPr>
        <w:t>(ii) the Floor.</w:t>
      </w:r>
    </w:p>
    <w:p>
      <w:pPr>
        <w:spacing w:after="0" w:line="78" w:lineRule="exact"/>
        <w:rPr>
          <w:rFonts w:ascii="Arial" w:cs="Arial" w:eastAsia="Arial" w:hAnsi="Arial"/>
          <w:sz w:val="18"/>
          <w:szCs w:val="18"/>
          <w:color w:val="auto"/>
        </w:rPr>
      </w:pPr>
    </w:p>
    <w:p>
      <w:pPr>
        <w:ind w:firstLine="436"/>
        <w:spacing w:after="0" w:line="271" w:lineRule="auto"/>
        <w:tabs>
          <w:tab w:leader="none" w:pos="695" w:val="left"/>
        </w:tabs>
        <w:numPr>
          <w:ilvl w:val="0"/>
          <w:numId w:val="41"/>
        </w:numPr>
        <w:rPr>
          <w:rFonts w:ascii="Arial" w:cs="Arial" w:eastAsia="Arial" w:hAnsi="Arial"/>
          <w:sz w:val="17"/>
          <w:szCs w:val="17"/>
          <w:color w:val="FF0000"/>
          <w:strike w:val="1"/>
        </w:rPr>
      </w:pPr>
      <w:r>
        <w:rPr>
          <w:rFonts w:ascii="Arial" w:cs="Arial" w:eastAsia="Arial" w:hAnsi="Arial"/>
          <w:sz w:val="17"/>
          <w:szCs w:val="17"/>
          <w:color w:val="FF0000"/>
          <w:strike w:val="1"/>
        </w:rPr>
        <w:t xml:space="preserve">for any rate calculation with respect to a Base Rate Loan on any date, the rate of interest per annum determined on the basis of the rate for deposits in Dollars for an Interest Period equal to one month (commencing on the date of determination of such interest rate) as published by the ICE Benchmark Administration Limited, a United Kingdom company, or a comparable or successor quoting service approved by the Administrative Agent (or, if applicable, the Replacement Rate in accordance with </w:t>
      </w:r>
      <w:r>
        <w:rPr>
          <w:rFonts w:ascii="Arial" w:cs="Arial" w:eastAsia="Arial" w:hAnsi="Arial"/>
          <w:sz w:val="17"/>
          <w:szCs w:val="17"/>
          <w:u w:val="single" w:color="auto"/>
          <w:color w:val="FF0000"/>
          <w:strike w:val="1"/>
        </w:rPr>
        <w:t>Section 5.8(c)</w:t>
      </w:r>
      <w:r>
        <w:rPr>
          <w:rFonts w:ascii="Arial" w:cs="Arial" w:eastAsia="Arial" w:hAnsi="Arial"/>
          <w:sz w:val="17"/>
          <w:szCs w:val="17"/>
          <w:color w:val="FF0000"/>
          <w:strike w:val="1"/>
        </w:rPr>
        <w:t>), at approximately 11:00 a.m. (London time) on such date of determination, or, if such date is not a Business Day, then the immediately preceding Business Day (or if, for any reason, such rate is not so published, the rate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-1591310</wp:posOffset>
            </wp:positionV>
            <wp:extent cx="19627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-1617345</wp:posOffset>
            </wp:positionV>
            <wp:extent cx="19640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-1179830</wp:posOffset>
            </wp:positionV>
            <wp:extent cx="6343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-1205865</wp:posOffset>
            </wp:positionV>
            <wp:extent cx="6350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 xml:space="preserve">Each calculation by the Administrative Agent of the Eurocurrency Rate </w:t>
      </w:r>
      <w:r>
        <w:rPr>
          <w:rFonts w:ascii="Arial" w:cs="Arial" w:eastAsia="Arial" w:hAnsi="Arial"/>
          <w:sz w:val="17"/>
          <w:szCs w:val="17"/>
          <w:color w:val="008000"/>
          <w:strike w:val="1"/>
        </w:rPr>
        <w:t>shall be conclusive and binding</w:t>
      </w:r>
      <w:r>
        <w:rPr>
          <w:rFonts w:ascii="Arial" w:cs="Arial" w:eastAsia="Arial" w:hAnsi="Arial"/>
          <w:sz w:val="17"/>
          <w:szCs w:val="17"/>
          <w:color w:val="FF0000"/>
          <w:strike w:val="1"/>
        </w:rPr>
        <w:t xml:space="preserve"> for all purposes, absent manifest error.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Notwithstanding the foregoing, if the Eurocurrency Rate shall be less than zero, such rate shall be deemed to be zero for purposes of this Agreement.</w:t>
      </w:r>
    </w:p>
    <w:p>
      <w:pPr>
        <w:spacing w:after="0" w:line="2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FF0000"/>
          <w:strike w:val="1"/>
        </w:rPr>
        <w:t xml:space="preserve">Notwithstanding the foregoing, (x) in no event shall the Eurocurrency Rate (including, without limitation, any Replacement Rate with respect thereto) be less than 0% and (y) unless otherwise specified in any amendment to this Agreement entered into </w:t>
      </w:r>
      <w:r>
        <w:rPr>
          <w:rFonts w:ascii="Arial" w:cs="Arial" w:eastAsia="Arial" w:hAnsi="Arial"/>
          <w:sz w:val="17"/>
          <w:szCs w:val="17"/>
          <w:color w:val="008000"/>
          <w:strike w:val="1"/>
        </w:rPr>
        <w:t>in accordance with</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8000"/>
          <w:strike w:val="1"/>
        </w:rPr>
        <w:t>Section 5.8(c)</w:t>
      </w:r>
      <w:r>
        <w:rPr>
          <w:rFonts w:ascii="Arial" w:cs="Arial" w:eastAsia="Arial" w:hAnsi="Arial"/>
          <w:sz w:val="17"/>
          <w:szCs w:val="17"/>
          <w:color w:val="FF0000"/>
          <w:strike w:val="1"/>
        </w:rPr>
        <w:t>, in the event that a Replacement Rate with respect to the Eurocurrency Rate under clause (a) or clause (d) above is implemented then all references herein to the Eurocurrency Rate for such Extensions of Credit shall be deemed references to such Replacement Rate.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Rate Loan</w:t>
      </w:r>
      <w:r>
        <w:rPr>
          <w:rFonts w:ascii="Arial" w:cs="Arial" w:eastAsia="Arial" w:hAnsi="Arial"/>
          <w:sz w:val="16"/>
          <w:szCs w:val="16"/>
          <w:color w:val="auto"/>
        </w:rPr>
        <w:t xml:space="preserve">” means any Loan bearing interest at a rate based </w:t>
      </w:r>
      <w:r>
        <w:rPr>
          <w:rFonts w:ascii="Arial" w:cs="Arial" w:eastAsia="Arial" w:hAnsi="Arial"/>
          <w:sz w:val="16"/>
          <w:szCs w:val="16"/>
          <w:color w:val="FF0000"/>
          <w:strike w:val="1"/>
        </w:rPr>
        <w:t>upon</w:t>
      </w:r>
      <w:r>
        <w:rPr>
          <w:rFonts w:ascii="Arial" w:cs="Arial" w:eastAsia="Arial" w:hAnsi="Arial"/>
          <w:sz w:val="16"/>
          <w:szCs w:val="16"/>
          <w:u w:val="single" w:color="auto"/>
          <w:color w:val="0000FF"/>
        </w:rPr>
        <w:t>on</w:t>
      </w:r>
      <w:r>
        <w:rPr>
          <w:rFonts w:ascii="Arial" w:cs="Arial" w:eastAsia="Arial" w:hAnsi="Arial"/>
          <w:sz w:val="16"/>
          <w:szCs w:val="16"/>
          <w:color w:val="auto"/>
        </w:rPr>
        <w:t xml:space="preserve"> the </w:t>
      </w:r>
      <w:r>
        <w:rPr>
          <w:rFonts w:ascii="Arial" w:cs="Arial" w:eastAsia="Arial" w:hAnsi="Arial"/>
          <w:sz w:val="16"/>
          <w:szCs w:val="16"/>
          <w:u w:val="single" w:color="auto"/>
          <w:color w:val="0000FF"/>
        </w:rPr>
        <w:t>Adjusted</w:t>
      </w:r>
      <w:r>
        <w:rPr>
          <w:rFonts w:ascii="Arial" w:cs="Arial" w:eastAsia="Arial" w:hAnsi="Arial"/>
          <w:sz w:val="16"/>
          <w:szCs w:val="16"/>
          <w:color w:val="auto"/>
        </w:rPr>
        <w:t xml:space="preserve"> Eurocurrency Rate as provided in </w:t>
      </w:r>
      <w:r>
        <w:rPr>
          <w:rFonts w:ascii="Arial" w:cs="Arial" w:eastAsia="Arial" w:hAnsi="Arial"/>
          <w:sz w:val="16"/>
          <w:szCs w:val="16"/>
          <w:u w:val="single" w:color="auto"/>
          <w:color w:val="auto"/>
        </w:rPr>
        <w:t>Section 5.1(a)</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Eurocurrency Rate Loans may be denominated in Dollars or in an Alternative Currency.</w:t>
      </w:r>
    </w:p>
    <w:p>
      <w:pPr>
        <w:spacing w:after="0" w:line="211"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u w:val="single" w:color="auto"/>
          <w:color w:val="0000FF"/>
        </w:rPr>
        <w:t>“Eurocurrency Reserve Percentage”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9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passage of time, giving of notice, or any other condition, has been satisfied.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490" w:right="459" w:bottom="1440" w:gutter="0" w:footer="0" w:header="0"/>
        </w:sectPr>
      </w:pPr>
    </w:p>
    <w:bookmarkStart w:id="70" w:name="page71"/>
    <w:bookmarkEnd w:id="7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0000FF"/>
        </w:rPr>
        <w:t>(15 U.S.C. § 77</w:t>
      </w:r>
      <w:r>
        <w:rPr>
          <w:rFonts w:ascii="Arial" w:cs="Arial" w:eastAsia="Arial" w:hAnsi="Arial"/>
          <w:sz w:val="18"/>
          <w:szCs w:val="18"/>
          <w:color w:val="auto"/>
        </w:rPr>
        <w:t xml:space="preserve"> </w:t>
      </w:r>
      <w:r>
        <w:rPr>
          <w:rFonts w:ascii="Arial" w:cs="Arial" w:eastAsia="Arial" w:hAnsi="Arial"/>
          <w:sz w:val="18"/>
          <w:szCs w:val="18"/>
          <w:i w:val="1"/>
          <w:iCs w:val="1"/>
          <w:color w:val="0000FF"/>
        </w:rPr>
        <w:t>et seq</w:t>
      </w:r>
      <w:r>
        <w:rPr>
          <w:rFonts w:ascii="Arial" w:cs="Arial" w:eastAsia="Arial" w:hAnsi="Arial"/>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14605</wp:posOffset>
            </wp:positionV>
            <wp:extent cx="11315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-10160</wp:posOffset>
            </wp:positionV>
            <wp:extent cx="11328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spacing w:after="0" w:line="205"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u w:val="single" w:color="auto"/>
          <w:color w:val="008000"/>
        </w:rPr>
        <w:t>“Excluded Subsidiary” means (a) any Immaterial Subsidiary, (b) any CFC and (c) any direct or indirect Domestic Subsidiary of a Foreign Subsidiary that is a CFC.</w:t>
      </w:r>
    </w:p>
    <w:p>
      <w:pPr>
        <w:spacing w:after="0" w:line="17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the keepwell provisions in the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85"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008000"/>
          <w:strike w:val="1"/>
        </w:rPr>
        <w:t>“</w:t>
      </w:r>
      <w:r>
        <w:rPr>
          <w:rFonts w:ascii="Arial" w:cs="Arial" w:eastAsia="Arial" w:hAnsi="Arial"/>
          <w:sz w:val="18"/>
          <w:szCs w:val="18"/>
          <w:u w:val="single" w:color="auto"/>
          <w:color w:val="008000"/>
          <w:strike w:val="1"/>
        </w:rPr>
        <w:t>Excluded Subsidiary</w:t>
      </w:r>
      <w:r>
        <w:rPr>
          <w:rFonts w:ascii="Arial" w:cs="Arial" w:eastAsia="Arial" w:hAnsi="Arial"/>
          <w:sz w:val="18"/>
          <w:szCs w:val="18"/>
          <w:color w:val="008000"/>
          <w:strike w:val="1"/>
        </w:rPr>
        <w:t>” means (a) any Immaterial Subsidiary, (b) any CFC and (c) any direct or indirect Domestic Subsidiary of a Foreign Subsidiary that is a CFC.</w:t>
      </w:r>
    </w:p>
    <w:p>
      <w:pPr>
        <w:spacing w:after="0" w:line="170"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1" w:lineRule="exact"/>
        <w:rPr>
          <w:sz w:val="20"/>
          <w:szCs w:val="20"/>
          <w:color w:val="auto"/>
        </w:rPr>
      </w:pPr>
    </w:p>
    <w:p>
      <w:pPr>
        <w:ind w:left="4" w:right="40" w:hanging="4"/>
        <w:spacing w:after="0" w:line="281" w:lineRule="auto"/>
        <w:tabs>
          <w:tab w:leader="none" w:pos="25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in the case of a Lender, United States federal withholding Taxes imposed on amounts payable to or for the account of such Lender with respect to an applicable interest in a Loan or Revolving Credit Commitment pursuant to a law in effect on the date on which (i) such Lender acquires such interest in the Loan or Revolving Credit Commitment (other than pursuant to an assignment request by the Borrower under </w:t>
      </w:r>
      <w:r>
        <w:rPr>
          <w:rFonts w:ascii="Arial" w:cs="Arial" w:eastAsia="Arial" w:hAnsi="Arial"/>
          <w:sz w:val="16"/>
          <w:szCs w:val="16"/>
          <w:u w:val="single" w:color="auto"/>
          <w:color w:val="auto"/>
        </w:rPr>
        <w:t>Section 5.12(b)</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amounts with respect to such Taxes were payable either to such Lender’s assignor immediately before such Lender became a party hereto or to such Lender immediately before it changed its Lending Office,</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Taxes attributable to such Recipient’s failure to comply with </w:t>
      </w:r>
      <w:r>
        <w:rPr>
          <w:rFonts w:ascii="Arial" w:cs="Arial" w:eastAsia="Arial" w:hAnsi="Arial"/>
          <w:sz w:val="16"/>
          <w:szCs w:val="16"/>
          <w:u w:val="single" w:color="auto"/>
          <w:color w:val="auto"/>
        </w:rPr>
        <w:t>Section 5.11(g)</w:t>
      </w:r>
      <w:r>
        <w:rPr>
          <w:rFonts w:ascii="Arial" w:cs="Arial" w:eastAsia="Arial" w:hAnsi="Arial"/>
          <w:sz w:val="16"/>
          <w:szCs w:val="16"/>
          <w:color w:val="auto"/>
        </w:rPr>
        <w:t xml:space="preserve"> and (d) any United States federal withholding Taxes imposed under</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thereto in the Statement of Purpose.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 of Credit</w:t>
      </w:r>
      <w:r>
        <w:rPr>
          <w:rFonts w:ascii="Arial" w:cs="Arial" w:eastAsia="Arial" w:hAnsi="Arial"/>
          <w:sz w:val="18"/>
          <w:szCs w:val="18"/>
          <w:color w:val="auto"/>
        </w:rPr>
        <w:t xml:space="preserve">” means each of those letters of credit existing on the Closing Date and identified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and (iv) the aggregate principal amount of Term Loans, if any, made by such Lender then outstanding, or (b) the making of any Loan or participation in any Letter of Credit by such Lender, as the context requires.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490" w:right="479" w:bottom="1440" w:gutter="0" w:footer="0" w:header="0"/>
        </w:sectPr>
      </w:pPr>
    </w:p>
    <w:bookmarkStart w:id="71" w:name="page72"/>
    <w:bookmarkEnd w:id="7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U.S. Food and Drug Administration (or analogous foreign, state or local Governmental Authority) and any successor thereto.</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FDIC</w:t>
      </w:r>
      <w:r>
        <w:rPr>
          <w:rFonts w:ascii="Arial" w:cs="Arial" w:eastAsia="Arial" w:hAnsi="Arial"/>
          <w:sz w:val="18"/>
          <w:szCs w:val="18"/>
          <w:color w:val="auto"/>
        </w:rPr>
        <w:t>” means the Federal Deposit Insurance Corporation.</w:t>
      </w:r>
    </w:p>
    <w:p>
      <w:pPr>
        <w:spacing w:after="0" w:line="225"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xml:space="preserve">” means </w:t>
      </w:r>
      <w:r>
        <w:rPr>
          <w:rFonts w:ascii="Arial" w:cs="Arial" w:eastAsia="Arial" w:hAnsi="Arial"/>
          <w:sz w:val="16"/>
          <w:szCs w:val="16"/>
          <w:u w:val="single" w:color="auto"/>
          <w:color w:val="0000FF"/>
        </w:rPr>
        <w:t>(a) means</w:t>
      </w:r>
      <w:r>
        <w:rPr>
          <w:rFonts w:ascii="Arial" w:cs="Arial" w:eastAsia="Arial" w:hAnsi="Arial"/>
          <w:sz w:val="16"/>
          <w:szCs w:val="16"/>
          <w:color w:val="auto"/>
        </w:rPr>
        <w:t xml:space="preserve"> the separate letter agreement dated August 28, 2018 among the Borrower, Wells Fargo and the Lead Arranger </w:t>
      </w:r>
      <w:r>
        <w:rPr>
          <w:rFonts w:ascii="Arial" w:cs="Arial" w:eastAsia="Arial" w:hAnsi="Arial"/>
          <w:sz w:val="16"/>
          <w:szCs w:val="16"/>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6669405</wp:posOffset>
            </wp:positionH>
            <wp:positionV relativeFrom="paragraph">
              <wp:posOffset>29210</wp:posOffset>
            </wp:positionV>
            <wp:extent cx="1885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6667500</wp:posOffset>
            </wp:positionH>
            <wp:positionV relativeFrom="paragraph">
              <wp:posOffset>3810</wp:posOffset>
            </wp:positionV>
            <wp:extent cx="1936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26" w:lineRule="exact"/>
        <w:rPr>
          <w:sz w:val="20"/>
          <w:szCs w:val="20"/>
          <w:color w:val="auto"/>
        </w:rPr>
      </w:pPr>
    </w:p>
    <w:p>
      <w:pPr>
        <w:ind w:left="4" w:right="420" w:hanging="4"/>
        <w:spacing w:after="0" w:line="260" w:lineRule="auto"/>
        <w:tabs>
          <w:tab w:leader="none" w:pos="259" w:val="left"/>
        </w:tabs>
        <w:numPr>
          <w:ilvl w:val="0"/>
          <w:numId w:val="4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letter between the Borrower and any Issuing Lender (other than Wells Fargo) relating to certain fees payable to such Issuing Lender in its capacity as such</w:t>
      </w:r>
      <w:r>
        <w:rPr>
          <w:rFonts w:ascii="Arial" w:cs="Arial" w:eastAsia="Arial" w:hAnsi="Arial"/>
          <w:sz w:val="18"/>
          <w:szCs w:val="18"/>
          <w:color w:val="000000"/>
        </w:rPr>
        <w: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First Amendment Effective Date</w:t>
      </w:r>
      <w:r>
        <w:rPr>
          <w:rFonts w:ascii="Arial" w:cs="Arial" w:eastAsia="Arial" w:hAnsi="Arial"/>
          <w:sz w:val="18"/>
          <w:szCs w:val="18"/>
          <w:color w:val="FF0000"/>
          <w:strike w:val="1"/>
        </w:rPr>
        <w:t>” means June 27, 2019.</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Borrower and its Subsidiaries ending on December 31.</w:t>
      </w:r>
    </w:p>
    <w:p>
      <w:pPr>
        <w:spacing w:after="0" w:line="225"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u w:val="single" w:color="auto"/>
          <w:color w:val="0000FF"/>
        </w:rPr>
        <w:t>“Flood Insurance Laws” means, collectively, (a) the National Flood Insurance Act of 1968, (b) the Flood Disaster Protection Act of 1973, (c) the National Flood Insurance Reform Act of 1994, (d) the Flood Insurance Reform Act of 2004 and (e) the Biggert-Waters Flood Insurance Reform Act of 2012, as each of the foregoing is now or hereafter in effect and any successor statute to any of the foregoing.</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“Floor” means a rate of interest equal to 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Government Scheme or Arrangement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7.12(d)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7.12(d)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0000FF"/>
        </w:rPr>
        <w:t>“Fourth Amendment” means the Fourth Amendment to Amended and Restated Credit Agreement dated as of the Fourth Amendment Effective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FF"/>
        </w:rPr>
        <w:t>Date.</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“Fourth Amendment Effective Date” means May 15, 2023.</w:t>
      </w:r>
    </w:p>
    <w:p>
      <w:pPr>
        <w:spacing w:after="0" w:line="158"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44"/>
          </w:cols>
          <w:pgMar w:left="436" w:top="490" w:right="61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the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78"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Furnished Property</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assuming in any other manner the obligee in respect of such Indebtedness or other obligation of the payment or performance thereof or to protect such obligee against loss in respect thereof (whether in whole or in part).</w:t>
      </w:r>
    </w:p>
    <w:p>
      <w:pPr>
        <w:spacing w:after="0" w:line="166"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xml:space="preserve">” means, collectively, the Domestic Subsidiaries of the Borrower (other than an Excluded Subsidiary) listed on Part (c) of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7.13</w:t>
      </w:r>
      <w:r>
        <w:rPr>
          <w:rFonts w:ascii="Arial" w:cs="Arial" w:eastAsia="Arial" w:hAnsi="Arial"/>
          <w:sz w:val="16"/>
          <w:szCs w:val="16"/>
          <w:color w:val="auto"/>
        </w:rPr>
        <w:t xml:space="preserve"> that is identified as a “Guarantor” and each other Domestic Subsidiary of the Borrower that shall be required to execute and deliver a guaranty or guaranty supplement pursuant to </w:t>
      </w:r>
      <w:r>
        <w:rPr>
          <w:rFonts w:ascii="Arial" w:cs="Arial" w:eastAsia="Arial" w:hAnsi="Arial"/>
          <w:sz w:val="16"/>
          <w:szCs w:val="16"/>
          <w:u w:val="single" w:color="auto"/>
          <w:color w:val="auto"/>
        </w:rPr>
        <w:t>Section 8.12</w:t>
      </w:r>
      <w:r>
        <w:rPr>
          <w:rFonts w:ascii="Arial" w:cs="Arial" w:eastAsia="Arial" w:hAnsi="Arial"/>
          <w:sz w:val="16"/>
          <w:szCs w:val="16"/>
          <w:color w:val="auto"/>
        </w:rPr>
        <w:t xml:space="preserve">. The Guarantors as of the Closing Date are listed on Part (c) of </w:t>
      </w:r>
      <w:r>
        <w:rPr>
          <w:rFonts w:ascii="Arial" w:cs="Arial" w:eastAsia="Arial" w:hAnsi="Arial"/>
          <w:sz w:val="16"/>
          <w:szCs w:val="16"/>
          <w:u w:val="single" w:color="auto"/>
          <w:color w:val="auto"/>
        </w:rPr>
        <w:t>Schedule 7.13</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Agreement</w:t>
      </w:r>
      <w:r>
        <w:rPr>
          <w:rFonts w:ascii="Arial" w:cs="Arial" w:eastAsia="Arial" w:hAnsi="Arial"/>
          <w:sz w:val="18"/>
          <w:szCs w:val="18"/>
          <w:color w:val="auto"/>
        </w:rPr>
        <w:t xml:space="preserve">” means, collectively, (a) the Amended and Restated Guaranty Agreement of even date herewith made by the Guarantors and the Borrower in favor of the Administrative Agent for the benefit of the Secured Parties and (b) each other guaranty and guaranty supplement delivered pursuant to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490" w:right="459" w:bottom="1440" w:gutter="0" w:footer="0" w:header="0"/>
        </w:sectPr>
      </w:pPr>
    </w:p>
    <w:bookmarkStart w:id="73" w:name="page74"/>
    <w:bookmarkEnd w:id="73"/>
    <w:p>
      <w:pPr>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Agreement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7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(a) at the time it enters into a Hedge Agreement with the Borrower or any of its Subsidiaries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is a Lender, an Affiliate of a Lender, the Administrative Agent or an Affiliate of the Administrative Agent or (b) at the time it (or its Affiliate) becomes a Lender or the Administrative Agent (including on the Closing Date), is a party to a Hedge Agreement with the Borrower or any of its Subsidiaries, in each case in its capacity as a party to such Hedge Agreement.</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means any Domestic Subsidiary of the Borrower that (a) together with its Domestic Subsidiaries, (i) contributed less than five percent (5%) of the total revenues of the Borrower and its Domestic Subsidiaries, on a Consolidated basis, during the most recent Measurement Period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and (ii) as of any applicable date of determination has assets that constitute less than five percent (5%) of the aggregate net book value of the assets of the Borrower and its Domestic Subsidiaries, on a Consolidated basis (each of which calculations, for any Immaterial Subsidiary organized or acquired since the end of such period or such date, as the case may be, shall be determined on a pro forma basis as if such Subsidiary were in existence or acquired on such date), (b) does not own any other Subsidiaries (other than Excluded Subsidiaries) and (c) has been designated as such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7.13</w:t>
      </w:r>
      <w:r>
        <w:rPr>
          <w:rFonts w:ascii="Arial" w:cs="Arial" w:eastAsia="Arial" w:hAnsi="Arial"/>
          <w:sz w:val="16"/>
          <w:szCs w:val="16"/>
          <w:color w:val="auto"/>
        </w:rPr>
        <w:t xml:space="preserve"> (as supplemented from time to time pursuant to the terms hereof) or by the Borrower in a written notice delivered to the Administrative Agent (other than any such Subsidiary as to which the Borrower has revoked such designation by written notice to the Administrative Agent). Notwithstanding the foregoing, in no event shall any Domestic Subsidiary be designated as an Immaterial Subsidiary if it (x) is an obligor or guarantor of (i) any unsecured Indebtedness with an aggregate principal amount in excess of the Threshold Amount, (ii) any Subordinated Indebtedness or (iii) any Indebtedness that is secured on a junior basis to the Secured Obligations, (y) owns, or otherwise licenses or has the right to use, intellectual property material to the operation of the Borrower and its Subsidiaries or (z) owns the Equity Interests of a Subsidiary that is not an Immaterial Subsidiary.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Increased Amount Date</w:t>
      </w:r>
      <w:r>
        <w:rPr>
          <w:rFonts w:ascii="Arial" w:cs="Arial" w:eastAsia="Arial" w:hAnsi="Arial"/>
          <w:sz w:val="18"/>
          <w:szCs w:val="18"/>
          <w:color w:val="008000"/>
          <w:strike w:val="1"/>
        </w:rPr>
        <w:t>” has the meaning assigned thereto in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Section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5.13(a)</w:t>
      </w:r>
      <w:r>
        <w:rPr>
          <w:rFonts w:ascii="Arial" w:cs="Arial" w:eastAsia="Arial" w:hAnsi="Arial"/>
          <w:sz w:val="18"/>
          <w:szCs w:val="18"/>
          <w:color w:val="FF0000"/>
          <w:strike w:val="1"/>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490" w:right="459" w:bottom="1440" w:gutter="0" w:footer="0" w:header="0"/>
        </w:sectPr>
      </w:pPr>
    </w:p>
    <w:bookmarkStart w:id="74" w:name="page75"/>
    <w:bookmarkEnd w:id="74"/>
    <w:p>
      <w:pPr>
        <w:ind w:left="4" w:right="120" w:firstLine="440"/>
        <w:spacing w:after="0" w:line="283"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6"/>
          <w:szCs w:val="16"/>
          <w:u w:val="single" w:color="auto"/>
          <w:color w:val="FF0000"/>
          <w:strike w:val="1"/>
        </w:rPr>
        <w:t>Incremental Facilities Limit</w:t>
      </w:r>
      <w:r>
        <w:rPr>
          <w:rFonts w:ascii="Arial" w:cs="Arial" w:eastAsia="Arial" w:hAnsi="Arial"/>
          <w:sz w:val="16"/>
          <w:szCs w:val="16"/>
          <w:color w:val="FF0000"/>
          <w:strike w:val="1"/>
        </w:rPr>
        <w:t xml:space="preserve">” means, after the Second Amendment Effective Date, with respect to any proposed incurrence of additional Indebtedness under </w:t>
      </w:r>
      <w:r>
        <w:rPr>
          <w:rFonts w:ascii="Arial" w:cs="Arial" w:eastAsia="Arial" w:hAnsi="Arial"/>
          <w:sz w:val="16"/>
          <w:szCs w:val="16"/>
          <w:u w:val="single" w:color="auto"/>
          <w:color w:val="FF0000"/>
          <w:strike w:val="1"/>
        </w:rPr>
        <w:t>Section 5.13</w:t>
      </w:r>
      <w:r>
        <w:rPr>
          <w:rFonts w:ascii="Arial" w:cs="Arial" w:eastAsia="Arial" w:hAnsi="Arial"/>
          <w:sz w:val="16"/>
          <w:szCs w:val="16"/>
          <w:color w:val="FF0000"/>
          <w:strike w:val="1"/>
        </w:rPr>
        <w:t xml:space="preserve">, an amount equal to </w:t>
      </w:r>
      <w:r>
        <w:rPr>
          <w:rFonts w:ascii="Arial" w:cs="Arial" w:eastAsia="Arial" w:hAnsi="Arial"/>
          <w:sz w:val="16"/>
          <w:szCs w:val="16"/>
          <w:color w:val="008000"/>
          <w:strike w:val="1"/>
        </w:rPr>
        <w:t>the sum of (a) the</w:t>
      </w:r>
      <w:r>
        <w:rPr>
          <w:rFonts w:ascii="Arial" w:cs="Arial" w:eastAsia="Arial" w:hAnsi="Arial"/>
          <w:sz w:val="16"/>
          <w:szCs w:val="16"/>
          <w:color w:val="FF0000"/>
          <w:strike w:val="1"/>
        </w:rPr>
        <w:t xml:space="preserve"> amount of additional Indebtedness that would cause the Consolidated Secured Net Leverage Ratio as of the most recently ended fiscal quarter prior to the incurrence of such additional Indebtedness (or in the case of any additional Indebtedness, the proceeds of which will finance a Limited Condition Acquisition, the date determined pursuant to </w:t>
      </w:r>
      <w:r>
        <w:rPr>
          <w:rFonts w:ascii="Arial" w:cs="Arial" w:eastAsia="Arial" w:hAnsi="Arial"/>
          <w:sz w:val="16"/>
          <w:szCs w:val="16"/>
          <w:u w:val="single" w:color="auto"/>
          <w:color w:val="FF0000"/>
          <w:strike w:val="1"/>
        </w:rPr>
        <w:t>Section 1.14</w:t>
      </w:r>
      <w:r>
        <w:rPr>
          <w:rFonts w:ascii="Arial" w:cs="Arial" w:eastAsia="Arial" w:hAnsi="Arial"/>
          <w:sz w:val="16"/>
          <w:szCs w:val="16"/>
          <w:color w:val="FF0000"/>
          <w:strike w:val="1"/>
        </w:rPr>
        <w:t xml:space="preserve">) for which financial statements have been delivered to the Administrative Agent hereunder, calculated on a pro forma basis after giving effect to the incurrence of such additional Indebtedness and any Limited Condition Acquisition to be consummated using the proceeds of such additional Indebtedness and assuming that any proposed Incremental Revolving Credit Increase is fully drawn at such time and after giving effect to the use of proceeds thereof (calculated without giving effect to any netting of the proceeds thereof from Consolidated Secured Indebtedness), not to exceed 2.75 to 1.00 plus (b) an amount equal to (i) the greater of (x) $300,000,000 and (y) 100% of Consolidated EBITDA as of the most recently ended Measurement Period prior to the incurrence of such additional Indebtedness for which financial statements have been delivered pursuant to </w:t>
      </w:r>
      <w:r>
        <w:rPr>
          <w:rFonts w:ascii="Arial" w:cs="Arial" w:eastAsia="Arial" w:hAnsi="Arial"/>
          <w:sz w:val="16"/>
          <w:szCs w:val="16"/>
          <w:u w:val="single" w:color="auto"/>
          <w:color w:val="FF0000"/>
          <w:strike w:val="1"/>
        </w:rPr>
        <w:t>Section 8.1(a)</w:t>
      </w:r>
      <w:r>
        <w:rPr>
          <w:rFonts w:ascii="Arial" w:cs="Arial" w:eastAsia="Arial" w:hAnsi="Arial"/>
          <w:sz w:val="16"/>
          <w:szCs w:val="16"/>
          <w:color w:val="FF0000"/>
          <w:strike w:val="1"/>
        </w:rPr>
        <w:t xml:space="preserve"> or (b) (or in the case of any such additional Indebtedness, the proceeds of which will finance a Limited Condition Acquisition, the date determined pursuant to </w:t>
      </w:r>
      <w:r>
        <w:rPr>
          <w:rFonts w:ascii="Arial" w:cs="Arial" w:eastAsia="Arial" w:hAnsi="Arial"/>
          <w:sz w:val="16"/>
          <w:szCs w:val="16"/>
          <w:u w:val="single" w:color="auto"/>
          <w:color w:val="FF0000"/>
          <w:strike w:val="1"/>
        </w:rPr>
        <w:t>Section 1.14</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plus</w:t>
      </w:r>
    </w:p>
    <w:p>
      <w:pPr>
        <w:spacing w:after="0" w:line="4" w:lineRule="exact"/>
        <w:rPr>
          <w:sz w:val="20"/>
          <w:szCs w:val="20"/>
          <w:color w:val="auto"/>
        </w:rPr>
      </w:pPr>
    </w:p>
    <w:p>
      <w:pPr>
        <w:ind w:left="4" w:hanging="4"/>
        <w:spacing w:after="0" w:line="270" w:lineRule="auto"/>
        <w:tabs>
          <w:tab w:leader="none" w:pos="269" w:val="left"/>
        </w:tabs>
        <w:numPr>
          <w:ilvl w:val="0"/>
          <w:numId w:val="44"/>
        </w:numPr>
        <w:rPr>
          <w:rFonts w:ascii="Arial" w:cs="Arial" w:eastAsia="Arial" w:hAnsi="Arial"/>
          <w:sz w:val="17"/>
          <w:szCs w:val="17"/>
          <w:color w:val="FF0000"/>
          <w:strike w:val="1"/>
        </w:rPr>
      </w:pPr>
      <w:r>
        <w:rPr>
          <w:rFonts w:ascii="Arial" w:cs="Arial" w:eastAsia="Arial" w:hAnsi="Arial"/>
          <w:sz w:val="17"/>
          <w:szCs w:val="17"/>
          <w:color w:val="FF0000"/>
          <w:strike w:val="1"/>
        </w:rPr>
        <w:t xml:space="preserve">the aggregate amount of all permanent reductions of the Revolving Credit Commitment pursuant to </w:t>
      </w:r>
      <w:r>
        <w:rPr>
          <w:rFonts w:ascii="Arial" w:cs="Arial" w:eastAsia="Arial" w:hAnsi="Arial"/>
          <w:sz w:val="17"/>
          <w:szCs w:val="17"/>
          <w:u w:val="single" w:color="auto"/>
          <w:color w:val="FF0000"/>
          <w:strike w:val="1"/>
        </w:rPr>
        <w:t>Section 2.5(a) plus</w:t>
      </w:r>
      <w:r>
        <w:rPr>
          <w:rFonts w:ascii="Arial" w:cs="Arial" w:eastAsia="Arial" w:hAnsi="Arial"/>
          <w:sz w:val="17"/>
          <w:szCs w:val="17"/>
          <w:color w:val="FF0000"/>
          <w:strike w:val="1"/>
        </w:rPr>
        <w:t xml:space="preserve"> (iii) </w:t>
      </w:r>
      <w:r>
        <w:rPr>
          <w:rFonts w:ascii="Arial" w:cs="Arial" w:eastAsia="Arial" w:hAnsi="Arial"/>
          <w:sz w:val="17"/>
          <w:szCs w:val="17"/>
          <w:color w:val="008000"/>
          <w:strike w:val="1"/>
        </w:rPr>
        <w:t>the aggregate principal</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amount of all </w:t>
      </w:r>
      <w:r>
        <w:rPr>
          <w:rFonts w:ascii="Arial" w:cs="Arial" w:eastAsia="Arial" w:hAnsi="Arial"/>
          <w:sz w:val="17"/>
          <w:szCs w:val="17"/>
          <w:color w:val="FF0000"/>
          <w:strike w:val="1"/>
        </w:rPr>
        <w:t>optional prepayments of the Term Loans pursuant to</w:t>
      </w:r>
      <w:r>
        <w:rPr>
          <w:rFonts w:ascii="Arial" w:cs="Arial" w:eastAsia="Arial" w:hAnsi="Arial"/>
          <w:sz w:val="17"/>
          <w:szCs w:val="17"/>
          <w:color w:val="008000"/>
          <w:strike w:val="1"/>
        </w:rPr>
        <w:t xml:space="preserve"> </w:t>
      </w:r>
      <w:r>
        <w:rPr>
          <w:rFonts w:ascii="Arial" w:cs="Arial" w:eastAsia="Arial" w:hAnsi="Arial"/>
          <w:sz w:val="17"/>
          <w:szCs w:val="17"/>
          <w:u w:val="single" w:color="auto"/>
          <w:color w:val="FF0000"/>
          <w:strike w:val="1"/>
        </w:rPr>
        <w:t>Section 4.4(a) less</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(iv) the total aggregate initial principal amount (as of the date of</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 xml:space="preserve">incurrence thereof) of all Incremental Loan Commitments and Incremental Loans previously incurred under this clause (b) after the Second Amendment Effective Date. Unless the Borrower otherwise notifies the Administrative Agent, if all or any portion of any Incremental Loans would be permitted under </w:t>
      </w:r>
      <w:r>
        <w:rPr>
          <w:rFonts w:ascii="Arial" w:cs="Arial" w:eastAsia="Arial" w:hAnsi="Arial"/>
          <w:sz w:val="17"/>
          <w:szCs w:val="17"/>
          <w:u w:val="single" w:color="auto"/>
          <w:color w:val="FF0000"/>
          <w:strike w:val="1"/>
        </w:rPr>
        <w:t>clause (a)</w:t>
      </w:r>
      <w:r>
        <w:rPr>
          <w:rFonts w:ascii="Arial" w:cs="Arial" w:eastAsia="Arial" w:hAnsi="Arial"/>
          <w:sz w:val="17"/>
          <w:szCs w:val="17"/>
          <w:color w:val="FF0000"/>
          <w:strike w:val="1"/>
        </w:rPr>
        <w:t xml:space="preserve"> above on the applicable date of incurrence, such Incremental Loans (or the relevant portion thereof) shall be deemed to have been incurred in reliance on </w:t>
      </w:r>
      <w:r>
        <w:rPr>
          <w:rFonts w:ascii="Arial" w:cs="Arial" w:eastAsia="Arial" w:hAnsi="Arial"/>
          <w:sz w:val="17"/>
          <w:szCs w:val="17"/>
          <w:u w:val="single" w:color="auto"/>
          <w:color w:val="FF0000"/>
          <w:strike w:val="1"/>
        </w:rPr>
        <w:t>clause (a)</w:t>
      </w:r>
      <w:r>
        <w:rPr>
          <w:rFonts w:ascii="Arial" w:cs="Arial" w:eastAsia="Arial" w:hAnsi="Arial"/>
          <w:sz w:val="17"/>
          <w:szCs w:val="17"/>
          <w:color w:val="FF0000"/>
          <w:strike w:val="1"/>
        </w:rPr>
        <w:t xml:space="preserve"> above prior to the utilization of any amount available under </w:t>
      </w:r>
      <w:r>
        <w:rPr>
          <w:rFonts w:ascii="Arial" w:cs="Arial" w:eastAsia="Arial" w:hAnsi="Arial"/>
          <w:sz w:val="17"/>
          <w:szCs w:val="17"/>
          <w:u w:val="single" w:color="auto"/>
          <w:color w:val="FF0000"/>
          <w:strike w:val="1"/>
        </w:rPr>
        <w:t>clause (b)</w:t>
      </w:r>
      <w:r>
        <w:rPr>
          <w:rFonts w:ascii="Arial" w:cs="Arial" w:eastAsia="Arial" w:hAnsi="Arial"/>
          <w:sz w:val="17"/>
          <w:szCs w:val="17"/>
          <w:color w:val="FF0000"/>
          <w:strike w:val="1"/>
        </w:rPr>
        <w:t xml:space="preserve"> above.</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Incremental Facility Amendment</w:t>
      </w:r>
      <w:r>
        <w:rPr>
          <w:rFonts w:ascii="Arial" w:cs="Arial" w:eastAsia="Arial" w:hAnsi="Arial"/>
          <w:sz w:val="18"/>
          <w:szCs w:val="18"/>
          <w:color w:val="FF0000"/>
          <w:strike w:val="1"/>
        </w:rPr>
        <w:t xml:space="preserve">” shall have the meaning assigned to such term in </w:t>
      </w:r>
      <w:r>
        <w:rPr>
          <w:rFonts w:ascii="Arial" w:cs="Arial" w:eastAsia="Arial" w:hAnsi="Arial"/>
          <w:sz w:val="18"/>
          <w:szCs w:val="18"/>
          <w:u w:val="single" w:color="auto"/>
          <w:color w:val="FF0000"/>
          <w:strike w:val="1"/>
        </w:rPr>
        <w:t>Section 5.13(a)</w:t>
      </w:r>
      <w:r>
        <w:rPr>
          <w:rFonts w:ascii="Arial" w:cs="Arial" w:eastAsia="Arial" w:hAnsi="Arial"/>
          <w:sz w:val="18"/>
          <w:szCs w:val="18"/>
          <w:color w:val="FF0000"/>
          <w:strike w:val="1"/>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Incremental Lender</w:t>
      </w:r>
      <w:r>
        <w:rPr>
          <w:rFonts w:ascii="Arial" w:cs="Arial" w:eastAsia="Arial" w:hAnsi="Arial"/>
          <w:sz w:val="18"/>
          <w:szCs w:val="18"/>
          <w:color w:val="008000"/>
          <w:strike w:val="1"/>
        </w:rPr>
        <w:t>” has the meaning assigned thereto in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Section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5.13(a)</w:t>
      </w:r>
      <w:r>
        <w:rPr>
          <w:rFonts w:ascii="Arial" w:cs="Arial" w:eastAsia="Arial" w:hAnsi="Arial"/>
          <w:sz w:val="18"/>
          <w:szCs w:val="18"/>
          <w:color w:val="FF0000"/>
          <w:strike w:val="1"/>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Incremental Loan Commitments</w:t>
      </w:r>
      <w:r>
        <w:rPr>
          <w:rFonts w:ascii="Arial" w:cs="Arial" w:eastAsia="Arial" w:hAnsi="Arial"/>
          <w:sz w:val="18"/>
          <w:szCs w:val="18"/>
          <w:color w:val="FF0000"/>
          <w:strike w:val="1"/>
        </w:rPr>
        <w:t xml:space="preserve">” has the meaning assigned thereto in </w:t>
      </w:r>
      <w:r>
        <w:rPr>
          <w:rFonts w:ascii="Arial" w:cs="Arial" w:eastAsia="Arial" w:hAnsi="Arial"/>
          <w:sz w:val="18"/>
          <w:szCs w:val="18"/>
          <w:u w:val="single" w:color="auto"/>
          <w:color w:val="FF0000"/>
          <w:strike w:val="1"/>
        </w:rPr>
        <w:t>Section 5.13(a)(ii)</w:t>
      </w:r>
      <w:r>
        <w:rPr>
          <w:rFonts w:ascii="Arial" w:cs="Arial" w:eastAsia="Arial" w:hAnsi="Arial"/>
          <w:sz w:val="18"/>
          <w:szCs w:val="18"/>
          <w:color w:val="FF0000"/>
          <w:strike w:val="1"/>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Incremental Loans</w:t>
      </w:r>
      <w:r>
        <w:rPr>
          <w:rFonts w:ascii="Arial" w:cs="Arial" w:eastAsia="Arial" w:hAnsi="Arial"/>
          <w:sz w:val="18"/>
          <w:szCs w:val="18"/>
          <w:color w:val="FF0000"/>
          <w:strike w:val="1"/>
        </w:rPr>
        <w:t xml:space="preserve">” has the meaning assigned thereto in </w:t>
      </w:r>
      <w:r>
        <w:rPr>
          <w:rFonts w:ascii="Arial" w:cs="Arial" w:eastAsia="Arial" w:hAnsi="Arial"/>
          <w:sz w:val="18"/>
          <w:szCs w:val="18"/>
          <w:u w:val="single" w:color="auto"/>
          <w:color w:val="FF0000"/>
          <w:strike w:val="1"/>
        </w:rPr>
        <w:t>Section 5.13(a)(ii)</w:t>
      </w:r>
      <w:r>
        <w:rPr>
          <w:rFonts w:ascii="Arial" w:cs="Arial" w:eastAsia="Arial" w:hAnsi="Arial"/>
          <w:sz w:val="18"/>
          <w:szCs w:val="18"/>
          <w:color w:val="FF0000"/>
          <w:strike w:val="1"/>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Incremental Revolving Credit Commitment</w:t>
      </w:r>
      <w:r>
        <w:rPr>
          <w:rFonts w:ascii="Arial" w:cs="Arial" w:eastAsia="Arial" w:hAnsi="Arial"/>
          <w:sz w:val="18"/>
          <w:szCs w:val="18"/>
          <w:color w:val="FF0000"/>
          <w:strike w:val="1"/>
        </w:rPr>
        <w:t xml:space="preserve">” has the meaning assigned thereto in </w:t>
      </w:r>
      <w:r>
        <w:rPr>
          <w:rFonts w:ascii="Arial" w:cs="Arial" w:eastAsia="Arial" w:hAnsi="Arial"/>
          <w:sz w:val="18"/>
          <w:szCs w:val="18"/>
          <w:u w:val="single" w:color="auto"/>
          <w:color w:val="FF0000"/>
          <w:strike w:val="1"/>
        </w:rPr>
        <w:t>Section 5.13(a)(ii)</w:t>
      </w:r>
      <w:r>
        <w:rPr>
          <w:rFonts w:ascii="Arial" w:cs="Arial" w:eastAsia="Arial" w:hAnsi="Arial"/>
          <w:sz w:val="18"/>
          <w:szCs w:val="18"/>
          <w:color w:val="FF0000"/>
          <w:strike w:val="1"/>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Incremental Revolving Credit Increase</w:t>
      </w:r>
      <w:r>
        <w:rPr>
          <w:rFonts w:ascii="Arial" w:cs="Arial" w:eastAsia="Arial" w:hAnsi="Arial"/>
          <w:sz w:val="18"/>
          <w:szCs w:val="18"/>
          <w:color w:val="FF0000"/>
          <w:strike w:val="1"/>
        </w:rPr>
        <w:t xml:space="preserve">” has the meaning assigned thereto in </w:t>
      </w:r>
      <w:r>
        <w:rPr>
          <w:rFonts w:ascii="Arial" w:cs="Arial" w:eastAsia="Arial" w:hAnsi="Arial"/>
          <w:sz w:val="18"/>
          <w:szCs w:val="18"/>
          <w:u w:val="single" w:color="auto"/>
          <w:color w:val="FF0000"/>
          <w:strike w:val="1"/>
        </w:rPr>
        <w:t>Section 5.13(a)(ii)</w:t>
      </w:r>
      <w:r>
        <w:rPr>
          <w:rFonts w:ascii="Arial" w:cs="Arial" w:eastAsia="Arial" w:hAnsi="Arial"/>
          <w:sz w:val="18"/>
          <w:szCs w:val="18"/>
          <w:color w:val="FF0000"/>
          <w:strike w:val="1"/>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Incremental Term Loan</w:t>
      </w:r>
      <w:r>
        <w:rPr>
          <w:rFonts w:ascii="Arial" w:cs="Arial" w:eastAsia="Arial" w:hAnsi="Arial"/>
          <w:sz w:val="18"/>
          <w:szCs w:val="18"/>
          <w:color w:val="FF0000"/>
          <w:strike w:val="1"/>
        </w:rPr>
        <w:t xml:space="preserve">” has the meaning assigned thereto in </w:t>
      </w:r>
      <w:r>
        <w:rPr>
          <w:rFonts w:ascii="Arial" w:cs="Arial" w:eastAsia="Arial" w:hAnsi="Arial"/>
          <w:sz w:val="18"/>
          <w:szCs w:val="18"/>
          <w:u w:val="single" w:color="auto"/>
          <w:color w:val="FF0000"/>
          <w:strike w:val="1"/>
        </w:rPr>
        <w:t>Section 5.13(a)(i)</w:t>
      </w:r>
      <w:r>
        <w:rPr>
          <w:rFonts w:ascii="Arial" w:cs="Arial" w:eastAsia="Arial" w:hAnsi="Arial"/>
          <w:sz w:val="18"/>
          <w:szCs w:val="18"/>
          <w:color w:val="FF0000"/>
          <w:strike w:val="1"/>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Incremental Term Loan Commitment</w:t>
      </w:r>
      <w:r>
        <w:rPr>
          <w:rFonts w:ascii="Arial" w:cs="Arial" w:eastAsia="Arial" w:hAnsi="Arial"/>
          <w:sz w:val="18"/>
          <w:szCs w:val="18"/>
          <w:color w:val="FF0000"/>
          <w:strike w:val="1"/>
        </w:rPr>
        <w:t xml:space="preserve">” has the meaning assigned thereto in </w:t>
      </w:r>
      <w:r>
        <w:rPr>
          <w:rFonts w:ascii="Arial" w:cs="Arial" w:eastAsia="Arial" w:hAnsi="Arial"/>
          <w:sz w:val="18"/>
          <w:szCs w:val="18"/>
          <w:u w:val="single" w:color="auto"/>
          <w:color w:val="FF0000"/>
          <w:strike w:val="1"/>
        </w:rPr>
        <w:t>Section 5.13(a)(i)</w:t>
      </w:r>
      <w:r>
        <w:rPr>
          <w:rFonts w:ascii="Arial" w:cs="Arial" w:eastAsia="Arial" w:hAnsi="Arial"/>
          <w:sz w:val="18"/>
          <w:szCs w:val="18"/>
          <w:color w:val="FF0000"/>
          <w:strike w:val="1"/>
        </w:rPr>
        <w:t>.</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 w:right="80" w:firstLine="436"/>
        <w:spacing w:after="0" w:line="277" w:lineRule="auto"/>
        <w:tabs>
          <w:tab w:leader="none" w:pos="6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490" w:right="499" w:bottom="1440" w:gutter="0" w:footer="0" w:header="0"/>
        </w:sectPr>
      </w:pPr>
    </w:p>
    <w:bookmarkStart w:id="75" w:name="page76"/>
    <w:bookmarkEnd w:id="75"/>
    <w:p>
      <w:pPr>
        <w:ind w:left="4" w:right="460" w:firstLine="436"/>
        <w:spacing w:after="0" w:line="277" w:lineRule="auto"/>
        <w:tabs>
          <w:tab w:leader="none" w:pos="699"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all direct or contingent obligations of such Person arising under letters of credit, bankers’ acceptances, bank guaranties, surety bonds and similar instruments (excluding letters of credit issued in respect of trade payables);</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obligations of such Person under any Hedge Agreement;</w:t>
      </w:r>
    </w:p>
    <w:p>
      <w:pPr>
        <w:spacing w:after="0" w:line="117" w:lineRule="exact"/>
        <w:rPr>
          <w:rFonts w:ascii="Arial" w:cs="Arial" w:eastAsia="Arial" w:hAnsi="Arial"/>
          <w:sz w:val="18"/>
          <w:szCs w:val="18"/>
          <w:color w:val="auto"/>
        </w:rPr>
      </w:pPr>
    </w:p>
    <w:p>
      <w:pPr>
        <w:ind w:left="4" w:right="200" w:firstLine="436"/>
        <w:spacing w:after="0" w:line="259" w:lineRule="auto"/>
        <w:tabs>
          <w:tab w:leader="none" w:pos="6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(including, without limitation, in the form of earnouts, milestones and other contingent payment obligations but not until such obligations become a liability on the consolidated balance sheet of such Person in accordance with GAAP) of property or services (other than trade accounts payable in the ordinary course of business and, in each case, not past due for more than 60 days after the date on which such trade account payable was created);</w:t>
      </w:r>
    </w:p>
    <w:p>
      <w:pPr>
        <w:spacing w:after="0" w:line="78" w:lineRule="exact"/>
        <w:rPr>
          <w:rFonts w:ascii="Arial" w:cs="Arial" w:eastAsia="Arial" w:hAnsi="Arial"/>
          <w:sz w:val="18"/>
          <w:szCs w:val="18"/>
          <w:color w:val="auto"/>
        </w:rPr>
      </w:pPr>
    </w:p>
    <w:p>
      <w:pPr>
        <w:ind w:left="4" w:right="380" w:firstLine="436"/>
        <w:spacing w:after="0" w:line="263" w:lineRule="auto"/>
        <w:tabs>
          <w:tab w:leader="none" w:pos="6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5" w:lineRule="exact"/>
        <w:rPr>
          <w:rFonts w:ascii="Arial" w:cs="Arial" w:eastAsia="Arial" w:hAnsi="Arial"/>
          <w:sz w:val="18"/>
          <w:szCs w:val="18"/>
          <w:color w:val="auto"/>
        </w:rPr>
      </w:pPr>
    </w:p>
    <w:p>
      <w:pPr>
        <w:ind w:left="664" w:hanging="224"/>
        <w:spacing w:after="0"/>
        <w:tabs>
          <w:tab w:leader="none" w:pos="664"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Attributable Indebtedness in respect of Capitalized Leases and Synthetic Lease Obligations of such Person and all Synthetic Debt of such</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ind w:left="4" w:right="80" w:firstLine="436"/>
        <w:spacing w:after="0" w:line="311" w:lineRule="auto"/>
        <w:tabs>
          <w:tab w:leader="none" w:pos="69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obligations of such Person in respect of Disqualified Equity Interests of such Person or any other Person, valued, in the case of a redeemable preferred interest, at the greater of its voluntary or involuntary liquidation preference plus accrued and unpaid dividends, in each case to the extent required to be included as a liability on the consolidated balance sheet of the Borrower and its Subsidiaries in accordance with GAAP; and</w:t>
      </w:r>
    </w:p>
    <w:p>
      <w:pPr>
        <w:spacing w:after="0" w:line="40" w:lineRule="exact"/>
        <w:rPr>
          <w:rFonts w:ascii="Arial" w:cs="Arial" w:eastAsia="Arial" w:hAnsi="Arial"/>
          <w:sz w:val="16"/>
          <w:szCs w:val="16"/>
          <w:color w:val="auto"/>
        </w:rPr>
      </w:pPr>
    </w:p>
    <w:p>
      <w:pPr>
        <w:ind w:left="704" w:hanging="264"/>
        <w:spacing w:after="0"/>
        <w:tabs>
          <w:tab w:leader="none" w:pos="7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For all purposes hereof, the Indebtedness of any Person (x)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and (y) shall not include (i) prepaid or deferred revenue arising in the ordinary course of business and</w:t>
      </w:r>
    </w:p>
    <w:p>
      <w:pPr>
        <w:spacing w:after="0" w:line="2" w:lineRule="exact"/>
        <w:rPr>
          <w:sz w:val="20"/>
          <w:szCs w:val="20"/>
          <w:color w:val="auto"/>
        </w:rPr>
      </w:pPr>
    </w:p>
    <w:p>
      <w:pPr>
        <w:ind w:left="4" w:right="240" w:hanging="4"/>
        <w:spacing w:after="0" w:line="260" w:lineRule="auto"/>
        <w:tabs>
          <w:tab w:leader="none" w:pos="2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endorsements of checks or drafts arising in the ordinary course of business. The amount of any net obligation under any Hedge Agreement on any date shall be deemed to be the Swap Termination Value thereof as of such date.</w:t>
      </w:r>
    </w:p>
    <w:p>
      <w:pPr>
        <w:spacing w:after="0" w:line="185" w:lineRule="exact"/>
        <w:rPr>
          <w:sz w:val="20"/>
          <w:szCs w:val="20"/>
          <w:color w:val="auto"/>
        </w:rPr>
      </w:pPr>
    </w:p>
    <w:p>
      <w:pPr>
        <w:ind w:left="4"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12.3(b)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the term loan made, or to be made, to the Borrower by the Term Loan Lenders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u w:val="single" w:color="auto"/>
          <w:color w:val="0000FF"/>
        </w:rPr>
        <w:t>“Interest Payment Date” means (a) as to any Base Rate Loan or Daily Simple SONIA Loan,</w:t>
      </w:r>
      <w:r>
        <w:rPr>
          <w:rFonts w:ascii="Arial" w:cs="Arial" w:eastAsia="Arial" w:hAnsi="Arial"/>
          <w:sz w:val="17"/>
          <w:szCs w:val="17"/>
          <w:color w:val="0000FF"/>
        </w:rPr>
        <w:t xml:space="preserve"> </w:t>
      </w:r>
      <w:r>
        <w:rPr>
          <w:rFonts w:ascii="Arial" w:cs="Arial" w:eastAsia="Arial" w:hAnsi="Arial"/>
          <w:sz w:val="17"/>
          <w:szCs w:val="17"/>
          <w:color w:val="008000"/>
        </w:rPr>
        <w:t>the last Business Day of each</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March, June, September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and December and the Applicable Maturity Date and (b) as to any Eurocurrency Rate Loan or Term SOFR Loan, the</w:t>
      </w:r>
      <w:r>
        <w:rPr>
          <w:rFonts w:ascii="Arial" w:cs="Arial" w:eastAsia="Arial" w:hAnsi="Arial"/>
          <w:sz w:val="17"/>
          <w:szCs w:val="17"/>
          <w:color w:val="0000FF"/>
        </w:rPr>
        <w:t xml:space="preserve"> </w:t>
      </w:r>
      <w:r>
        <w:rPr>
          <w:rFonts w:ascii="Arial" w:cs="Arial" w:eastAsia="Arial" w:hAnsi="Arial"/>
          <w:sz w:val="17"/>
          <w:szCs w:val="17"/>
          <w:color w:val="008000"/>
        </w:rPr>
        <w:t>last day of each Interest Period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therefor and, in the case of any Interest Period of more than three (3) months’ duration, each day prior to the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-296545</wp:posOffset>
            </wp:positionV>
            <wp:extent cx="13970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-322580</wp:posOffset>
            </wp:positionV>
            <wp:extent cx="13995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99540" cy="825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-159385</wp:posOffset>
            </wp:positionV>
            <wp:extent cx="1440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40180" cy="88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-185420</wp:posOffset>
            </wp:positionV>
            <wp:extent cx="1440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490" w:right="459" w:bottom="1440" w:gutter="0" w:footer="0" w:header="0"/>
        </w:sectPr>
      </w:pPr>
    </w:p>
    <w:bookmarkStart w:id="76" w:name="page77"/>
    <w:bookmarkEnd w:id="76"/>
    <w:p>
      <w:pPr>
        <w:jc w:val="both"/>
        <w:ind w:right="80"/>
        <w:spacing w:after="0" w:line="259"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day of such Interest Period that occurs at three-month intervals after the first day of such Interest Period; provided, that each such three-month interval payment day shall be the immediately succeeding Business Day if such day</w:t>
      </w:r>
      <w:r>
        <w:rPr>
          <w:rFonts w:ascii="Arial" w:cs="Arial" w:eastAsia="Arial" w:hAnsi="Arial"/>
          <w:sz w:val="18"/>
          <w:szCs w:val="18"/>
          <w:color w:val="0000FF"/>
        </w:rPr>
        <w:t xml:space="preserve"> </w:t>
      </w:r>
      <w:r>
        <w:rPr>
          <w:rFonts w:ascii="Arial" w:cs="Arial" w:eastAsia="Arial" w:hAnsi="Arial"/>
          <w:sz w:val="18"/>
          <w:szCs w:val="18"/>
          <w:color w:val="008000"/>
        </w:rPr>
        <w:t>is not a Business Day,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unless such day is not a Business Day but is a day of</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 relevant month after which no further Business Day occurs in such month, in which case such day shall be</w:t>
      </w:r>
      <w:r>
        <w:rPr>
          <w:rFonts w:ascii="Arial" w:cs="Arial" w:eastAsia="Arial" w:hAnsi="Arial"/>
          <w:sz w:val="18"/>
          <w:szCs w:val="18"/>
          <w:color w:val="0000FF"/>
        </w:rPr>
        <w:t xml:space="preserve"> </w:t>
      </w:r>
      <w:r>
        <w:rPr>
          <w:rFonts w:ascii="Arial" w:cs="Arial" w:eastAsia="Arial" w:hAnsi="Arial"/>
          <w:sz w:val="18"/>
          <w:szCs w:val="18"/>
          <w:color w:val="008000"/>
        </w:rPr>
        <w:t>the immediately preceding Business Day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and the Applicable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-283210</wp:posOffset>
            </wp:positionV>
            <wp:extent cx="10629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-309245</wp:posOffset>
            </wp:positionV>
            <wp:extent cx="10623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6235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-146050</wp:posOffset>
            </wp:positionV>
            <wp:extent cx="19030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-172085</wp:posOffset>
            </wp:positionV>
            <wp:extent cx="19005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6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0000FF"/>
        </w:rPr>
        <w:t>Interest Period</w:t>
      </w:r>
      <w:r>
        <w:rPr>
          <w:rFonts w:ascii="Arial" w:cs="Arial" w:eastAsia="Arial" w:hAnsi="Arial"/>
          <w:sz w:val="17"/>
          <w:szCs w:val="17"/>
          <w:color w:val="auto"/>
        </w:rPr>
        <w:t xml:space="preserve">” means, as to each Eurocurrency Rate Loan </w:t>
      </w:r>
      <w:r>
        <w:rPr>
          <w:rFonts w:ascii="Arial" w:cs="Arial" w:eastAsia="Arial" w:hAnsi="Arial"/>
          <w:sz w:val="17"/>
          <w:szCs w:val="17"/>
          <w:color w:val="0000FF"/>
        </w:rPr>
        <w:t>or Term SOFR Loan</w:t>
      </w:r>
      <w:r>
        <w:rPr>
          <w:rFonts w:ascii="Arial" w:cs="Arial" w:eastAsia="Arial" w:hAnsi="Arial"/>
          <w:sz w:val="17"/>
          <w:szCs w:val="17"/>
          <w:color w:val="auto"/>
        </w:rPr>
        <w:t xml:space="preserve">, the period commencing on the date such </w:t>
      </w:r>
      <w:r>
        <w:rPr>
          <w:rFonts w:ascii="Arial" w:cs="Arial" w:eastAsia="Arial" w:hAnsi="Arial"/>
          <w:sz w:val="17"/>
          <w:szCs w:val="17"/>
          <w:color w:val="FF0000"/>
          <w:strike w:val="1"/>
        </w:rPr>
        <w:t>Eurocurrency Rate</w:t>
      </w:r>
      <w:r>
        <w:rPr>
          <w:rFonts w:ascii="Arial" w:cs="Arial" w:eastAsia="Arial" w:hAnsi="Arial"/>
          <w:sz w:val="17"/>
          <w:szCs w:val="17"/>
          <w:color w:val="auto"/>
        </w:rPr>
        <w:t xml:space="preserve"> Loan is disbursed or converted to or continued as a Eurocurrency Rate Loan </w:t>
      </w:r>
      <w:r>
        <w:rPr>
          <w:rFonts w:ascii="Arial" w:cs="Arial" w:eastAsia="Arial" w:hAnsi="Arial"/>
          <w:sz w:val="17"/>
          <w:szCs w:val="17"/>
          <w:u w:val="single" w:color="auto"/>
          <w:color w:val="0000FF"/>
        </w:rPr>
        <w:t>or Term SOFR Loan, as applicable,</w:t>
      </w:r>
      <w:r>
        <w:rPr>
          <w:rFonts w:ascii="Arial" w:cs="Arial" w:eastAsia="Arial" w:hAnsi="Arial"/>
          <w:sz w:val="17"/>
          <w:szCs w:val="17"/>
          <w:color w:val="auto"/>
        </w:rPr>
        <w:t xml:space="preserve"> and ending on the date one (1), </w:t>
      </w:r>
      <w:r>
        <w:rPr>
          <w:rFonts w:ascii="Arial" w:cs="Arial" w:eastAsia="Arial" w:hAnsi="Arial"/>
          <w:sz w:val="17"/>
          <w:szCs w:val="17"/>
          <w:color w:val="FF0000"/>
          <w:strike w:val="1"/>
        </w:rPr>
        <w:t>two (2),</w:t>
      </w:r>
      <w:r>
        <w:rPr>
          <w:rFonts w:ascii="Arial" w:cs="Arial" w:eastAsia="Arial" w:hAnsi="Arial"/>
          <w:sz w:val="17"/>
          <w:szCs w:val="17"/>
          <w:color w:val="auto"/>
        </w:rPr>
        <w:t xml:space="preserve"> three (3)</w:t>
      </w:r>
      <w:r>
        <w:rPr>
          <w:rFonts w:ascii="Arial" w:cs="Arial" w:eastAsia="Arial" w:hAnsi="Arial"/>
          <w:sz w:val="17"/>
          <w:szCs w:val="17"/>
          <w:color w:val="FF0000"/>
          <w:strike w:val="1"/>
        </w:rPr>
        <w:t>,</w:t>
      </w:r>
      <w:r>
        <w:rPr>
          <w:rFonts w:ascii="Arial" w:cs="Arial" w:eastAsia="Arial" w:hAnsi="Arial"/>
          <w:sz w:val="17"/>
          <w:szCs w:val="17"/>
          <w:color w:val="auto"/>
        </w:rPr>
        <w:t xml:space="preserve"> or </w:t>
      </w:r>
      <w:r>
        <w:rPr>
          <w:rFonts w:ascii="Arial" w:cs="Arial" w:eastAsia="Arial" w:hAnsi="Arial"/>
          <w:sz w:val="17"/>
          <w:szCs w:val="17"/>
          <w:color w:val="0000FF"/>
        </w:rPr>
        <w:t>, except with respect to any Loan bearing interest based on CDOR,</w:t>
      </w:r>
      <w:r>
        <w:rPr>
          <w:rFonts w:ascii="Arial" w:cs="Arial" w:eastAsia="Arial" w:hAnsi="Arial"/>
          <w:sz w:val="17"/>
          <w:szCs w:val="17"/>
          <w:color w:val="auto"/>
        </w:rPr>
        <w:t xml:space="preserve"> six (6) months thereafter, in each case as selected by the Borrower in its Notice of Borrowing or Notice of Conversion/Continuation and subject to availability;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-430530</wp:posOffset>
            </wp:positionV>
            <wp:extent cx="9601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-455930</wp:posOffset>
            </wp:positionV>
            <wp:extent cx="9677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6774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wp:posOffset>
            </wp:positionH>
            <wp:positionV relativeFrom="paragraph">
              <wp:posOffset>-156210</wp:posOffset>
            </wp:positionV>
            <wp:extent cx="30861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-181610</wp:posOffset>
            </wp:positionV>
            <wp:extent cx="30841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84195" cy="8255"/>
                    </a:xfrm>
                    <a:prstGeom prst="rect">
                      <a:avLst/>
                    </a:prstGeom>
                    <a:noFill/>
                  </pic:spPr>
                </pic:pic>
              </a:graphicData>
            </a:graphic>
          </wp:anchor>
        </w:drawing>
      </w:r>
    </w:p>
    <w:p>
      <w:pPr>
        <w:spacing w:after="0" w:line="43" w:lineRule="exact"/>
        <w:rPr>
          <w:sz w:val="20"/>
          <w:szCs w:val="20"/>
          <w:color w:val="auto"/>
        </w:rPr>
      </w:pPr>
    </w:p>
    <w:p>
      <w:pPr>
        <w:ind w:firstLine="436"/>
        <w:spacing w:after="0" w:line="263" w:lineRule="auto"/>
        <w:tabs>
          <w:tab w:leader="none" w:pos="6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Interest Period shall commence on the date of advance of or conversion to any Eurocurrency Rate Loan </w:t>
      </w:r>
      <w:r>
        <w:rPr>
          <w:rFonts w:ascii="Arial" w:cs="Arial" w:eastAsia="Arial" w:hAnsi="Arial"/>
          <w:sz w:val="18"/>
          <w:szCs w:val="18"/>
          <w:u w:val="single" w:color="auto"/>
          <w:color w:val="0000FF"/>
        </w:rPr>
        <w:t>or Term SOFR Loan, as applicable,</w:t>
      </w:r>
      <w:r>
        <w:rPr>
          <w:rFonts w:ascii="Arial" w:cs="Arial" w:eastAsia="Arial" w:hAnsi="Arial"/>
          <w:sz w:val="18"/>
          <w:szCs w:val="18"/>
          <w:color w:val="auto"/>
        </w:rPr>
        <w:t xml:space="preserve"> and, in the case of immediately successive Interest Periods, each successive Interest Period shall commence on the date on which the immediately preceding Interest Period expires;</w:t>
      </w:r>
    </w:p>
    <w:p>
      <w:pPr>
        <w:spacing w:after="0" w:line="75" w:lineRule="exact"/>
        <w:rPr>
          <w:rFonts w:ascii="Arial" w:cs="Arial" w:eastAsia="Arial" w:hAnsi="Arial"/>
          <w:sz w:val="18"/>
          <w:szCs w:val="18"/>
          <w:color w:val="auto"/>
        </w:rPr>
      </w:pPr>
    </w:p>
    <w:p>
      <w:pPr>
        <w:ind w:right="80" w:firstLine="436"/>
        <w:spacing w:after="0" w:line="259"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provided that if any Interest Period </w:t>
      </w:r>
      <w:r>
        <w:rPr>
          <w:rFonts w:ascii="Arial" w:cs="Arial" w:eastAsia="Arial" w:hAnsi="Arial"/>
          <w:sz w:val="18"/>
          <w:szCs w:val="18"/>
          <w:color w:val="008000"/>
          <w:strike w:val="1"/>
        </w:rPr>
        <w:t>with respect to a Eurocurrency Rate Loan</w:t>
      </w:r>
      <w:r>
        <w:rPr>
          <w:rFonts w:ascii="Arial" w:cs="Arial" w:eastAsia="Arial" w:hAnsi="Arial"/>
          <w:sz w:val="18"/>
          <w:szCs w:val="18"/>
          <w:color w:val="auto"/>
        </w:rPr>
        <w:t xml:space="preserve"> would otherwise expire on a day that is not a Business Day but is a day of the month after which no further Business Day occurs in such month, such Interest Period shall expire on the immediately preceding Business Day;</w:t>
      </w:r>
    </w:p>
    <w:p>
      <w:pPr>
        <w:spacing w:after="0" w:line="78" w:lineRule="exact"/>
        <w:rPr>
          <w:rFonts w:ascii="Arial" w:cs="Arial" w:eastAsia="Arial" w:hAnsi="Arial"/>
          <w:sz w:val="18"/>
          <w:szCs w:val="18"/>
          <w:color w:val="auto"/>
        </w:rPr>
      </w:pPr>
    </w:p>
    <w:p>
      <w:pPr>
        <w:ind w:right="140" w:firstLine="436"/>
        <w:spacing w:after="0" w:line="263" w:lineRule="auto"/>
        <w:tabs>
          <w:tab w:leader="none" w:pos="6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any Interest Period </w:t>
      </w:r>
      <w:r>
        <w:rPr>
          <w:rFonts w:ascii="Arial" w:cs="Arial" w:eastAsia="Arial" w:hAnsi="Arial"/>
          <w:sz w:val="18"/>
          <w:szCs w:val="18"/>
          <w:color w:val="FF0000"/>
          <w:strike w:val="1"/>
        </w:rPr>
        <w:t>with respect to a Eurocurrency Rate Loan</w:t>
      </w:r>
      <w:r>
        <w:rPr>
          <w:rFonts w:ascii="Arial" w:cs="Arial" w:eastAsia="Arial" w:hAnsi="Arial"/>
          <w:sz w:val="18"/>
          <w:szCs w:val="18"/>
          <w:color w:val="auto"/>
        </w:rPr>
        <w:t xml:space="preserve">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75" w:lineRule="exact"/>
        <w:rPr>
          <w:rFonts w:ascii="Arial" w:cs="Arial" w:eastAsia="Arial" w:hAnsi="Arial"/>
          <w:sz w:val="18"/>
          <w:szCs w:val="18"/>
          <w:color w:val="auto"/>
        </w:rPr>
      </w:pPr>
    </w:p>
    <w:p>
      <w:pPr>
        <w:ind w:firstLine="436"/>
        <w:spacing w:after="0" w:line="263"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no Interest Period shall extend beyond the </w:t>
      </w:r>
      <w:r>
        <w:rPr>
          <w:rFonts w:ascii="Arial" w:cs="Arial" w:eastAsia="Arial" w:hAnsi="Arial"/>
          <w:sz w:val="18"/>
          <w:szCs w:val="18"/>
          <w:color w:val="FF0000"/>
          <w:strike w:val="1"/>
        </w:rPr>
        <w:t>Revolving Credit</w:t>
      </w:r>
      <w:r>
        <w:rPr>
          <w:rFonts w:ascii="Arial" w:cs="Arial" w:eastAsia="Arial" w:hAnsi="Arial"/>
          <w:sz w:val="18"/>
          <w:szCs w:val="18"/>
          <w:u w:val="single" w:color="auto"/>
          <w:color w:val="0000FF"/>
        </w:rPr>
        <w:t>Applicable</w:t>
      </w:r>
      <w:r>
        <w:rPr>
          <w:rFonts w:ascii="Arial" w:cs="Arial" w:eastAsia="Arial" w:hAnsi="Arial"/>
          <w:sz w:val="18"/>
          <w:szCs w:val="18"/>
          <w:color w:val="auto"/>
        </w:rPr>
        <w:t xml:space="preserve"> Maturity Date </w:t>
      </w:r>
      <w:r>
        <w:rPr>
          <w:rFonts w:ascii="Arial" w:cs="Arial" w:eastAsia="Arial" w:hAnsi="Arial"/>
          <w:sz w:val="18"/>
          <w:szCs w:val="18"/>
          <w:color w:val="FF0000"/>
        </w:rPr>
        <w:t>or the maturity date with respect to any Term Loan, as</w:t>
      </w:r>
      <w:r>
        <w:rPr>
          <w:rFonts w:ascii="Arial" w:cs="Arial" w:eastAsia="Arial" w:hAnsi="Arial"/>
          <w:sz w:val="18"/>
          <w:szCs w:val="18"/>
          <w:color w:val="auto"/>
        </w:rPr>
        <w:t xml:space="preserve"> </w:t>
      </w:r>
      <w:r>
        <w:rPr>
          <w:rFonts w:ascii="Arial" w:cs="Arial" w:eastAsia="Arial" w:hAnsi="Arial"/>
          <w:sz w:val="18"/>
          <w:szCs w:val="18"/>
          <w:color w:val="FF0000"/>
          <w:strike w:val="1"/>
        </w:rPr>
        <w:t>applicable; and</w:t>
      </w:r>
      <w:r>
        <w:rPr>
          <w:rFonts w:ascii="Arial" w:cs="Arial" w:eastAsia="Arial" w:hAnsi="Arial"/>
          <w:sz w:val="18"/>
          <w:szCs w:val="18"/>
          <w:u w:val="single" w:color="auto"/>
          <w:color w:val="0000FF"/>
          <w:strike w:val="1"/>
        </w:rPr>
        <w:t>, and Interest Periods shall be selected by the Borrower so as to permit the Borrower to make the quarterly principal installment payments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pursuant to Section 4.3 without payment of any amounts pursuant to Section 5.9</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shall be no more than six (6) Interest Periods in effect at any time</w:t>
      </w:r>
      <w:r>
        <w:rPr>
          <w:rFonts w:ascii="Arial" w:cs="Arial" w:eastAsia="Arial" w:hAnsi="Arial"/>
          <w:sz w:val="18"/>
          <w:szCs w:val="18"/>
          <w:color w:val="FF0000"/>
          <w:strike w:val="1"/>
        </w:rPr>
        <w:t>.</w:t>
      </w:r>
      <w:r>
        <w:rPr>
          <w:rFonts w:ascii="Arial" w:cs="Arial" w:eastAsia="Arial" w:hAnsi="Arial"/>
          <w:sz w:val="18"/>
          <w:szCs w:val="18"/>
          <w:u w:val="single" w:color="auto"/>
          <w:color w:val="0000FF"/>
        </w:rPr>
        <w:t>; and</w:t>
      </w:r>
    </w:p>
    <w:p>
      <w:pPr>
        <w:spacing w:after="0" w:line="117" w:lineRule="exact"/>
        <w:rPr>
          <w:rFonts w:ascii="Arial" w:cs="Arial" w:eastAsia="Arial" w:hAnsi="Arial"/>
          <w:sz w:val="18"/>
          <w:szCs w:val="18"/>
          <w:color w:val="auto"/>
        </w:rPr>
      </w:pPr>
    </w:p>
    <w:p>
      <w:pPr>
        <w:ind w:right="760" w:firstLine="436"/>
        <w:spacing w:after="0" w:line="277" w:lineRule="auto"/>
        <w:tabs>
          <w:tab w:leader="none" w:pos="665" w:val="left"/>
        </w:tabs>
        <w:numPr>
          <w:ilvl w:val="0"/>
          <w:numId w:val="4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 tenor that has been removed from this definition pursuant to Section 5.8(c)(iv) shall be available for specification in any Notice of Borrowing or Notice of Conversion/Continuation.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-919480</wp:posOffset>
            </wp:positionV>
            <wp:extent cx="25025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15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with respect to any Person, that such Person (a) purchases, owns, invests in or otherwise acquires (in one transaction or a series of transactions), directly or indirectly, any Equity Interests, interests in any partnership or joint venture (including, without limitation, the creation or capitalization of any Subsidiary), evidence of Indebtedness, any going business or substantially all of the assets of any other Person (or a division thereof) or any other investment or interest whatsoever in any other Person, (b) makes any Acquisition or (c) makes or permits to exist, directly or indirectly, any loans, advances or extensions of credit to, or any investment in cash or by delivery of Property in, any Person.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xml:space="preserve">” means the Investment Company Act of 1940 (15 U.S.C. § 80(a)(1),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490" w:right="459" w:bottom="1440" w:gutter="0" w:footer="0" w:header="0"/>
        </w:sectPr>
      </w:pPr>
    </w:p>
    <w:bookmarkStart w:id="77" w:name="page78"/>
    <w:bookmarkEnd w:id="77"/>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Investment Policy</w:t>
      </w:r>
      <w:r>
        <w:rPr>
          <w:rFonts w:ascii="Arial" w:cs="Arial" w:eastAsia="Arial" w:hAnsi="Arial"/>
          <w:sz w:val="18"/>
          <w:szCs w:val="18"/>
          <w:color w:val="auto"/>
        </w:rPr>
        <w:t>” means the investment policy of the Borrower and its Subsidiaries as of the Closing Date, as the same may be amended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008000"/>
          <w:strike w:val="1"/>
        </w:rPr>
        <w:t>“</w:t>
      </w:r>
      <w:r>
        <w:rPr>
          <w:rFonts w:ascii="Arial" w:cs="Arial" w:eastAsia="Arial" w:hAnsi="Arial"/>
          <w:sz w:val="18"/>
          <w:szCs w:val="18"/>
          <w:u w:val="single" w:color="auto"/>
          <w:color w:val="008000"/>
          <w:strike w:val="1"/>
        </w:rPr>
        <w:t>Irish Newco/Adapt Intercompany Loan</w:t>
      </w:r>
      <w:r>
        <w:rPr>
          <w:rFonts w:ascii="Arial" w:cs="Arial" w:eastAsia="Arial" w:hAnsi="Arial"/>
          <w:sz w:val="18"/>
          <w:szCs w:val="18"/>
          <w:color w:val="008000"/>
          <w:strike w:val="1"/>
        </w:rPr>
        <w:t xml:space="preserve">” has the meaning assigned thereto in </w:t>
      </w:r>
      <w:r>
        <w:rPr>
          <w:rFonts w:ascii="Arial" w:cs="Arial" w:eastAsia="Arial" w:hAnsi="Arial"/>
          <w:sz w:val="18"/>
          <w:szCs w:val="18"/>
          <w:u w:val="single" w:color="auto"/>
          <w:color w:val="008000"/>
          <w:strike w:val="1"/>
        </w:rPr>
        <w:t>Section 9.3(u)</w:t>
      </w:r>
      <w:r>
        <w:rPr>
          <w:rFonts w:ascii="Arial" w:cs="Arial" w:eastAsia="Arial" w:hAnsi="Arial"/>
          <w:sz w:val="18"/>
          <w:szCs w:val="18"/>
          <w:color w:val="008000"/>
          <w:strike w:val="1"/>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Newco Subsidiary</w:t>
      </w:r>
      <w:r>
        <w:rPr>
          <w:rFonts w:ascii="Arial" w:cs="Arial" w:eastAsia="Arial" w:hAnsi="Arial"/>
          <w:sz w:val="18"/>
          <w:szCs w:val="18"/>
          <w:color w:val="auto"/>
        </w:rPr>
        <w:t>” means Emergent Acquisition Limited, an Irish private company limited by shares, an indirect foreign subsidiary of the Borrower.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8000"/>
        </w:rPr>
        <w:t>“Irish Newco/Adapt Intercompany Loan” has the meaning assigned thereto in Section 9.3(u).</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ISP</w:t>
      </w:r>
      <w:r>
        <w:rPr>
          <w:rFonts w:ascii="Arial" w:cs="Arial" w:eastAsia="Arial" w:hAnsi="Arial"/>
          <w:sz w:val="18"/>
          <w:szCs w:val="18"/>
          <w:color w:val="auto"/>
        </w:rPr>
        <w:t xml:space="preserve"> </w:t>
      </w:r>
      <w:r>
        <w:rPr>
          <w:rFonts w:ascii="Arial" w:cs="Arial" w:eastAsia="Arial" w:hAnsi="Arial"/>
          <w:sz w:val="18"/>
          <w:szCs w:val="18"/>
          <w:color w:val="FF0000"/>
          <w:strike w:val="1"/>
        </w:rPr>
        <w:t>98</w:t>
      </w:r>
      <w:r>
        <w:rPr>
          <w:rFonts w:ascii="Arial" w:cs="Arial" w:eastAsia="Arial" w:hAnsi="Arial"/>
          <w:sz w:val="18"/>
          <w:szCs w:val="18"/>
          <w:color w:val="auto"/>
        </w:rPr>
        <w:t xml:space="preserve">” means the International Standby Practices </w:t>
      </w:r>
      <w:r>
        <w:rPr>
          <w:rFonts w:ascii="Arial" w:cs="Arial" w:eastAsia="Arial" w:hAnsi="Arial"/>
          <w:sz w:val="18"/>
          <w:szCs w:val="18"/>
          <w:color w:val="FF0000"/>
          <w:strike w:val="1"/>
        </w:rPr>
        <w:t>(1998 Revision, effective January 1, 1999)</w:t>
      </w:r>
      <w:r>
        <w:rPr>
          <w:rFonts w:ascii="Arial" w:cs="Arial" w:eastAsia="Arial" w:hAnsi="Arial"/>
          <w:sz w:val="18"/>
          <w:szCs w:val="18"/>
          <w:color w:val="auto"/>
        </w:rPr>
        <w:t xml:space="preserve">, International Chamber of Commerce Publication No. 590 </w:t>
      </w:r>
      <w:r>
        <w:rPr>
          <w:rFonts w:ascii="Arial" w:cs="Arial" w:eastAsia="Arial" w:hAnsi="Arial"/>
          <w:sz w:val="18"/>
          <w:szCs w:val="18"/>
          <w:color w:val="0000FF"/>
        </w:rPr>
        <w:t>(or such later version thereof as may be in effect at the applicable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-19050</wp:posOffset>
            </wp:positionV>
            <wp:extent cx="32829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-45085</wp:posOffset>
            </wp:positionV>
            <wp:extent cx="32848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84855" cy="8255"/>
                    </a:xfrm>
                    <a:prstGeom prst="rect">
                      <a:avLst/>
                    </a:prstGeom>
                    <a:noFill/>
                  </pic:spPr>
                </pic:pic>
              </a:graphicData>
            </a:graphic>
          </wp:anchor>
        </w:drawing>
      </w:r>
    </w:p>
    <w:p>
      <w:pPr>
        <w:spacing w:after="0" w:line="150"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Lender</w:t>
      </w:r>
      <w:r>
        <w:rPr>
          <w:rFonts w:ascii="Arial" w:cs="Arial" w:eastAsia="Arial" w:hAnsi="Arial"/>
          <w:sz w:val="16"/>
          <w:szCs w:val="16"/>
          <w:color w:val="auto"/>
        </w:rPr>
        <w:t xml:space="preserve">” means (a) solely with respect to the Existing Letters of Credit, the issuers thereof as set forth on Schedule 1.1(a), (b) the initial Issuing Lenders referenced on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and (c) any other </w:t>
      </w:r>
      <w:r>
        <w:rPr>
          <w:rFonts w:ascii="Arial" w:cs="Arial" w:eastAsia="Arial" w:hAnsi="Arial"/>
          <w:sz w:val="16"/>
          <w:szCs w:val="16"/>
          <w:u w:val="single" w:color="auto"/>
          <w:color w:val="0000FF"/>
        </w:rPr>
        <w:t>Revolving Credit</w:t>
      </w:r>
      <w:r>
        <w:rPr>
          <w:rFonts w:ascii="Arial" w:cs="Arial" w:eastAsia="Arial" w:hAnsi="Arial"/>
          <w:sz w:val="16"/>
          <w:szCs w:val="16"/>
          <w:color w:val="auto"/>
        </w:rPr>
        <w:t xml:space="preserve"> Lender to the extent it has agreed in its sole discretion to act as an “Issuing Lender” hereunder and that has been approved in writing by the Borrower and the Administrative Agent (such approval by the Administrative Agent not to be unreasonably delayed or withheld) as an “Issuing Lender” hereunder, in each case in its capacity as issuer of any Letter of Credit. No Issuing Lender set forth in clause (a) above shall have any obligation or commitment to reissue, renew, extend or amend any Existing Letter of Credit issued thereby. Any Issuing Lender may, in its discretion, arrange for one or more Letters of Credit to be issued by Affiliates of such Issuing Lender, in which case the term “Issuing Lender” shall include any such Affiliate with respect to Letters of Credit issued by such Affiliate.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“Junior Capital Raise</w:t>
      </w:r>
      <w:r>
        <w:rPr>
          <w:rFonts w:ascii="Arial" w:cs="Arial" w:eastAsia="Arial" w:hAnsi="Arial"/>
          <w:sz w:val="18"/>
          <w:szCs w:val="18"/>
          <w:u w:val="single" w:color="auto"/>
          <w:color w:val="008000"/>
        </w:rPr>
        <w:t>” has the meaning assigned thereto in Section</w:t>
      </w:r>
      <w:r>
        <w:rPr>
          <w:rFonts w:ascii="Arial" w:cs="Arial" w:eastAsia="Arial" w:hAnsi="Arial"/>
          <w:sz w:val="18"/>
          <w:szCs w:val="18"/>
          <w:u w:val="single" w:color="auto"/>
          <w:color w:val="0000FF"/>
        </w:rPr>
        <w:t xml:space="preserve"> 8.20.</w:t>
      </w:r>
    </w:p>
    <w:p>
      <w:pPr>
        <w:spacing w:after="0" w:line="22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Commitment</w:t>
      </w:r>
      <w:r>
        <w:rPr>
          <w:rFonts w:ascii="Arial" w:cs="Arial" w:eastAsia="Arial" w:hAnsi="Arial"/>
          <w:sz w:val="16"/>
          <w:szCs w:val="16"/>
          <w:color w:val="auto"/>
        </w:rPr>
        <w:t xml:space="preserve">” means, as to any Issuing Lender, the obligation of such Issuing Lender to issue Letters of Credit for the account of the Borrower from time to time in an aggregate amount equal to (a) for each of the initial Issuing Lenders, the amount set forth opposite the name of each such initial Issuing Lender on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and (b) for any other Issuing Lender becoming an Issuing Lender after the Closing Date, such amount as separately agreed to in a written agreement between the Borrower and such Issuing Lender (which such agreement shall be promptly delivered to the Administrative Agent upon execution), in each case of clauses (a) and (b) above, any such amount may be changed after the Closing Date in a written agreement between the Borrower and such Issuing Lender (which such agreement shall be promptly delivered to the Administrative Agent upon execution)</w:t>
      </w:r>
      <w:r>
        <w:rPr>
          <w:rFonts w:ascii="Arial" w:cs="Arial" w:eastAsia="Arial" w:hAnsi="Arial"/>
          <w:sz w:val="16"/>
          <w:szCs w:val="16"/>
          <w:color w:val="FF0000"/>
          <w:strike w:val="1"/>
        </w:rPr>
        <w:t>.</w:t>
      </w:r>
      <w:r>
        <w:rPr>
          <w:rFonts w:ascii="Arial" w:cs="Arial" w:eastAsia="Arial" w:hAnsi="Arial"/>
          <w:sz w:val="16"/>
          <w:szCs w:val="16"/>
          <w:u w:val="single" w:color="auto"/>
          <w:color w:val="0000FF"/>
        </w:rPr>
        <w:t>; provided that the L/C Commitment with respect to any Person that ceases to be an Issuing Lender for any reason pursuant to the terms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hereof shall be $0 (subject to the Letters of Credit of such Person remaining outstanding in accordance with the provisions hereof).</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w:t>
      </w:r>
      <w:r>
        <w:rPr>
          <w:rFonts w:ascii="Arial" w:cs="Arial" w:eastAsia="Arial" w:hAnsi="Arial"/>
          <w:sz w:val="18"/>
          <w:szCs w:val="18"/>
          <w:color w:val="auto"/>
        </w:rPr>
        <w:t xml:space="preserve">” means the letter of credit facility established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0"/>
          </w:cols>
          <w:pgMar w:left="440" w:top="490" w:right="579" w:bottom="1440" w:gutter="0" w:footer="0" w:header="0"/>
        </w:sectPr>
      </w:pPr>
    </w:p>
    <w:bookmarkStart w:id="78" w:name="page79"/>
    <w:bookmarkEnd w:id="78"/>
    <w:p>
      <w:pPr>
        <w:ind w:right="6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the collective reference to all the Revolving Credit Lenders other than the applicable Issuing Lender.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xml:space="preserve">” means the lesser of (a) the </w:t>
      </w:r>
      <w:r>
        <w:rPr>
          <w:rFonts w:ascii="Arial" w:cs="Arial" w:eastAsia="Arial" w:hAnsi="Arial"/>
          <w:sz w:val="18"/>
          <w:szCs w:val="18"/>
          <w:u w:val="single" w:color="auto"/>
          <w:color w:val="0000FF"/>
        </w:rPr>
        <w:t>aggregate amount of the</w:t>
      </w:r>
      <w:r>
        <w:rPr>
          <w:rFonts w:ascii="Arial" w:cs="Arial" w:eastAsia="Arial" w:hAnsi="Arial"/>
          <w:sz w:val="18"/>
          <w:szCs w:val="18"/>
          <w:color w:val="auto"/>
        </w:rPr>
        <w:t xml:space="preserve"> Revolving Credit Commitments and (b) $</w:t>
      </w:r>
      <w:r>
        <w:rPr>
          <w:rFonts w:ascii="Arial" w:cs="Arial" w:eastAsia="Arial" w:hAnsi="Arial"/>
          <w:sz w:val="18"/>
          <w:szCs w:val="18"/>
          <w:color w:val="FF0000"/>
          <w:strike w:val="1"/>
        </w:rPr>
        <w:t>5</w:t>
      </w:r>
      <w:r>
        <w:rPr>
          <w:rFonts w:ascii="Arial" w:cs="Arial" w:eastAsia="Arial" w:hAnsi="Arial"/>
          <w:sz w:val="18"/>
          <w:szCs w:val="18"/>
          <w:u w:val="single" w:color="auto"/>
          <w:color w:val="0000FF"/>
        </w:rPr>
        <w:t>1</w:t>
      </w:r>
      <w:r>
        <w:rPr>
          <w:rFonts w:ascii="Arial" w:cs="Arial" w:eastAsia="Arial" w:hAnsi="Arial"/>
          <w:sz w:val="18"/>
          <w:szCs w:val="18"/>
          <w:color w:val="auto"/>
        </w:rPr>
        <w:t>0,000,000.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means Wells Fargo Securities, LLC.</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means each Person executing this Agreement as a Lender on the Closing Date and any other Person that shall have become a party to this Agreement as a Lender pursuant to an Assignment and Assumption </w:t>
      </w:r>
      <w:r>
        <w:rPr>
          <w:rFonts w:ascii="Arial" w:cs="Arial" w:eastAsia="Arial" w:hAnsi="Arial"/>
          <w:sz w:val="18"/>
          <w:szCs w:val="18"/>
          <w:color w:val="FF0000"/>
        </w:rPr>
        <w:t>or pursuant to</w:t>
      </w:r>
      <w:r>
        <w:rPr>
          <w:rFonts w:ascii="Arial" w:cs="Arial" w:eastAsia="Arial" w:hAnsi="Arial"/>
          <w:sz w:val="18"/>
          <w:szCs w:val="18"/>
          <w:color w:val="auto"/>
        </w:rPr>
        <w:t xml:space="preserve"> </w:t>
      </w:r>
      <w:r>
        <w:rPr>
          <w:rFonts w:ascii="Arial" w:cs="Arial" w:eastAsia="Arial" w:hAnsi="Arial"/>
          <w:sz w:val="18"/>
          <w:szCs w:val="18"/>
          <w:u w:val="single" w:color="auto"/>
          <w:color w:val="FF0000"/>
        </w:rPr>
        <w:t>Section 5.13</w:t>
      </w:r>
      <w:r>
        <w:rPr>
          <w:rFonts w:ascii="Arial" w:cs="Arial" w:eastAsia="Arial" w:hAnsi="Arial"/>
          <w:sz w:val="18"/>
          <w:szCs w:val="18"/>
          <w:color w:val="auto"/>
        </w:rPr>
        <w:t>, other than any Person that ceases to be a party hereto as a Lender pursuant to an Assignment and Assumption. Unless the context otherwise requires, the term “Lenders” includes the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-360680</wp:posOffset>
            </wp:positionV>
            <wp:extent cx="12630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16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xml:space="preserve">” means, with respect to any Lender, the office of such Lender maintaining such Lender’s Extensions of Credit, which office may, to the extent the applicable Lender notifies the Administrative Agent in writing, include an office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of</w:t>
      </w:r>
      <w:r>
        <w:rPr>
          <w:rFonts w:ascii="Arial" w:cs="Arial" w:eastAsia="Arial" w:hAnsi="Arial"/>
          <w:sz w:val="18"/>
          <w:szCs w:val="18"/>
          <w:color w:val="auto"/>
        </w:rPr>
        <w:t xml:space="preserve"> any Affiliate of such Lender or any domestic or foreign branch of such Lender or Affiliate.</w:t>
      </w:r>
    </w:p>
    <w:p>
      <w:pPr>
        <w:spacing w:after="0" w:line="18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Application</w:t>
      </w:r>
      <w:r>
        <w:rPr>
          <w:rFonts w:ascii="Arial" w:cs="Arial" w:eastAsia="Arial" w:hAnsi="Arial"/>
          <w:sz w:val="17"/>
          <w:szCs w:val="17"/>
          <w:color w:val="auto"/>
        </w:rPr>
        <w:t xml:space="preserve">” means an application requesting </w:t>
      </w:r>
      <w:r>
        <w:rPr>
          <w:rFonts w:ascii="Arial" w:cs="Arial" w:eastAsia="Arial" w:hAnsi="Arial"/>
          <w:sz w:val="17"/>
          <w:szCs w:val="17"/>
          <w:color w:val="FF0000"/>
          <w:strike w:val="1"/>
        </w:rPr>
        <w:t>such</w:t>
      </w:r>
      <w:r>
        <w:rPr>
          <w:rFonts w:ascii="Arial" w:cs="Arial" w:eastAsia="Arial" w:hAnsi="Arial"/>
          <w:sz w:val="17"/>
          <w:szCs w:val="17"/>
          <w:u w:val="single" w:color="auto"/>
          <w:color w:val="0000FF"/>
        </w:rPr>
        <w:t>the applicable</w:t>
      </w:r>
      <w:r>
        <w:rPr>
          <w:rFonts w:ascii="Arial" w:cs="Arial" w:eastAsia="Arial" w:hAnsi="Arial"/>
          <w:sz w:val="17"/>
          <w:szCs w:val="17"/>
          <w:color w:val="auto"/>
        </w:rPr>
        <w:t xml:space="preserve"> Issuing Lender to issue a Letter of Credit and </w:t>
      </w:r>
      <w:r>
        <w:rPr>
          <w:rFonts w:ascii="Arial" w:cs="Arial" w:eastAsia="Arial" w:hAnsi="Arial"/>
          <w:sz w:val="17"/>
          <w:szCs w:val="17"/>
          <w:color w:val="FF0000"/>
          <w:strike w:val="1"/>
        </w:rPr>
        <w:t>a</w:t>
      </w:r>
      <w:r>
        <w:rPr>
          <w:rFonts w:ascii="Arial" w:cs="Arial" w:eastAsia="Arial" w:hAnsi="Arial"/>
          <w:sz w:val="17"/>
          <w:szCs w:val="17"/>
          <w:u w:val="single" w:color="auto"/>
          <w:color w:val="0000FF"/>
        </w:rPr>
        <w:t>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agreement or</w:t>
      </w:r>
      <w:r>
        <w:rPr>
          <w:rFonts w:ascii="Arial" w:cs="Arial" w:eastAsia="Arial" w:hAnsi="Arial"/>
          <w:sz w:val="17"/>
          <w:szCs w:val="17"/>
          <w:color w:val="0000FF"/>
        </w:rPr>
        <w:t xml:space="preserve"> </w:t>
      </w:r>
      <w:r>
        <w:rPr>
          <w:rFonts w:ascii="Arial" w:cs="Arial" w:eastAsia="Arial" w:hAnsi="Arial"/>
          <w:sz w:val="17"/>
          <w:szCs w:val="17"/>
          <w:color w:val="000000"/>
        </w:rPr>
        <w:t>reimbursement agreement, in each case in the form specified by the applicable Issuing Lender from time to time.</w:t>
      </w:r>
    </w:p>
    <w:p>
      <w:pPr>
        <w:spacing w:after="0" w:line="14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u w:val="single" w:color="auto"/>
          <w:color w:val="0000FF"/>
        </w:rPr>
        <w:t>“Letter of Credit Documents” means with respect to any Letter of Credit, such Letters of Credit, the Letter of Credit Application, a letter of credit agreement or reimbursement agreement and any other document, agreement and instrument required by the applicable Issuing Lender and relating to such Letter of Credit, in each case in the form specified by the applicable Issuing Lender from time to time.</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means the collective reference to letters of credit issued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the Existing Letters of Credit. Letters of Credit may be issued in Dollars or an Alternative L/C Currency.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Leverage Ratio Increase</w:t>
      </w:r>
      <w:r>
        <w:rPr>
          <w:rFonts w:ascii="Arial" w:cs="Arial" w:eastAsia="Arial" w:hAnsi="Arial"/>
          <w:sz w:val="18"/>
          <w:szCs w:val="18"/>
          <w:color w:val="FF0000"/>
          <w:strike w:val="1"/>
        </w:rPr>
        <w:t xml:space="preserve">” has the meaning assigned thereto in </w:t>
      </w:r>
      <w:r>
        <w:rPr>
          <w:rFonts w:ascii="Arial" w:cs="Arial" w:eastAsia="Arial" w:hAnsi="Arial"/>
          <w:sz w:val="18"/>
          <w:szCs w:val="18"/>
          <w:u w:val="single" w:color="auto"/>
          <w:color w:val="FF0000"/>
          <w:strike w:val="1"/>
        </w:rPr>
        <w:t>Section 9.11(b)</w:t>
      </w:r>
      <w:r>
        <w:rPr>
          <w:rFonts w:ascii="Arial" w:cs="Arial" w:eastAsia="Arial" w:hAnsi="Arial"/>
          <w:sz w:val="18"/>
          <w:szCs w:val="18"/>
          <w:color w:val="FF0000"/>
          <w:strike w:val="1"/>
        </w:rPr>
        <w: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LIBOR Currency</w:t>
      </w:r>
      <w:r>
        <w:rPr>
          <w:rFonts w:ascii="Arial" w:cs="Arial" w:eastAsia="Arial" w:hAnsi="Arial"/>
          <w:sz w:val="18"/>
          <w:szCs w:val="18"/>
          <w:color w:val="FF0000"/>
          <w:strike w:val="1"/>
        </w:rPr>
        <w:t>” means each of Dollars, Euro, Sterling, Japanese yen and Swiss franc, in each case as long as there is a published rate with respect thereto in the London interbank market.</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Capitalized Lease or other title retention agreement relating to such asset.</w:t>
      </w:r>
    </w:p>
    <w:p>
      <w:pPr>
        <w:spacing w:after="0" w:line="18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means any Permitted Acquisition or other Investment permitted under this Agreement that is not conditioned on the availability of, or on obtaining, third-party financing.</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u w:val="single" w:color="auto"/>
          <w:color w:val="0000FF"/>
        </w:rPr>
        <w:t>“Liquidity” means, at any time,</w:t>
      </w:r>
      <w:r>
        <w:rPr>
          <w:rFonts w:ascii="Arial" w:cs="Arial" w:eastAsia="Arial" w:hAnsi="Arial"/>
          <w:sz w:val="18"/>
          <w:szCs w:val="18"/>
          <w:color w:val="0000FF"/>
        </w:rPr>
        <w:t xml:space="preserve"> </w:t>
      </w:r>
      <w:r>
        <w:rPr>
          <w:rFonts w:ascii="Arial" w:cs="Arial" w:eastAsia="Arial" w:hAnsi="Arial"/>
          <w:sz w:val="18"/>
          <w:szCs w:val="18"/>
          <w:color w:val="008000"/>
        </w:rPr>
        <w:t>the sum of (a)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Revolving Credit Commitments minus the sum of</w:t>
      </w:r>
      <w:r>
        <w:rPr>
          <w:rFonts w:ascii="Arial" w:cs="Arial" w:eastAsia="Arial" w:hAnsi="Arial"/>
          <w:sz w:val="18"/>
          <w:szCs w:val="18"/>
          <w:color w:val="0000FF"/>
        </w:rPr>
        <w:t xml:space="preserve"> </w:t>
      </w:r>
      <w:r>
        <w:rPr>
          <w:rFonts w:ascii="Arial" w:cs="Arial" w:eastAsia="Arial" w:hAnsi="Arial"/>
          <w:sz w:val="18"/>
          <w:szCs w:val="18"/>
          <w:color w:val="008000"/>
        </w:rPr>
        <w:t>the aggregate principal amount of all</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Revolving Credit Loans, the aggregate principal amount of all Swingline Loans then outstanding and the aggregate amount of all L/C Obligations at such time plus (b) all Unrestricted Cash and Cash Equivalents (excluding, to the extent the TSA is in effect, amounts held in connection with collecting accounts receivable and processing accounts payable pursuant to the Project Emerald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-420370</wp:posOffset>
            </wp:positionV>
            <wp:extent cx="8572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-446405</wp:posOffset>
            </wp:positionV>
            <wp:extent cx="8629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62965" cy="825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-420370</wp:posOffset>
            </wp:positionV>
            <wp:extent cx="1714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-446405</wp:posOffset>
            </wp:positionV>
            <wp:extent cx="17132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490" w:right="49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FF0000"/>
          <w:strike w:val="1"/>
        </w:rPr>
        <w:t>Limited Waiver Period</w:t>
      </w:r>
      <w:r>
        <w:rPr>
          <w:rFonts w:ascii="Arial" w:cs="Arial" w:eastAsia="Arial" w:hAnsi="Arial"/>
          <w:sz w:val="18"/>
          <w:szCs w:val="18"/>
          <w:color w:val="FF0000"/>
          <w:strike w:val="1"/>
        </w:rPr>
        <w:t xml:space="preserve">” has the meaning set forth </w:t>
      </w:r>
      <w:r>
        <w:rPr>
          <w:rFonts w:ascii="Arial" w:cs="Arial" w:eastAsia="Arial" w:hAnsi="Arial"/>
          <w:sz w:val="18"/>
          <w:szCs w:val="18"/>
          <w:color w:val="008000"/>
          <w:strike w:val="1"/>
        </w:rPr>
        <w:t>in the Third Amendment.</w:t>
      </w:r>
    </w:p>
    <w:p>
      <w:pPr>
        <w:spacing w:after="0" w:line="225"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Liquidity</w:t>
      </w:r>
      <w:r>
        <w:rPr>
          <w:rFonts w:ascii="Arial" w:cs="Arial" w:eastAsia="Arial" w:hAnsi="Arial"/>
          <w:sz w:val="18"/>
          <w:szCs w:val="18"/>
          <w:color w:val="FF0000"/>
          <w:strike w:val="1"/>
        </w:rPr>
        <w:t>” means, at any time of determination, an amount equal to the amount of domestic unencumbered, unrestricted cash and Cash Equivalents of the Credit Parties.</w:t>
      </w:r>
    </w:p>
    <w:p>
      <w:pPr>
        <w:spacing w:after="0" w:line="170"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collectively, this Agreement, each Note, the Guaranty Agreement, the Letter of Credit </w:t>
      </w:r>
      <w:r>
        <w:rPr>
          <w:rFonts w:ascii="Arial" w:cs="Arial" w:eastAsia="Arial" w:hAnsi="Arial"/>
          <w:sz w:val="16"/>
          <w:szCs w:val="16"/>
          <w:color w:val="FF0000"/>
          <w:strike w:val="1"/>
        </w:rPr>
        <w:t>Applications</w:t>
      </w:r>
      <w:r>
        <w:rPr>
          <w:rFonts w:ascii="Arial" w:cs="Arial" w:eastAsia="Arial" w:hAnsi="Arial"/>
          <w:sz w:val="16"/>
          <w:szCs w:val="16"/>
          <w:u w:val="single" w:color="auto"/>
          <w:color w:val="0000FF"/>
        </w:rPr>
        <w:t>Documents</w:t>
      </w:r>
      <w:r>
        <w:rPr>
          <w:rFonts w:ascii="Arial" w:cs="Arial" w:eastAsia="Arial" w:hAnsi="Arial"/>
          <w:sz w:val="16"/>
          <w:szCs w:val="16"/>
          <w:color w:val="auto"/>
        </w:rPr>
        <w:t xml:space="preserve"> , the Collateral Documents, the Engagement Letter,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each</w:t>
      </w:r>
      <w:r>
        <w:rPr>
          <w:rFonts w:ascii="Arial" w:cs="Arial" w:eastAsia="Arial" w:hAnsi="Arial"/>
          <w:sz w:val="16"/>
          <w:szCs w:val="16"/>
          <w:color w:val="auto"/>
        </w:rPr>
        <w:t xml:space="preserve"> Fee Letter, the Administrative Agent Fee Letter</w:t>
      </w:r>
      <w:r>
        <w:rPr>
          <w:rFonts w:ascii="Arial" w:cs="Arial" w:eastAsia="Arial" w:hAnsi="Arial"/>
          <w:sz w:val="16"/>
          <w:szCs w:val="16"/>
          <w:color w:val="FF0000"/>
          <w:strike w:val="1"/>
        </w:rPr>
        <w:t>, each Incremental Facility Amendment</w:t>
      </w:r>
      <w:r>
        <w:rPr>
          <w:rFonts w:ascii="Arial" w:cs="Arial" w:eastAsia="Arial" w:hAnsi="Arial"/>
          <w:sz w:val="16"/>
          <w:szCs w:val="16"/>
          <w:color w:val="auto"/>
        </w:rPr>
        <w:t xml:space="preserve">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 and designated as a “Loan Document”.</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collective reference to the Revolving Credit Loans, the Swingline Loans and the Term Loans, and “Loan” means any of such Loans.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London Banking</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Day” means any day on which</w:t>
      </w:r>
      <w:r>
        <w:rPr>
          <w:rFonts w:ascii="Arial" w:cs="Arial" w:eastAsia="Arial" w:hAnsi="Arial"/>
          <w:sz w:val="18"/>
          <w:szCs w:val="18"/>
          <w:color w:val="FF0000"/>
          <w:strike w:val="1"/>
        </w:rPr>
        <w:t xml:space="preserve"> dealings in Dollar or Alternative Currency, as applicable, deposits are conducted by and between banks in the London interbank Eurodollar market.</w:t>
      </w:r>
    </w:p>
    <w:p>
      <w:pPr>
        <w:spacing w:after="0" w:line="170"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CapEx</w:t>
      </w:r>
      <w:r>
        <w:rPr>
          <w:rFonts w:ascii="Arial" w:cs="Arial" w:eastAsia="Arial" w:hAnsi="Arial"/>
          <w:sz w:val="18"/>
          <w:szCs w:val="18"/>
          <w:color w:val="auto"/>
        </w:rPr>
        <w:t>” means, for any period, the aggregate amount of Capital Expenditures made during such period for the purpose of maintaining, or extending the useful life of, any capital asset (which do not otherwise constitute normal replacements and maintenance which are properly charged to current operations).</w:t>
      </w:r>
    </w:p>
    <w:p>
      <w:pPr>
        <w:spacing w:after="0" w:line="184" w:lineRule="exact"/>
        <w:rPr>
          <w:sz w:val="20"/>
          <w:szCs w:val="20"/>
          <w:color w:val="auto"/>
        </w:rPr>
      </w:pPr>
    </w:p>
    <w:p>
      <w:pPr>
        <w:jc w:val="both"/>
        <w:ind w:right="2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 a material adverse effect on the operations, business assets, properties, liabilities (actual or contingent) or financial condition of the Borrower and its Subsidiaries, taken as a whole, (b) a material impairment of the ability of any Credit Party to perform its obligations under the Loan Documents to which it is a party, (c) a material impairment of the rights and remedies of the Administrative Agent or any Lender under any Loan Document or (d) an impairment of the legality, validity, binding effect or enforceability against any Credit Party of any Loan Document to which it is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termination of any Specified Candidate Program shall not constitute a Material Adverse Effect.</w:t>
      </w:r>
    </w:p>
    <w:p>
      <w:pPr>
        <w:spacing w:after="0" w:line="16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with respect to the Borrower and its Subsidiaries, (a) the BioThrax Contract, (b) the AV7909 Contract and (c) each contract to which such Person is a party involving aggregate consideration payable to or by such Person of $100,000,000 or more in any year; provided, however, notwithstanding the foregoing, (i) the AV7909 Contract shall not constitute a “Material Contract” unless AV7909 has obtained either (1) full FDA approval or (2) FDA emergency use authorization pursuant to Section 564 of the FFDCA and (ii) in no event shall the BARDA Contract constitute a “Material Contract”.</w:t>
      </w:r>
    </w:p>
    <w:p>
      <w:pPr>
        <w:spacing w:after="0" w:line="188"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Government Contract</w:t>
      </w:r>
      <w:r>
        <w:rPr>
          <w:rFonts w:ascii="Arial" w:cs="Arial" w:eastAsia="Arial" w:hAnsi="Arial"/>
          <w:sz w:val="17"/>
          <w:szCs w:val="17"/>
          <w:color w:val="auto"/>
        </w:rPr>
        <w:t>” means, with respect to the Borrower and its Subsidiaries, the BioThrax Contract, the AV7909 Contract and each other government contract to which such Person is a party involving aggregate consideration which may be payable to such Person of $100,000,000 or more in any year; provided, however, notwithstanding the foregoing, (i) the AV7909 Contract shall not constitute a “Material Government Contract” unless AV7909 has obtained either (1) full FDA approval or (2) FDA emergency use authorization pursuant to Section 564 of the FFDCA and (ii) in no event shall the BARDA Contract constitute a “Material Government Contract”.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490" w:right="479" w:bottom="1440" w:gutter="0" w:footer="0" w:header="0"/>
        </w:sectPr>
      </w:pPr>
    </w:p>
    <w:bookmarkStart w:id="80" w:name="page81"/>
    <w:bookmarkEnd w:id="80"/>
    <w:p>
      <w:pPr>
        <w:jc w:val="both"/>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fiscal quarters of the Borrower</w:t>
      </w:r>
      <w:r>
        <w:rPr>
          <w:rFonts w:ascii="Arial" w:cs="Arial" w:eastAsia="Arial" w:hAnsi="Arial"/>
          <w:sz w:val="18"/>
          <w:szCs w:val="18"/>
          <w:color w:val="FF0000"/>
          <w:strike w:val="1"/>
        </w:rPr>
        <w:t>.</w:t>
      </w:r>
      <w:r>
        <w:rPr>
          <w:rFonts w:ascii="Arial" w:cs="Arial" w:eastAsia="Arial" w:hAnsi="Arial"/>
          <w:sz w:val="18"/>
          <w:szCs w:val="18"/>
          <w:u w:val="single" w:color="auto"/>
          <w:color w:val="0000FF"/>
        </w:rPr>
        <w:t>; provided that, for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purposes of calculating Consolidated EBITDA solely for purposes of Section 9.11(c) for any period between January 1, 2023 and February 29, 2024, Measurement Period means each of the periods set forth in Section 9.11(c).</w:t>
      </w:r>
    </w:p>
    <w:p>
      <w:pPr>
        <w:spacing w:after="0" w:line="184"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Medicaid</w:t>
      </w:r>
      <w:r>
        <w:rPr>
          <w:rFonts w:ascii="Arial" w:cs="Arial" w:eastAsia="Arial" w:hAnsi="Arial"/>
          <w:sz w:val="16"/>
          <w:szCs w:val="16"/>
          <w:color w:val="auto"/>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spacing w:after="0" w:line="12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Medicare</w:t>
      </w:r>
      <w:r>
        <w:rPr>
          <w:rFonts w:ascii="Arial" w:cs="Arial" w:eastAsia="Arial" w:hAnsi="Arial"/>
          <w:sz w:val="16"/>
          <w:szCs w:val="16"/>
          <w:color w:val="auto"/>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spacing w:after="0" w:line="124"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(a) with respect to Cash Collateral consisting of cash or deposit account balances provided to reduce or eliminate Fronting Exposure during the existence of a Defaulting Lender, an amount equal to 105% </w:t>
      </w:r>
      <w:r>
        <w:rPr>
          <w:rFonts w:ascii="Arial" w:cs="Arial" w:eastAsia="Arial" w:hAnsi="Arial"/>
          <w:sz w:val="16"/>
          <w:szCs w:val="16"/>
          <w:u w:val="single" w:color="auto"/>
          <w:color w:val="0000FF"/>
        </w:rPr>
        <w:t>of the Dollar Equivalent</w:t>
      </w:r>
      <w:r>
        <w:rPr>
          <w:rFonts w:ascii="Arial" w:cs="Arial" w:eastAsia="Arial" w:hAnsi="Arial"/>
          <w:sz w:val="16"/>
          <w:szCs w:val="16"/>
          <w:color w:val="auto"/>
        </w:rPr>
        <w:t xml:space="preserve"> of the Fronting Exposure of the Issuing Lenders with respect to Letters of Credit issued and outstanding at such time, (b) with respect to Cash Collateral consisting of cash or deposit account balances provided in accordance with the provisions of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an amount equal to </w:t>
      </w:r>
      <w:r>
        <w:rPr>
          <w:rFonts w:ascii="Arial" w:cs="Arial" w:eastAsia="Arial" w:hAnsi="Arial"/>
          <w:sz w:val="16"/>
          <w:szCs w:val="16"/>
          <w:u w:val="single" w:color="auto"/>
          <w:color w:val="0000FF"/>
        </w:rPr>
        <w:t>the Dollar Equivalent of</w:t>
      </w:r>
      <w:r>
        <w:rPr>
          <w:rFonts w:ascii="Arial" w:cs="Arial" w:eastAsia="Arial" w:hAnsi="Arial"/>
          <w:sz w:val="16"/>
          <w:szCs w:val="16"/>
          <w:color w:val="auto"/>
        </w:rPr>
        <w:t xml:space="preserve"> 105% of the aggregate outstanding amount of all L/C Obligations and (c) otherwise, an amount determined by the Administrative Agent and each of the applicable Issuing Lenders that is entitled to Cash Collateral hereunder at such time in their sole discretion.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“Mortgaged Property” means any real property owned in fee that is subject to a Mortgage.</w:t>
      </w:r>
    </w:p>
    <w:p>
      <w:pPr>
        <w:spacing w:after="0" w:line="22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u w:val="single" w:color="auto"/>
          <w:color w:val="0000FF"/>
        </w:rPr>
        <w:t>“Mortgages” means the collective reference to each mortgage, deed of trust or other real property security document, encumbering any real property now or hereafter owned in fee by any Credit Party, in each case,</w:t>
      </w:r>
      <w:r>
        <w:rPr>
          <w:rFonts w:ascii="Arial" w:cs="Arial" w:eastAsia="Arial" w:hAnsi="Arial"/>
          <w:sz w:val="17"/>
          <w:szCs w:val="17"/>
          <w:color w:val="0000FF"/>
        </w:rPr>
        <w:t xml:space="preserve"> </w:t>
      </w:r>
      <w:r>
        <w:rPr>
          <w:rFonts w:ascii="Arial" w:cs="Arial" w:eastAsia="Arial" w:hAnsi="Arial"/>
          <w:sz w:val="17"/>
          <w:szCs w:val="17"/>
          <w:color w:val="008000"/>
        </w:rPr>
        <w:t>in form and substance reasonably satisfactory to the Administrative Agent and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executed by such Credit Party in favor of the Administrative Agent, for the ratable benefit of the Secured Parties, as any such document may be amended, restated, amended and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-293370</wp:posOffset>
            </wp:positionV>
            <wp:extent cx="36004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-318770</wp:posOffset>
            </wp:positionV>
            <wp:extent cx="36010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01085" cy="8255"/>
                    </a:xfrm>
                    <a:prstGeom prst="rect">
                      <a:avLst/>
                    </a:prstGeom>
                    <a:noFill/>
                  </pic:spPr>
                </pic:pic>
              </a:graphicData>
            </a:graphic>
          </wp:anchor>
        </w:drawing>
      </w:r>
    </w:p>
    <w:p>
      <w:pPr>
        <w:spacing w:after="0" w:line="151"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xml:space="preserve">” means (a) with respect to each Disposition and Casualty Event, the gross cash proceeds received by the Borrower or any of its Subsidiaries in respect of such event (including any cash or cash equivalents received by way of deferred payment pursuant to, or by monetization of, a note receivable or otherwise, but only as and when so received) net of the sum of (i) all fees and expenses incurred in connection with such event by the Borrower or any of its Subsidiaries, (ii) the amount of all payments required to be made by the Borrower or any of its Subsidiaries as a result of such event to repay indebtedness secured by such assets, (iii) the amount of all taxes paid (or reasonably estimated by the Borrower to be payable;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estimated taxes exceed the amount of actual taxes required to be paid in cash in respect of such event, the amount of such excess shall constitute Net Cash Proceeds) by the Borrower or any of its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490" w:right="479" w:bottom="1440" w:gutter="0" w:footer="0" w:header="0"/>
        </w:sectPr>
      </w:pPr>
    </w:p>
    <w:bookmarkStart w:id="81" w:name="page82"/>
    <w:bookmarkEnd w:id="81"/>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Subsidiaries in connection with such event, and (iv) the amount of any reserves established by the Borrower or any of its Subsidiaries in accordance with GAAP to fund purchase price adjustments, indemnification and similar contingent liabilities, the amount of which are reasonably ascertainable on or prior to the consummation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and at the time any such amounts are released from such reserve, such amounts shall constitute Net Cash Proceeds and (b) with respect to the incurrence of Indebtedness by the Borrower or any of its Subsidiaries not permitted pursuant to Section 9.3, the cash proceeds received by the Borrower or any of its Subsidiaries from such incurrence, net of all fees and expenses incurred in connection with such event by the Borrower or any of its Subsidiaries, including attorneys’ fees, investment banking fees, accountants’ fees and underwriting discounts and commissions.</w:t>
      </w:r>
    </w:p>
    <w:p>
      <w:pPr>
        <w:spacing w:after="0" w:line="195"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u w:val="single" w:color="auto"/>
          <w:color w:val="0000FF"/>
        </w:rPr>
        <w:t>“Net Litigation Proceeds” means, collectively, all consideration actually paid directly or indirectly to or for the benefit of any Credit Party in connection with any litigation or arbitration proceeding (whether by judgment, award, settlement, compromise or otherwise), including, without limitation, any damages (whether compensatory, exemplary, punitive or otherwise), penalties, pre-judgment interest, post-judgment interest, and other amounts paid or property transferred to or for the benefit of any Credit Party in respect of any litigation or arbitration, net of (without duplication of amounts): (a) any fees and/or expenses (including, without limitation, reasonable attorneys’ fees) incurred by or on behalf of such Credit Party related to the prosecution of such litigation or arbitration, or in connection with obtaining or collecting any of the foregoing amounts or property and</w:t>
      </w:r>
    </w:p>
    <w:p>
      <w:pPr>
        <w:spacing w:after="0" w:line="4" w:lineRule="exact"/>
        <w:rPr>
          <w:sz w:val="20"/>
          <w:szCs w:val="20"/>
          <w:color w:val="auto"/>
        </w:rPr>
      </w:pPr>
    </w:p>
    <w:p>
      <w:pPr>
        <w:ind w:left="4" w:right="520" w:hanging="4"/>
        <w:spacing w:after="0" w:line="260" w:lineRule="auto"/>
        <w:tabs>
          <w:tab w:leader="none" w:pos="259" w:val="left"/>
        </w:tabs>
        <w:numPr>
          <w:ilvl w:val="0"/>
          <w:numId w:val="4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recoupments or set-offs of any kind, including, without limitation, any recoupments or set-offs in respect of any counterclaims or cross-claims asserted against such Credit Party in connection with such litigation or arbitration by any party.</w:t>
      </w:r>
    </w:p>
    <w:p>
      <w:pPr>
        <w:spacing w:after="0" w:line="185"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means any Lender that does not approve any consent, waiver, amendment, modification or termination that (a) requires the approval of all Lenders or all affected Lenders in accordance with the terms of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and (b) has been approved by the Required Lenders.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means any Subsidiary of the Borrower that is not a Guarantor.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Non-LIBOR Currency</w:t>
      </w:r>
      <w:r>
        <w:rPr>
          <w:rFonts w:ascii="Arial" w:cs="Arial" w:eastAsia="Arial" w:hAnsi="Arial"/>
          <w:sz w:val="18"/>
          <w:szCs w:val="18"/>
          <w:color w:val="FF0000"/>
          <w:strike w:val="1"/>
        </w:rPr>
        <w:t>” means any Alternative Currency other than a LIBOR Currency.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collective reference to the Revolving Credit Notes, the Swingline Note and the Term Loan Notes.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means the National Priorities List under CERCLA.</w:t>
      </w:r>
    </w:p>
    <w:p>
      <w:pPr>
        <w:spacing w:after="0" w:line="225"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in each case, whether now in existence or hereafter arising: (a) the principal of and interest on (including interest accruing after the filing of any bankruptcy or similar petition) the Loans, (b) the L/C Obligations and (c) all other fees and commissions (including attorneys’ fees), charges, indebtedness, loans, liabilities, financial accommodations, obligations, covenants and duties owing by the Credit Parties to the Lenders, the Issuing Lender</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or the Administrative Agent, in each case under any Loan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490" w:right="459" w:bottom="1440" w:gutter="0" w:footer="0" w:header="0"/>
        </w:sectPr>
      </w:pPr>
    </w:p>
    <w:bookmarkStart w:id="82" w:name="page83"/>
    <w:bookmarkEnd w:id="8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Document, with respect to any Loan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Subsidiary thereof of any proceeding under any Debtor Relief Laws, naming such Person as the debtor in such proceeding, regardless of whether such interest and fees are allowed claims in such proceeding.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xml:space="preserve">”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w:t>
      </w:r>
      <w:r>
        <w:rPr>
          <w:rFonts w:ascii="Arial" w:cs="Arial" w:eastAsia="Arial" w:hAnsi="Arial"/>
          <w:sz w:val="18"/>
          <w:szCs w:val="18"/>
          <w:color w:val="0000FF"/>
        </w:rPr>
        <w:t>or limited liability company agreement (or equivalent or comparable documents)</w:t>
      </w:r>
      <w:r>
        <w:rPr>
          <w:rFonts w:ascii="Arial" w:cs="Arial" w:eastAsia="Arial" w:hAnsi="Arial"/>
          <w:sz w:val="18"/>
          <w:szCs w:val="18"/>
          <w:color w:val="auto"/>
        </w:rPr>
        <w: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-552450</wp:posOffset>
            </wp:positionV>
            <wp:extent cx="37293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7293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-578485</wp:posOffset>
            </wp:positionV>
            <wp:extent cx="37249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724910" cy="8255"/>
                    </a:xfrm>
                    <a:prstGeom prst="rect">
                      <a:avLst/>
                    </a:prstGeom>
                    <a:noFill/>
                  </pic:spPr>
                </pic:pic>
              </a:graphicData>
            </a:graphic>
          </wp:anchor>
        </w:drawing>
      </w:r>
    </w:p>
    <w:p>
      <w:pPr>
        <w:spacing w:after="0" w:line="17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r>
        <w:rPr>
          <w:rFonts w:ascii="Arial" w:cs="Arial" w:eastAsia="Arial" w:hAnsi="Arial"/>
          <w:sz w:val="17"/>
          <w:szCs w:val="17"/>
          <w:u w:val="single" w:color="auto"/>
          <w:color w:val="0000FF"/>
        </w:rPr>
        <w:t>)</w:t>
      </w:r>
      <w:r>
        <w:rPr>
          <w:rFonts w:ascii="Arial" w:cs="Arial" w:eastAsia="Arial" w:hAnsi="Arial"/>
          <w:sz w:val="17"/>
          <w:szCs w:val="17"/>
          <w:color w:val="auto"/>
        </w:rPr>
        <w:t>.</w:t>
      </w:r>
    </w:p>
    <w:p>
      <w:pPr>
        <w:spacing w:after="0" w:line="17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Rate</w:t>
      </w:r>
      <w:r>
        <w:rPr>
          <w:rFonts w:ascii="Arial" w:cs="Arial" w:eastAsia="Arial" w:hAnsi="Arial"/>
          <w:sz w:val="17"/>
          <w:szCs w:val="17"/>
          <w:color w:val="auto"/>
        </w:rPr>
        <w:t>” means, for any day, (a) with respect to any amount denominated in Dollars, the greater of (i) the Federal Funds Rate and (ii) an overnight rate determined by the Administrative Agent</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color w:val="0000FF"/>
        </w:rPr>
        <w:t>(or to</w:t>
      </w:r>
      <w:r>
        <w:rPr>
          <w:rFonts w:ascii="Arial" w:cs="Arial" w:eastAsia="Arial" w:hAnsi="Arial"/>
          <w:sz w:val="17"/>
          <w:szCs w:val="17"/>
          <w:color w:val="auto"/>
        </w:rPr>
        <w:t xml:space="preserve"> the </w:t>
      </w:r>
      <w:r>
        <w:rPr>
          <w:rFonts w:ascii="Arial" w:cs="Arial" w:eastAsia="Arial" w:hAnsi="Arial"/>
          <w:sz w:val="17"/>
          <w:szCs w:val="17"/>
          <w:u w:val="single" w:color="auto"/>
          <w:color w:val="0000FF"/>
        </w:rPr>
        <w:t>extent payable to an</w:t>
      </w:r>
      <w:r>
        <w:rPr>
          <w:rFonts w:ascii="Arial" w:cs="Arial" w:eastAsia="Arial" w:hAnsi="Arial"/>
          <w:sz w:val="17"/>
          <w:szCs w:val="17"/>
          <w:color w:val="auto"/>
        </w:rPr>
        <w:t xml:space="preserve"> Issuing Lender</w:t>
      </w:r>
      <w:r>
        <w:rPr>
          <w:rFonts w:ascii="Arial" w:cs="Arial" w:eastAsia="Arial" w:hAnsi="Arial"/>
          <w:sz w:val="17"/>
          <w:szCs w:val="17"/>
          <w:color w:val="FF0000"/>
          <w:strike w:val="1"/>
        </w:rPr>
        <w:t>,</w:t>
      </w:r>
      <w:r>
        <w:rPr>
          <w:rFonts w:ascii="Arial" w:cs="Arial" w:eastAsia="Arial" w:hAnsi="Arial"/>
          <w:sz w:val="17"/>
          <w:szCs w:val="17"/>
          <w:color w:val="auto"/>
        </w:rPr>
        <w:t xml:space="preserve"> or the Swingline Lender, </w:t>
      </w:r>
      <w:r>
        <w:rPr>
          <w:rFonts w:ascii="Arial" w:cs="Arial" w:eastAsia="Arial" w:hAnsi="Arial"/>
          <w:sz w:val="17"/>
          <w:szCs w:val="17"/>
          <w:color w:val="008000"/>
          <w:strike w:val="1"/>
        </w:rPr>
        <w:t>as the case may be,</w:t>
      </w:r>
      <w:r>
        <w:rPr>
          <w:rFonts w:ascii="Arial" w:cs="Arial" w:eastAsia="Arial" w:hAnsi="Arial"/>
          <w:sz w:val="17"/>
          <w:szCs w:val="17"/>
          <w:color w:val="auto"/>
        </w:rPr>
        <w:t xml:space="preserve"> </w:t>
      </w:r>
      <w:r>
        <w:rPr>
          <w:rFonts w:ascii="Arial" w:cs="Arial" w:eastAsia="Arial" w:hAnsi="Arial"/>
          <w:sz w:val="17"/>
          <w:szCs w:val="17"/>
          <w:color w:val="FF0000"/>
          <w:strike w:val="1"/>
        </w:rPr>
        <w:t>in</w:t>
      </w:r>
      <w:r>
        <w:rPr>
          <w:rFonts w:ascii="Arial" w:cs="Arial" w:eastAsia="Arial" w:hAnsi="Arial"/>
          <w:sz w:val="17"/>
          <w:szCs w:val="17"/>
          <w:color w:val="auto"/>
        </w:rPr>
        <w:t xml:space="preserve"> </w:t>
      </w:r>
      <w:r>
        <w:rPr>
          <w:rFonts w:ascii="Arial" w:cs="Arial" w:eastAsia="Arial" w:hAnsi="Arial"/>
          <w:sz w:val="17"/>
          <w:szCs w:val="17"/>
          <w:color w:val="FF0000"/>
          <w:strike w:val="1"/>
        </w:rPr>
        <w:t>accordance with banking industry rules on interbank compensation</w:t>
      </w:r>
      <w:r>
        <w:rPr>
          <w:rFonts w:ascii="Arial" w:cs="Arial" w:eastAsia="Arial" w:hAnsi="Arial"/>
          <w:sz w:val="17"/>
          <w:szCs w:val="17"/>
          <w:u w:val="single" w:color="auto"/>
          <w:color w:val="0000FF"/>
          <w:strike w:val="1"/>
        </w:rPr>
        <w:t>such Issuing Lender or Swingline Lender, as applicable, in each case, with notice to</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the Administrative Agent) to be customary in the place of disbursement or payment for the settlement of international banking transactions</w:t>
      </w:r>
      <w:r>
        <w:rPr>
          <w:rFonts w:ascii="Arial" w:cs="Arial" w:eastAsia="Arial" w:hAnsi="Arial"/>
          <w:sz w:val="17"/>
          <w:szCs w:val="17"/>
          <w:color w:val="000000"/>
          <w:strike w:val="1"/>
        </w:rPr>
        <w:t>, and (b) with</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respect to any amount denominated in an Alternative Currency</w:t>
      </w:r>
      <w:r>
        <w:rPr>
          <w:rFonts w:ascii="Arial" w:cs="Arial" w:eastAsia="Arial" w:hAnsi="Arial"/>
          <w:sz w:val="17"/>
          <w:szCs w:val="17"/>
          <w:color w:val="FF0000"/>
          <w:strike w:val="1"/>
        </w:rPr>
        <w:t>, the</w:t>
      </w:r>
      <w:r>
        <w:rPr>
          <w:rFonts w:ascii="Arial" w:cs="Arial" w:eastAsia="Arial" w:hAnsi="Arial"/>
          <w:sz w:val="17"/>
          <w:szCs w:val="17"/>
          <w:color w:val="000000"/>
          <w:strike w:val="1"/>
        </w:rPr>
        <w:t xml:space="preserve"> </w:t>
      </w:r>
      <w:r>
        <w:rPr>
          <w:rFonts w:ascii="Arial" w:cs="Arial" w:eastAsia="Arial" w:hAnsi="Arial"/>
          <w:sz w:val="17"/>
          <w:szCs w:val="17"/>
          <w:color w:val="008000"/>
          <w:strike w:val="1"/>
        </w:rPr>
        <w:t>rate of interest per annum</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at which overnight deposits in the applicable</w:t>
      </w:r>
      <w:r>
        <w:rPr>
          <w:rFonts w:ascii="Arial" w:cs="Arial" w:eastAsia="Arial" w:hAnsi="Arial"/>
          <w:sz w:val="17"/>
          <w:szCs w:val="17"/>
          <w:u w:val="single" w:color="auto"/>
          <w:color w:val="0000FF"/>
          <w:strike w:val="1"/>
        </w:rPr>
        <w:t>or an</w:t>
      </w:r>
      <w:r>
        <w:rPr>
          <w:rFonts w:ascii="Arial" w:cs="Arial" w:eastAsia="Arial" w:hAnsi="Arial"/>
          <w:sz w:val="17"/>
          <w:szCs w:val="17"/>
          <w:color w:val="000000"/>
          <w:strike w:val="1"/>
        </w:rPr>
        <w:t xml:space="preserve"> Alternative </w:t>
      </w:r>
      <w:r>
        <w:rPr>
          <w:rFonts w:ascii="Arial" w:cs="Arial" w:eastAsia="Arial" w:hAnsi="Arial"/>
          <w:sz w:val="17"/>
          <w:szCs w:val="17"/>
          <w:u w:val="single" w:color="auto"/>
          <w:color w:val="0000FF"/>
          <w:strike w:val="1"/>
        </w:rPr>
        <w:t>L/C</w:t>
      </w:r>
      <w:r>
        <w:rPr>
          <w:rFonts w:ascii="Arial" w:cs="Arial" w:eastAsia="Arial" w:hAnsi="Arial"/>
          <w:sz w:val="17"/>
          <w:szCs w:val="17"/>
          <w:color w:val="000000"/>
          <w:strike w:val="1"/>
        </w:rPr>
        <w:t xml:space="preserve"> Currency, </w:t>
      </w:r>
      <w:r>
        <w:rPr>
          <w:rFonts w:ascii="Arial" w:cs="Arial" w:eastAsia="Arial" w:hAnsi="Arial"/>
          <w:sz w:val="17"/>
          <w:szCs w:val="17"/>
          <w:color w:val="FF0000"/>
          <w:strike w:val="1"/>
        </w:rPr>
        <w:t>in an amount approximately equal to the amount</w:t>
      </w:r>
      <w:r>
        <w:rPr>
          <w:rFonts w:ascii="Arial" w:cs="Arial" w:eastAsia="Arial" w:hAnsi="Arial"/>
          <w:sz w:val="17"/>
          <w:szCs w:val="17"/>
          <w:color w:val="000000"/>
          <w:strike w:val="1"/>
        </w:rPr>
        <w:t xml:space="preserve"> </w:t>
      </w:r>
      <w:r>
        <w:rPr>
          <w:rFonts w:ascii="Arial" w:cs="Arial" w:eastAsia="Arial" w:hAnsi="Arial"/>
          <w:sz w:val="17"/>
          <w:szCs w:val="17"/>
          <w:color w:val="008000"/>
          <w:strike w:val="1"/>
        </w:rPr>
        <w:t>with respect to which such</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rate is being</w:t>
      </w:r>
      <w:r>
        <w:rPr>
          <w:rFonts w:ascii="Arial" w:cs="Arial" w:eastAsia="Arial" w:hAnsi="Arial"/>
          <w:sz w:val="17"/>
          <w:szCs w:val="17"/>
          <w:u w:val="single" w:color="auto"/>
          <w:color w:val="0000FF"/>
          <w:strike w:val="1"/>
        </w:rPr>
        <w:t>an overnight rate</w:t>
      </w:r>
      <w:r>
        <w:rPr>
          <w:rFonts w:ascii="Arial" w:cs="Arial" w:eastAsia="Arial" w:hAnsi="Arial"/>
          <w:sz w:val="17"/>
          <w:szCs w:val="17"/>
          <w:color w:val="000000"/>
          <w:strike w:val="1"/>
        </w:rPr>
        <w:t xml:space="preserve"> determined</w:t>
      </w:r>
      <w:r>
        <w:rPr>
          <w:rFonts w:ascii="Arial" w:cs="Arial" w:eastAsia="Arial" w:hAnsi="Arial"/>
          <w:sz w:val="17"/>
          <w:szCs w:val="17"/>
          <w:color w:val="FF0000"/>
          <w:strike w:val="1"/>
        </w:rPr>
        <w:t>, would</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 xml:space="preserve">be offered for such day by a branch or Affiliate of </w:t>
      </w:r>
      <w:r>
        <w:rPr>
          <w:rFonts w:ascii="Arial" w:cs="Arial" w:eastAsia="Arial" w:hAnsi="Arial"/>
          <w:sz w:val="17"/>
          <w:szCs w:val="17"/>
          <w:color w:val="0000FF"/>
          <w:strike w:val="1"/>
        </w:rPr>
        <w:t>by</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the Administrative Agent</w:t>
      </w:r>
      <w:r>
        <w:rPr>
          <w:rFonts w:ascii="Arial" w:cs="Arial" w:eastAsia="Arial" w:hAnsi="Arial"/>
          <w:sz w:val="17"/>
          <w:szCs w:val="17"/>
          <w:color w:val="FF0000"/>
          <w:strike w:val="1"/>
        </w:rPr>
        <w:t xml:space="preserve"> in the applicable offshore interbank market for such currency to major banks in such interbank market.</w:t>
      </w:r>
      <w:r>
        <w:rPr>
          <w:rFonts w:ascii="Arial" w:cs="Arial" w:eastAsia="Arial" w:hAnsi="Arial"/>
          <w:sz w:val="17"/>
          <w:szCs w:val="17"/>
          <w:u w:val="single" w:color="auto"/>
          <w:color w:val="0000FF"/>
          <w:strike w:val="1"/>
        </w:rPr>
        <w:t>(or to the extent payable to an Issuing Lender or the Swingline Lender, such Issuing Lender or Swingline Lender, as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applicable, in each case, with notice to the Administrative Agent) to be customary in the place of disbursement or payment for the settlement of international banking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-1107440</wp:posOffset>
            </wp:positionV>
            <wp:extent cx="2832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-1132840</wp:posOffset>
            </wp:positionV>
            <wp:extent cx="2794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-772795</wp:posOffset>
            </wp:positionV>
            <wp:extent cx="12312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31265"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-421640</wp:posOffset>
            </wp:positionV>
            <wp:extent cx="1460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-447040</wp:posOffset>
            </wp:positionV>
            <wp:extent cx="1428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6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Panama Merger Sub</w:t>
      </w:r>
      <w:r>
        <w:rPr>
          <w:rFonts w:ascii="Arial" w:cs="Arial" w:eastAsia="Arial" w:hAnsi="Arial"/>
          <w:sz w:val="18"/>
          <w:szCs w:val="18"/>
          <w:color w:val="auto"/>
        </w:rPr>
        <w:t>” means Panama Merger Sub, Ltd., an exempt company incorporated with limited liability in the Cayman Islands and a Wholly-Owned indirect subsidiary of the Borrower, including its successors.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490" w:right="47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xml:space="preserve">” means </w:t>
      </w:r>
      <w:r>
        <w:rPr>
          <w:rFonts w:ascii="Arial" w:cs="Arial" w:eastAsia="Arial" w:hAnsi="Arial"/>
          <w:sz w:val="18"/>
          <w:szCs w:val="18"/>
          <w:color w:val="FF0000"/>
          <w:strike w:val="1"/>
        </w:rPr>
        <w:t>each</w:t>
      </w:r>
      <w:r>
        <w:rPr>
          <w:rFonts w:ascii="Arial" w:cs="Arial" w:eastAsia="Arial" w:hAnsi="Arial"/>
          <w:sz w:val="18"/>
          <w:szCs w:val="18"/>
          <w:u w:val="single" w:color="auto"/>
          <w:color w:val="0000FF"/>
        </w:rPr>
        <w:t>any</w:t>
      </w:r>
      <w:r>
        <w:rPr>
          <w:rFonts w:ascii="Arial" w:cs="Arial" w:eastAsia="Arial" w:hAnsi="Arial"/>
          <w:sz w:val="18"/>
          <w:szCs w:val="18"/>
          <w:color w:val="auto"/>
        </w:rPr>
        <w:t xml:space="preserve"> member state of the European Union that has the Euro as its lawful currency </w:t>
      </w:r>
      <w:r>
        <w:rPr>
          <w:rFonts w:ascii="Arial" w:cs="Arial" w:eastAsia="Arial" w:hAnsi="Arial"/>
          <w:sz w:val="18"/>
          <w:szCs w:val="18"/>
          <w:color w:val="FF0000"/>
          <w:strike w:val="1"/>
        </w:rPr>
        <w:t>so described in any</w:t>
      </w:r>
      <w:r>
        <w:rPr>
          <w:rFonts w:ascii="Arial" w:cs="Arial" w:eastAsia="Arial" w:hAnsi="Arial"/>
          <w:sz w:val="18"/>
          <w:szCs w:val="18"/>
          <w:color w:val="auto"/>
        </w:rPr>
        <w:t xml:space="preserve"> </w:t>
      </w:r>
      <w:r>
        <w:rPr>
          <w:rFonts w:ascii="Arial" w:cs="Arial" w:eastAsia="Arial" w:hAnsi="Arial"/>
          <w:sz w:val="18"/>
          <w:szCs w:val="18"/>
          <w:color w:val="FF0000"/>
          <w:strike w:val="1"/>
        </w:rPr>
        <w:t>EMU</w:t>
      </w:r>
      <w:r>
        <w:rPr>
          <w:rFonts w:ascii="Arial" w:cs="Arial" w:eastAsia="Arial" w:hAnsi="Arial"/>
          <w:sz w:val="18"/>
          <w:szCs w:val="18"/>
          <w:u w:val="single" w:color="auto"/>
          <w:color w:val="0000FF"/>
        </w:rPr>
        <w:t>in accordance with</w:t>
      </w:r>
      <w:r>
        <w:rPr>
          <w:rFonts w:ascii="Arial" w:cs="Arial" w:eastAsia="Arial" w:hAnsi="Arial"/>
          <w:sz w:val="18"/>
          <w:szCs w:val="18"/>
          <w:color w:val="FF0000"/>
        </w:rPr>
        <w:t xml:space="preserve"> L</w:t>
      </w:r>
      <w:r>
        <w:rPr>
          <w:rFonts w:ascii="Arial" w:cs="Arial" w:eastAsia="Arial" w:hAnsi="Arial"/>
          <w:sz w:val="18"/>
          <w:szCs w:val="18"/>
          <w:u w:val="single" w:color="auto"/>
          <w:color w:val="0000FF"/>
        </w:rPr>
        <w:t>l</w:t>
      </w:r>
      <w:r>
        <w:rPr>
          <w:rFonts w:ascii="Arial" w:cs="Arial" w:eastAsia="Arial" w:hAnsi="Arial"/>
          <w:sz w:val="18"/>
          <w:szCs w:val="18"/>
          <w:color w:val="000000"/>
        </w:rPr>
        <w:t>egislation</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of the European Union relating to Economic and Monetary Union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-96520</wp:posOffset>
            </wp:positionV>
            <wp:extent cx="984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842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right="60" w:firstLine="44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PaxVax Acquisition</w:t>
      </w:r>
      <w:r>
        <w:rPr>
          <w:rFonts w:ascii="Arial" w:cs="Arial" w:eastAsia="Arial" w:hAnsi="Arial"/>
          <w:sz w:val="18"/>
          <w:szCs w:val="18"/>
          <w:color w:val="auto"/>
        </w:rPr>
        <w:t xml:space="preserve">” means the acquisition consummated on October 4, 2018 by the Panama Merger Sub, by merger, of the PaxVax Target </w:t>
      </w:r>
      <w:r>
        <w:rPr>
          <w:rFonts w:ascii="Arial" w:cs="Arial" w:eastAsia="Arial" w:hAnsi="Arial"/>
          <w:sz w:val="18"/>
          <w:szCs w:val="18"/>
          <w:color w:val="FF0000"/>
          <w:strike w:val="1"/>
        </w:rPr>
        <w:t>Company</w:t>
      </w:r>
      <w:r>
        <w:rPr>
          <w:rFonts w:ascii="Arial" w:cs="Arial" w:eastAsia="Arial" w:hAnsi="Arial"/>
          <w:sz w:val="18"/>
          <w:szCs w:val="18"/>
          <w:color w:val="FF0000"/>
        </w:rPr>
        <w:t xml:space="preserve"> </w:t>
      </w:r>
      <w:r>
        <w:rPr>
          <w:rFonts w:ascii="Arial" w:cs="Arial" w:eastAsia="Arial" w:hAnsi="Arial"/>
          <w:sz w:val="18"/>
          <w:szCs w:val="18"/>
          <w:color w:val="000000"/>
        </w:rPr>
        <w:t>and its subsidiaries, which commercialize typhoid fever (Vivotif</w:t>
      </w:r>
      <w:r>
        <w:rPr>
          <w:rFonts w:ascii="Arial" w:cs="Arial" w:eastAsia="Arial" w:hAnsi="Arial"/>
          <w:sz w:val="26"/>
          <w:szCs w:val="26"/>
          <w:color w:val="000000"/>
          <w:vertAlign w:val="superscript"/>
        </w:rPr>
        <w:t>®</w:t>
      </w:r>
      <w:r>
        <w:rPr>
          <w:rFonts w:ascii="Arial" w:cs="Arial" w:eastAsia="Arial" w:hAnsi="Arial"/>
          <w:sz w:val="18"/>
          <w:szCs w:val="18"/>
          <w:color w:val="000000"/>
        </w:rPr>
        <w:t>) and cholera (Vaxchora</w:t>
      </w:r>
      <w:r>
        <w:rPr>
          <w:rFonts w:ascii="Arial" w:cs="Arial" w:eastAsia="Arial" w:hAnsi="Arial"/>
          <w:sz w:val="26"/>
          <w:szCs w:val="26"/>
          <w:color w:val="000000"/>
          <w:vertAlign w:val="superscript"/>
        </w:rPr>
        <w:t>®</w:t>
      </w:r>
      <w:r>
        <w:rPr>
          <w:rFonts w:ascii="Arial" w:cs="Arial" w:eastAsia="Arial" w:hAnsi="Arial"/>
          <w:sz w:val="18"/>
          <w:szCs w:val="18"/>
          <w:color w:val="000000"/>
        </w:rPr>
        <w:t>) vaccines in the United States and, with respect to</w:t>
      </w:r>
      <w:r>
        <w:rPr>
          <w:rFonts w:ascii="Arial" w:cs="Arial" w:eastAsia="Arial" w:hAnsi="Arial"/>
          <w:sz w:val="18"/>
          <w:szCs w:val="18"/>
          <w:color w:val="FF0000"/>
        </w:rPr>
        <w:t xml:space="preserve"> </w:t>
      </w:r>
      <w:r>
        <w:rPr>
          <w:rFonts w:ascii="Arial" w:cs="Arial" w:eastAsia="Arial" w:hAnsi="Arial"/>
          <w:sz w:val="18"/>
          <w:szCs w:val="18"/>
          <w:color w:val="000000"/>
        </w:rPr>
        <w:t>Vivotif</w:t>
      </w:r>
      <w:r>
        <w:rPr>
          <w:rFonts w:ascii="Arial" w:cs="Arial" w:eastAsia="Arial" w:hAnsi="Arial"/>
          <w:sz w:val="26"/>
          <w:szCs w:val="26"/>
          <w:color w:val="000000"/>
          <w:vertAlign w:val="superscript"/>
        </w:rPr>
        <w:t>®</w:t>
      </w:r>
      <w:r>
        <w:rPr>
          <w:rFonts w:ascii="Arial" w:cs="Arial" w:eastAsia="Arial" w:hAnsi="Arial"/>
          <w:sz w:val="18"/>
          <w:szCs w:val="18"/>
          <w:color w:val="000000"/>
        </w:rPr>
        <w:t>, certain other countries.</w:t>
      </w:r>
    </w:p>
    <w:p>
      <w:pPr>
        <w:spacing w:after="0" w:line="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PaxVax Acquisition Investment</w:t>
      </w:r>
      <w:r>
        <w:rPr>
          <w:rFonts w:ascii="Arial" w:cs="Arial" w:eastAsia="Arial" w:hAnsi="Arial"/>
          <w:sz w:val="18"/>
          <w:szCs w:val="18"/>
          <w:color w:val="auto"/>
        </w:rPr>
        <w:t>” means any direct or indirect equity contributions, loans (including the EI/PaxVax Intercompany Loan and the PaxVax Intercompany Loan) or Investments by the Borrower or a direct or indirect Wholly-Owned Domestic Subsidiary thereof to one or more direct or indirect Wholly-Owned Foreign Subsidiaries of the Borrower to finance all or a portion of the consideration for the PaxVax Acquisition and related costs and expenses.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PaxVax Intercompany Loan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9.3(w)</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PaxVax Target</w:t>
      </w:r>
      <w:r>
        <w:rPr>
          <w:rFonts w:ascii="Arial" w:cs="Arial" w:eastAsia="Arial" w:hAnsi="Arial"/>
          <w:sz w:val="17"/>
          <w:szCs w:val="17"/>
          <w:color w:val="auto"/>
        </w:rPr>
        <w:t>” means PaxVax Holding Company Ltd., an exempted company incorporated with limited liability in the Cayman Islands.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PaxVax US</w:t>
      </w:r>
      <w:r>
        <w:rPr>
          <w:rFonts w:ascii="Arial" w:cs="Arial" w:eastAsia="Arial" w:hAnsi="Arial"/>
          <w:sz w:val="18"/>
          <w:szCs w:val="18"/>
          <w:color w:val="auto"/>
        </w:rPr>
        <w:t>” means PaxVax, Inc., a Delaware corporation.</w:t>
      </w:r>
    </w:p>
    <w:p>
      <w:pPr>
        <w:spacing w:after="0" w:line="225"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PaxVax US Integration</w:t>
      </w:r>
      <w:r>
        <w:rPr>
          <w:rFonts w:ascii="Arial" w:cs="Arial" w:eastAsia="Arial" w:hAnsi="Arial"/>
          <w:sz w:val="16"/>
          <w:szCs w:val="16"/>
          <w:color w:val="auto"/>
        </w:rPr>
        <w:t>” means, on or after the Closing Date, the contemporaneous (a) assignment, transfer, dividend or distribution of all of the PaxVax US Shares by the PaxVax Target to Emergent International in exchange for the forgiveness, cancellation or reduction in the principal amount of the PaxVax Intercompany Loan by an amount equal to the fair market value of PaxVax US, (b) assignment, transfer, dividend or distribution of the PaxVax US Shares by Emergent International to the Borrower in exchange for the forgiveness, cancellation or reduction in the principal amount of the EI/PaxVax Intercompany Loan by an amount equal to the fair market value of PaxVax US and (c) related interim or series of related transactions, such that, after the consummation of each of the foregoing transactions, the Borrower shall own all of the PaxVax US Shares.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PaxVax US Shares</w:t>
      </w:r>
      <w:r>
        <w:rPr>
          <w:rFonts w:ascii="Arial" w:cs="Arial" w:eastAsia="Arial" w:hAnsi="Arial"/>
          <w:sz w:val="18"/>
          <w:szCs w:val="18"/>
          <w:color w:val="auto"/>
        </w:rPr>
        <w:t>” means the issued and outstanding Equity Interests of PaxVax 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xml:space="preserve">“Payment Recipient </w:t>
      </w:r>
      <w:r>
        <w:rPr>
          <w:rFonts w:ascii="Arial" w:cs="Arial" w:eastAsia="Arial" w:hAnsi="Arial"/>
          <w:sz w:val="18"/>
          <w:szCs w:val="18"/>
          <w:u w:val="single" w:color="auto"/>
          <w:color w:val="008000"/>
        </w:rPr>
        <w:t>” has the meaning assigned thereto in Section</w:t>
      </w:r>
      <w:r>
        <w:rPr>
          <w:rFonts w:ascii="Arial" w:cs="Arial" w:eastAsia="Arial" w:hAnsi="Arial"/>
          <w:sz w:val="18"/>
          <w:szCs w:val="18"/>
          <w:u w:val="single" w:color="auto"/>
          <w:color w:val="0000FF"/>
        </w:rPr>
        <w:t xml:space="preserve"> 11.11(a).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agency.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490" w:right="459" w:bottom="1440" w:gutter="0" w:footer="0" w:header="0"/>
        </w:sectPr>
      </w:pPr>
    </w:p>
    <w:bookmarkStart w:id="84" w:name="page85"/>
    <w:bookmarkEnd w:id="84"/>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covered by Title IV of ERISA and is subject to the minimum funding standards under Section 412 of the Code.</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9.2(g)</w:t>
      </w:r>
      <w:r>
        <w:rPr>
          <w:rFonts w:ascii="Arial" w:cs="Arial" w:eastAsia="Arial" w:hAnsi="Arial"/>
          <w:sz w:val="18"/>
          <w:szCs w:val="18"/>
          <w:color w:val="auto"/>
        </w:rPr>
        <w:t xml:space="preserve">. </w:t>
      </w:r>
      <w:r>
        <w:rPr>
          <w:rFonts w:ascii="Arial" w:cs="Arial" w:eastAsia="Arial" w:hAnsi="Arial"/>
          <w:sz w:val="18"/>
          <w:szCs w:val="18"/>
          <w:color w:val="008000"/>
          <w:strike w:val="1"/>
        </w:rPr>
        <w:t>Notwithstanding anything to the contrary</w:t>
      </w:r>
      <w:r>
        <w:rPr>
          <w:rFonts w:ascii="Arial" w:cs="Arial" w:eastAsia="Arial" w:hAnsi="Arial"/>
          <w:sz w:val="18"/>
          <w:szCs w:val="18"/>
          <w:color w:val="auto"/>
        </w:rPr>
        <w:t xml:space="preserve"> </w:t>
      </w:r>
      <w:r>
        <w:rPr>
          <w:rFonts w:ascii="Arial" w:cs="Arial" w:eastAsia="Arial" w:hAnsi="Arial"/>
          <w:sz w:val="18"/>
          <w:szCs w:val="18"/>
          <w:color w:val="FF0000"/>
          <w:strike w:val="1"/>
        </w:rPr>
        <w:t>in this Agreement, the Adapt</w:t>
      </w:r>
      <w:r>
        <w:rPr>
          <w:rFonts w:ascii="Arial" w:cs="Arial" w:eastAsia="Arial" w:hAnsi="Arial"/>
          <w:sz w:val="18"/>
          <w:szCs w:val="18"/>
          <w:color w:val="auto"/>
        </w:rPr>
        <w:t xml:space="preserve"> </w:t>
      </w:r>
      <w:r>
        <w:rPr>
          <w:rFonts w:ascii="Arial" w:cs="Arial" w:eastAsia="Arial" w:hAnsi="Arial"/>
          <w:sz w:val="18"/>
          <w:szCs w:val="18"/>
          <w:color w:val="FF0000"/>
          <w:strike w:val="1"/>
        </w:rPr>
        <w:t>Acquisition and the PaxVax Acquisition shall each constitute a Permitted Acquisition under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the Liens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means Debt Domain, Intralinks, SyndTrak or a substantially similar electronic transmission system.</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“Project Emerald Transaction” has the meaning assigned thereto</w:t>
      </w:r>
      <w:r>
        <w:rPr>
          <w:rFonts w:ascii="Arial" w:cs="Arial" w:eastAsia="Arial" w:hAnsi="Arial"/>
          <w:sz w:val="18"/>
          <w:szCs w:val="18"/>
          <w:color w:val="0000FF"/>
        </w:rPr>
        <w:t xml:space="preserve"> </w:t>
      </w:r>
      <w:r>
        <w:rPr>
          <w:rFonts w:ascii="Arial" w:cs="Arial" w:eastAsia="Arial" w:hAnsi="Arial"/>
          <w:sz w:val="18"/>
          <w:szCs w:val="18"/>
          <w:color w:val="008000"/>
        </w:rPr>
        <w:t>in the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14605</wp:posOffset>
            </wp:positionV>
            <wp:extent cx="11830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-10160</wp:posOffset>
            </wp:positionV>
            <wp:extent cx="11817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20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Equity Interests.</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any Equity Interests that are not Disqualified Equity Interests.</w:t>
      </w:r>
    </w:p>
    <w:p>
      <w:pPr>
        <w:spacing w:after="0" w:line="225" w:lineRule="exact"/>
        <w:rPr>
          <w:sz w:val="20"/>
          <w:szCs w:val="20"/>
          <w:color w:val="auto"/>
        </w:rPr>
      </w:pPr>
    </w:p>
    <w:p>
      <w:pPr>
        <w:jc w:val="both"/>
        <w:ind w:right="180" w:firstLine="440"/>
        <w:spacing w:after="0" w:line="259" w:lineRule="auto"/>
        <w:rPr>
          <w:sz w:val="20"/>
          <w:szCs w:val="20"/>
          <w:color w:val="auto"/>
        </w:rPr>
      </w:pPr>
      <w:r>
        <w:rPr>
          <w:rFonts w:ascii="Arial" w:cs="Arial" w:eastAsia="Arial" w:hAnsi="Arial"/>
          <w:sz w:val="18"/>
          <w:szCs w:val="18"/>
          <w:u w:val="single" w:color="auto"/>
          <w:color w:val="0000FF"/>
        </w:rPr>
        <w:t xml:space="preserve">“Rate Determination Date” means, with respect to any Interest Period, two (2) Eurocurrency Banking Days prior to the commencement of such Interest Period (or such other day as is generally treated as the rate fixing day by market practice in the applicable interbank market, as determined by the Administrative Agent; provided that to the extent that </w:t>
      </w:r>
      <w:r>
        <w:rPr>
          <w:rFonts w:ascii="Arial" w:cs="Arial" w:eastAsia="Arial" w:hAnsi="Arial"/>
          <w:sz w:val="18"/>
          <w:szCs w:val="18"/>
          <w:u w:val="single" w:color="auto"/>
          <w:color w:val="008000"/>
        </w:rPr>
        <w:t>such market practice is not administratively feasible for the Administrative Agent, such</w:t>
      </w:r>
      <w:r>
        <w:rPr>
          <w:rFonts w:ascii="Arial" w:cs="Arial" w:eastAsia="Arial" w:hAnsi="Arial"/>
          <w:sz w:val="18"/>
          <w:szCs w:val="18"/>
          <w:u w:val="single" w:color="auto"/>
          <w:color w:val="0000FF"/>
        </w:rPr>
        <w:t xml:space="preserve"> other day</w:t>
      </w:r>
      <w:r>
        <w:rPr>
          <w:rFonts w:ascii="Arial" w:cs="Arial" w:eastAsia="Arial" w:hAnsi="Arial"/>
          <w:sz w:val="18"/>
          <w:szCs w:val="18"/>
          <w:color w:val="0000FF"/>
        </w:rPr>
        <w:t xml:space="preserve"> </w:t>
      </w:r>
      <w:r>
        <w:rPr>
          <w:rFonts w:ascii="Arial" w:cs="Arial" w:eastAsia="Arial" w:hAnsi="Arial"/>
          <w:sz w:val="18"/>
          <w:szCs w:val="18"/>
          <w:color w:val="008000"/>
        </w:rPr>
        <w:t>as otherwise reasonably determined by the Administrative Agent</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-8890</wp:posOffset>
            </wp:positionV>
            <wp:extent cx="29832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983230" cy="8890"/>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-34925</wp:posOffset>
            </wp:positionV>
            <wp:extent cx="29825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82595" cy="889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xml:space="preserve">” means (a) the Administrative Agent, (b) any Lender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(c)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any</w:t>
      </w:r>
      <w:r>
        <w:rPr>
          <w:rFonts w:ascii="Arial" w:cs="Arial" w:eastAsia="Arial" w:hAnsi="Arial"/>
          <w:sz w:val="18"/>
          <w:szCs w:val="18"/>
          <w:color w:val="auto"/>
        </w:rPr>
        <w:t xml:space="preserve"> Issuing Lender,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12.9(c)</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490" w:right="439" w:bottom="1440" w:gutter="0" w:footer="0" w:header="0"/>
        </w:sectPr>
      </w:pPr>
    </w:p>
    <w:bookmarkStart w:id="85" w:name="page86"/>
    <w:bookmarkEnd w:id="85"/>
    <w:p>
      <w:pPr>
        <w:ind w:left="4"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means the obligation of the Borrower to reimburse any Issuing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for amounts drawn under Letters of Credit issued by such Issuing Lender.</w:t>
      </w:r>
    </w:p>
    <w:p>
      <w:pPr>
        <w:spacing w:after="0" w:line="170"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u w:val="single" w:color="auto"/>
          <w:color w:val="0000FF"/>
        </w:rPr>
        <w:t>“Relevant Governmental Body” means (a) with respect to a Benchmark Replacement in respect of Obligations, interest, fees, commissions or other amounts denominated in, or calculated with respect to, Dollars, the FRB or the Federal Reserve Bank of New York, or a committee officially endorsed or convened by the FRB or the Federal Reserve Bank of New York, or any successor thereto and (b) with respect to a Benchmark Replacement in respect of Obligations, interest, fees, commissions or other amounts denominated in, or calculated with respect to, any Alternative Currency or any Alternative L/C Currency, as applicable,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w:t>
      </w:r>
    </w:p>
    <w:p>
      <w:pPr>
        <w:spacing w:after="0" w:line="2" w:lineRule="exact"/>
        <w:rPr>
          <w:sz w:val="20"/>
          <w:szCs w:val="20"/>
          <w:color w:val="auto"/>
        </w:rPr>
      </w:pPr>
    </w:p>
    <w:p>
      <w:pPr>
        <w:ind w:left="4" w:hanging="4"/>
        <w:spacing w:after="0" w:line="302" w:lineRule="auto"/>
        <w:tabs>
          <w:tab w:leader="none" w:pos="299" w:val="left"/>
        </w:tabs>
        <w:numPr>
          <w:ilvl w:val="0"/>
          <w:numId w:val="5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11.6(b).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Replacement Rate</w:t>
      </w:r>
      <w:r>
        <w:rPr>
          <w:rFonts w:ascii="Arial" w:cs="Arial" w:eastAsia="Arial" w:hAnsi="Arial"/>
          <w:sz w:val="18"/>
          <w:szCs w:val="18"/>
          <w:color w:val="FF0000"/>
          <w:strike w:val="1"/>
        </w:rPr>
        <w:t xml:space="preserve">” has the meaning assigned thereto in </w:t>
      </w:r>
      <w:r>
        <w:rPr>
          <w:rFonts w:ascii="Arial" w:cs="Arial" w:eastAsia="Arial" w:hAnsi="Arial"/>
          <w:sz w:val="18"/>
          <w:szCs w:val="18"/>
          <w:u w:val="single" w:color="auto"/>
          <w:color w:val="FF0000"/>
          <w:strike w:val="1"/>
        </w:rPr>
        <w:t>Section 5.8(c)</w:t>
      </w:r>
      <w:r>
        <w:rPr>
          <w:rFonts w:ascii="Arial" w:cs="Arial" w:eastAsia="Arial" w:hAnsi="Arial"/>
          <w:sz w:val="18"/>
          <w:szCs w:val="18"/>
          <w:color w:val="FF0000"/>
          <w:strike w:val="1"/>
        </w:rPr>
        <w:t>.</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70" w:lineRule="exact"/>
        <w:rPr>
          <w:sz w:val="20"/>
          <w:szCs w:val="20"/>
          <w:color w:val="auto"/>
        </w:rPr>
      </w:pPr>
    </w:p>
    <w:p>
      <w:pPr>
        <w:ind w:left="4" w:right="2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Lenders having Total Credit Exposure representing more than 50% of the Total Credit Exposure of all Lenders. The Total Credit Exposure of any Defaulting Lender shall be disregarded in determining Required Lenders at any time.</w:t>
      </w:r>
    </w:p>
    <w:p>
      <w:pPr>
        <w:spacing w:after="0" w:line="146"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Credit Lenders</w:t>
      </w:r>
      <w:r>
        <w:rPr>
          <w:rFonts w:ascii="Arial" w:cs="Arial" w:eastAsia="Arial" w:hAnsi="Arial"/>
          <w:sz w:val="18"/>
          <w:szCs w:val="18"/>
          <w:color w:val="auto"/>
        </w:rPr>
        <w:t>” means, at any time, Revolving Credit Lenders having unused Revolving Credit Commitments and Revolving Credit Exposure representing more than 50% of the aggregate unused Revolving Credit Commitments and Revolving Credit Exposure of all Revolving Credit Lenders. The unused Revolving Credit Commitment of, and Revolving Credit Exposure held or deemed held by, any Defaulting Lender shall be disregarded in determining Required Revolving Credit Lenders at any time.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11.6(a)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vice president, chief financial officer, manager or executive manager (in the case of any limited liability company), treasurer, assistant treasurer or controller of a Credit Party, solely for purposes of the delivery of incumbency certificates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the secretary or any assistant secretary of a Credit Party and, solely for purposes of notices given pursuant to Article II, any other officer or employee of the applicable Credit Party so</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4"/>
          </w:cols>
          <w:pgMar w:left="436" w:top="490" w:right="479" w:bottom="1440" w:gutter="0" w:footer="0" w:header="0"/>
        </w:sectPr>
      </w:pPr>
    </w:p>
    <w:bookmarkStart w:id="86" w:name="page87"/>
    <w:bookmarkEnd w:id="86"/>
    <w:p>
      <w:pPr>
        <w:jc w:val="both"/>
        <w:ind w:left="4"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designated by any of the foregoing officers in a notice to the Administrative Agent.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w:t>
      </w:r>
    </w:p>
    <w:p>
      <w:pPr>
        <w:spacing w:after="0" w:line="149"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Revaluation Date</w:t>
      </w:r>
      <w:r>
        <w:rPr>
          <w:rFonts w:ascii="Arial" w:cs="Arial" w:eastAsia="Arial" w:hAnsi="Arial"/>
          <w:sz w:val="18"/>
          <w:szCs w:val="18"/>
          <w:color w:val="auto"/>
        </w:rPr>
        <w:t>” means</w:t>
      </w:r>
      <w:r>
        <w:rPr>
          <w:rFonts w:ascii="Arial" w:cs="Arial" w:eastAsia="Arial" w:hAnsi="Arial"/>
          <w:sz w:val="18"/>
          <w:szCs w:val="18"/>
          <w:u w:val="single" w:color="auto"/>
          <w:color w:val="0000FF"/>
        </w:rPr>
        <w:t>, subject to Section 1.11</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86" w:lineRule="auto"/>
        <w:tabs>
          <w:tab w:leader="none" w:pos="689" w:val="left"/>
        </w:tabs>
        <w:numPr>
          <w:ilvl w:val="1"/>
          <w:numId w:val="51"/>
        </w:numPr>
        <w:rPr>
          <w:rFonts w:ascii="Arial" w:cs="Arial" w:eastAsia="Arial" w:hAnsi="Arial"/>
          <w:sz w:val="16"/>
          <w:szCs w:val="16"/>
          <w:color w:val="FF0000"/>
          <w:strike w:val="1"/>
        </w:rPr>
      </w:pPr>
      <w:r>
        <w:rPr>
          <w:rFonts w:ascii="Arial" w:cs="Arial" w:eastAsia="Arial" w:hAnsi="Arial"/>
          <w:sz w:val="16"/>
          <w:szCs w:val="16"/>
          <w:u w:val="single" w:color="auto"/>
          <w:color w:val="0000FF"/>
        </w:rPr>
        <w:t>(a)</w:t>
      </w:r>
      <w:r>
        <w:rPr>
          <w:rFonts w:ascii="Arial" w:cs="Arial" w:eastAsia="Arial" w:hAnsi="Arial"/>
          <w:sz w:val="16"/>
          <w:szCs w:val="16"/>
          <w:color w:val="0000FF"/>
        </w:rPr>
        <w:t xml:space="preserve"> </w:t>
      </w:r>
      <w:r>
        <w:rPr>
          <w:rFonts w:ascii="Arial" w:cs="Arial" w:eastAsia="Arial" w:hAnsi="Arial"/>
          <w:sz w:val="16"/>
          <w:szCs w:val="16"/>
          <w:color w:val="000000"/>
        </w:rPr>
        <w:t>with respect to any Loan</w:t>
      </w:r>
      <w:r>
        <w:rPr>
          <w:rFonts w:ascii="Arial" w:cs="Arial" w:eastAsia="Arial" w:hAnsi="Arial"/>
          <w:sz w:val="16"/>
          <w:szCs w:val="16"/>
          <w:color w:val="FF0000"/>
          <w:strike w:val="1"/>
        </w:rPr>
        <w:t>, each date of a borrowing or continuation of a Eurocurrency Rate Loan</w:t>
      </w:r>
      <w:r>
        <w:rPr>
          <w:rFonts w:ascii="Arial" w:cs="Arial" w:eastAsia="Arial" w:hAnsi="Arial"/>
          <w:sz w:val="16"/>
          <w:szCs w:val="16"/>
          <w:color w:val="0000FF"/>
        </w:rPr>
        <w:t xml:space="preserve"> </w:t>
      </w:r>
      <w:r>
        <w:rPr>
          <w:rFonts w:ascii="Arial" w:cs="Arial" w:eastAsia="Arial" w:hAnsi="Arial"/>
          <w:sz w:val="16"/>
          <w:szCs w:val="16"/>
          <w:color w:val="000000"/>
        </w:rPr>
        <w:t>denominated in an Alternative Currency</w:t>
      </w:r>
      <w:r>
        <w:rPr>
          <w:rFonts w:ascii="Arial" w:cs="Arial" w:eastAsia="Arial" w:hAnsi="Arial"/>
          <w:sz w:val="16"/>
          <w:szCs w:val="16"/>
          <w:color w:val="0000FF"/>
        </w:rPr>
        <w:t xml:space="preserve"> </w:t>
      </w:r>
      <w:r>
        <w:rPr>
          <w:rFonts w:ascii="Arial" w:cs="Arial" w:eastAsia="Arial" w:hAnsi="Arial"/>
          <w:sz w:val="16"/>
          <w:szCs w:val="16"/>
          <w:color w:val="FF0000"/>
          <w:strike w:val="1"/>
        </w:rPr>
        <w:t xml:space="preserve">and </w:t>
      </w:r>
      <w:r>
        <w:rPr>
          <w:rFonts w:ascii="Arial" w:cs="Arial" w:eastAsia="Arial" w:hAnsi="Arial"/>
          <w:sz w:val="16"/>
          <w:szCs w:val="16"/>
          <w:u w:val="single" w:color="auto"/>
          <w:color w:val="0000FF"/>
          <w:strike w:val="1"/>
        </w:rPr>
        <w:t>, each of the following: (i) the date of the borrowing of such Loan (including any borrowing or deemed borrowing that results from the payment by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the applicable Issuing Lender under</w:t>
      </w:r>
      <w:r>
        <w:rPr>
          <w:rFonts w:ascii="Arial" w:cs="Arial" w:eastAsia="Arial" w:hAnsi="Arial"/>
          <w:sz w:val="16"/>
          <w:szCs w:val="16"/>
          <w:color w:val="0000FF"/>
          <w:strike w:val="1"/>
        </w:rPr>
        <w:t xml:space="preserve"> </w:t>
      </w:r>
      <w:r>
        <w:rPr>
          <w:rFonts w:ascii="Arial" w:cs="Arial" w:eastAsia="Arial" w:hAnsi="Arial"/>
          <w:sz w:val="16"/>
          <w:szCs w:val="16"/>
          <w:color w:val="008000"/>
          <w:strike w:val="1"/>
        </w:rPr>
        <w:t>any Letter of Credit denominated in an Alternative L/C Currency</w:t>
      </w:r>
      <w:r>
        <w:rPr>
          <w:rFonts w:ascii="Arial" w:cs="Arial" w:eastAsia="Arial" w:hAnsi="Arial"/>
          <w:sz w:val="16"/>
          <w:szCs w:val="16"/>
          <w:u w:val="single" w:color="auto"/>
          <w:color w:val="0000FF"/>
          <w:strike w:val="1"/>
        </w:rPr>
        <w:t>) but only as to the amounts so borrowed on such</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date, (ii) each date of a continuation of such Loan pursuant to the terms of this Agreement, but only as to the amounts so continued on such date, and</w:t>
      </w:r>
    </w:p>
    <w:p>
      <w:pPr>
        <w:spacing w:after="0" w:line="1" w:lineRule="exact"/>
        <w:rPr>
          <w:rFonts w:ascii="Arial" w:cs="Arial" w:eastAsia="Arial" w:hAnsi="Arial"/>
          <w:sz w:val="16"/>
          <w:szCs w:val="16"/>
          <w:color w:val="FF0000"/>
          <w:strike w:val="1"/>
        </w:rPr>
      </w:pPr>
    </w:p>
    <w:p>
      <w:pPr>
        <w:ind w:left="324" w:hanging="324"/>
        <w:spacing w:after="0"/>
        <w:tabs>
          <w:tab w:leader="none" w:pos="324" w:val="left"/>
        </w:tabs>
        <w:numPr>
          <w:ilvl w:val="0"/>
          <w:numId w:val="52"/>
        </w:numPr>
        <w:rPr>
          <w:rFonts w:ascii="Arial" w:cs="Arial" w:eastAsia="Arial" w:hAnsi="Arial"/>
          <w:sz w:val="18"/>
          <w:szCs w:val="18"/>
          <w:u w:val="single" w:color="auto"/>
          <w:color w:val="0000FF"/>
        </w:rPr>
      </w:pPr>
      <w:r>
        <w:rPr>
          <w:rFonts w:ascii="Arial" w:cs="Arial" w:eastAsia="Arial" w:hAnsi="Arial"/>
          <w:sz w:val="18"/>
          <w:szCs w:val="18"/>
          <w:color w:val="auto"/>
        </w:rPr>
        <w:t>such additional dates as the Administrative Agent shall determine or the Required Lenders shall require; and</w:t>
      </w:r>
    </w:p>
    <w:p>
      <w:pPr>
        <w:spacing w:after="0" w:line="102" w:lineRule="exact"/>
        <w:rPr>
          <w:rFonts w:ascii="Arial" w:cs="Arial" w:eastAsia="Arial" w:hAnsi="Arial"/>
          <w:sz w:val="18"/>
          <w:szCs w:val="18"/>
          <w:u w:val="single" w:color="auto"/>
          <w:color w:val="0000FF"/>
        </w:rPr>
      </w:pPr>
    </w:p>
    <w:p>
      <w:pPr>
        <w:ind w:left="4" w:right="40" w:firstLine="436"/>
        <w:spacing w:after="0" w:line="254" w:lineRule="auto"/>
        <w:tabs>
          <w:tab w:leader="none" w:pos="699" w:val="left"/>
        </w:tabs>
        <w:numPr>
          <w:ilvl w:val="1"/>
          <w:numId w:val="52"/>
        </w:numPr>
        <w:rPr>
          <w:rFonts w:ascii="Arial" w:cs="Arial" w:eastAsia="Arial" w:hAnsi="Arial"/>
          <w:sz w:val="18"/>
          <w:szCs w:val="18"/>
          <w:color w:val="FF0000"/>
          <w:strike w:val="1"/>
        </w:rPr>
      </w:pPr>
      <w:r>
        <w:rPr>
          <w:rFonts w:ascii="Arial" w:cs="Arial" w:eastAsia="Arial" w:hAnsi="Arial"/>
          <w:sz w:val="18"/>
          <w:szCs w:val="18"/>
          <w:u w:val="single" w:color="auto"/>
          <w:color w:val="0000FF"/>
        </w:rPr>
        <w:t>(b)</w:t>
      </w:r>
      <w:r>
        <w:rPr>
          <w:rFonts w:ascii="Arial" w:cs="Arial" w:eastAsia="Arial" w:hAnsi="Arial"/>
          <w:sz w:val="18"/>
          <w:szCs w:val="18"/>
          <w:color w:val="0000FF"/>
        </w:rPr>
        <w:t xml:space="preserve"> </w:t>
      </w:r>
      <w:r>
        <w:rPr>
          <w:rFonts w:ascii="Arial" w:cs="Arial" w:eastAsia="Arial" w:hAnsi="Arial"/>
          <w:sz w:val="18"/>
          <w:szCs w:val="18"/>
          <w:color w:val="000000"/>
        </w:rPr>
        <w:t>with respect to any Letter of Credit</w:t>
      </w:r>
      <w:r>
        <w:rPr>
          <w:rFonts w:ascii="Arial" w:cs="Arial" w:eastAsia="Arial" w:hAnsi="Arial"/>
          <w:sz w:val="18"/>
          <w:szCs w:val="18"/>
          <w:color w:val="FF0000"/>
          <w:strike w:val="1"/>
        </w:rPr>
        <w:t>,</w:t>
      </w:r>
      <w:r>
        <w:rPr>
          <w:rFonts w:ascii="Arial" w:cs="Arial" w:eastAsia="Arial" w:hAnsi="Arial"/>
          <w:sz w:val="18"/>
          <w:szCs w:val="18"/>
          <w:color w:val="0000FF"/>
        </w:rPr>
        <w:t xml:space="preserve"> </w:t>
      </w:r>
      <w:r>
        <w:rPr>
          <w:rFonts w:ascii="Arial" w:cs="Arial" w:eastAsia="Arial" w:hAnsi="Arial"/>
          <w:sz w:val="18"/>
          <w:szCs w:val="18"/>
          <w:color w:val="008000"/>
        </w:rPr>
        <w:t>(i) each date of issuance of</w:t>
      </w:r>
      <w:r>
        <w:rPr>
          <w:rFonts w:ascii="Arial" w:cs="Arial" w:eastAsia="Arial" w:hAnsi="Arial"/>
          <w:sz w:val="18"/>
          <w:szCs w:val="18"/>
          <w:color w:val="0000FF"/>
        </w:rPr>
        <w:t xml:space="preserve"> </w:t>
      </w:r>
      <w:r>
        <w:rPr>
          <w:rFonts w:ascii="Arial" w:cs="Arial" w:eastAsia="Arial" w:hAnsi="Arial"/>
          <w:sz w:val="18"/>
          <w:szCs w:val="18"/>
          <w:color w:val="FF0000"/>
          <w:strike w:val="1"/>
        </w:rPr>
        <w:t>a Letter of Credit</w:t>
      </w:r>
      <w:r>
        <w:rPr>
          <w:rFonts w:ascii="Arial" w:cs="Arial" w:eastAsia="Arial" w:hAnsi="Arial"/>
          <w:sz w:val="18"/>
          <w:szCs w:val="18"/>
          <w:color w:val="0000FF"/>
        </w:rPr>
        <w:t xml:space="preserve"> </w:t>
      </w:r>
      <w:r>
        <w:rPr>
          <w:rFonts w:ascii="Arial" w:cs="Arial" w:eastAsia="Arial" w:hAnsi="Arial"/>
          <w:sz w:val="18"/>
          <w:szCs w:val="18"/>
          <w:color w:val="000000"/>
        </w:rPr>
        <w:t>denominated in an Alternative L/C Currency</w:t>
      </w:r>
      <w:r>
        <w:rPr>
          <w:rFonts w:ascii="Arial" w:cs="Arial" w:eastAsia="Arial" w:hAnsi="Arial"/>
          <w:sz w:val="18"/>
          <w:szCs w:val="18"/>
          <w:color w:val="0000FF"/>
        </w:rPr>
        <w:t xml:space="preserve"> </w:t>
      </w:r>
      <w:r>
        <w:rPr>
          <w:rFonts w:ascii="Arial" w:cs="Arial" w:eastAsia="Arial" w:hAnsi="Arial"/>
          <w:sz w:val="18"/>
          <w:szCs w:val="18"/>
          <w:color w:val="FF0000"/>
        </w:rPr>
        <w:t>(or an</w:t>
      </w:r>
      <w:r>
        <w:rPr>
          <w:rFonts w:ascii="Arial" w:cs="Arial" w:eastAsia="Arial" w:hAnsi="Arial"/>
          <w:sz w:val="18"/>
          <w:szCs w:val="18"/>
          <w:color w:val="0000FF"/>
        </w:rPr>
        <w:t xml:space="preserve"> </w:t>
      </w:r>
      <w:r>
        <w:rPr>
          <w:rFonts w:ascii="Arial" w:cs="Arial" w:eastAsia="Arial" w:hAnsi="Arial"/>
          <w:sz w:val="18"/>
          <w:szCs w:val="18"/>
          <w:color w:val="FF0000"/>
          <w:strike w:val="1"/>
        </w:rPr>
        <w:t>amendment of any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 each of the following:</w:t>
      </w:r>
      <w:r>
        <w:rPr>
          <w:rFonts w:ascii="Arial" w:cs="Arial" w:eastAsia="Arial" w:hAnsi="Arial"/>
          <w:sz w:val="18"/>
          <w:szCs w:val="18"/>
          <w:color w:val="FF0000"/>
        </w:rPr>
        <w:t xml:space="preserve"> </w:t>
      </w:r>
      <w:r>
        <w:rPr>
          <w:rFonts w:ascii="Arial" w:cs="Arial" w:eastAsia="Arial" w:hAnsi="Arial"/>
          <w:sz w:val="18"/>
          <w:szCs w:val="18"/>
          <w:color w:val="008000"/>
        </w:rPr>
        <w:t>(i) each date of issuance of</w:t>
      </w:r>
      <w:r>
        <w:rPr>
          <w:rFonts w:ascii="Arial" w:cs="Arial" w:eastAsia="Arial" w:hAnsi="Arial"/>
          <w:sz w:val="18"/>
          <w:szCs w:val="18"/>
          <w:color w:val="FF0000"/>
        </w:rPr>
        <w:t xml:space="preserve"> </w:t>
      </w:r>
      <w:r>
        <w:rPr>
          <w:rFonts w:ascii="Arial" w:cs="Arial" w:eastAsia="Arial" w:hAnsi="Arial"/>
          <w:sz w:val="18"/>
          <w:szCs w:val="18"/>
          <w:color w:val="000000"/>
        </w:rPr>
        <w:t>such Letter of Credit</w:t>
      </w:r>
      <w:r>
        <w:rPr>
          <w:rFonts w:ascii="Arial" w:cs="Arial" w:eastAsia="Arial" w:hAnsi="Arial"/>
          <w:sz w:val="18"/>
          <w:szCs w:val="18"/>
          <w:color w:val="FF0000"/>
        </w:rPr>
        <w:t xml:space="preserve"> </w:t>
      </w:r>
      <w:r>
        <w:rPr>
          <w:rFonts w:ascii="Arial" w:cs="Arial" w:eastAsia="Arial" w:hAnsi="Arial"/>
          <w:sz w:val="18"/>
          <w:szCs w:val="18"/>
          <w:color w:val="FF0000"/>
          <w:strike w:val="1"/>
        </w:rPr>
        <w:t>having the effect of increasing the amount thereof), (ii) each</w:t>
      </w:r>
      <w:r>
        <w:rPr>
          <w:rFonts w:ascii="Arial" w:cs="Arial" w:eastAsia="Arial" w:hAnsi="Arial"/>
          <w:sz w:val="18"/>
          <w:szCs w:val="18"/>
          <w:color w:val="FF0000"/>
        </w:rPr>
        <w:t xml:space="preserve"> </w:t>
      </w:r>
      <w:r>
        <w:rPr>
          <w:rFonts w:ascii="Arial" w:cs="Arial" w:eastAsia="Arial" w:hAnsi="Arial"/>
          <w:sz w:val="18"/>
          <w:szCs w:val="18"/>
          <w:color w:val="FF0000"/>
          <w:strike w:val="1"/>
        </w:rPr>
        <w:t>date of any payment by an Issuing Lender under any Letter</w:t>
      </w:r>
      <w:r>
        <w:rPr>
          <w:rFonts w:ascii="Arial" w:cs="Arial" w:eastAsia="Arial" w:hAnsi="Arial"/>
          <w:sz w:val="18"/>
          <w:szCs w:val="18"/>
          <w:u w:val="single" w:color="auto"/>
          <w:color w:val="0000FF"/>
          <w:strike w:val="1"/>
        </w:rPr>
        <w:t>, but only as to the Letter of Credit so issued on such date, (ii) each date such Letter of Credit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is amended to increase the face amount of such Letter of Credit but only as to the amount of such increase, (iii) in the case of all Existing Letters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of</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Credit denominated in </w:t>
      </w:r>
      <w:r>
        <w:rPr>
          <w:rFonts w:ascii="Arial" w:cs="Arial" w:eastAsia="Arial" w:hAnsi="Arial"/>
          <w:sz w:val="18"/>
          <w:szCs w:val="18"/>
          <w:color w:val="FF0000"/>
          <w:strike w:val="1"/>
        </w:rPr>
        <w:t>an</w:t>
      </w:r>
      <w:r>
        <w:rPr>
          <w:rFonts w:ascii="Arial" w:cs="Arial" w:eastAsia="Arial" w:hAnsi="Arial"/>
          <w:sz w:val="18"/>
          <w:szCs w:val="18"/>
          <w:color w:val="000000"/>
          <w:strike w:val="1"/>
        </w:rPr>
        <w:t xml:space="preserve"> Alternative L/C Currenc</w:t>
      </w:r>
      <w:r>
        <w:rPr>
          <w:rFonts w:ascii="Arial" w:cs="Arial" w:eastAsia="Arial" w:hAnsi="Arial"/>
          <w:sz w:val="18"/>
          <w:szCs w:val="18"/>
          <w:color w:val="FF0000"/>
          <w:strike w:val="1"/>
        </w:rPr>
        <w:t>y</w:t>
      </w:r>
      <w:r>
        <w:rPr>
          <w:rFonts w:ascii="Arial" w:cs="Arial" w:eastAsia="Arial" w:hAnsi="Arial"/>
          <w:sz w:val="18"/>
          <w:szCs w:val="18"/>
          <w:u w:val="single" w:color="auto"/>
          <w:color w:val="0000FF"/>
          <w:strike w:val="1"/>
        </w:rPr>
        <w:t>ies, the Closing Date, but only as to such Existing Letters of Credit</w:t>
      </w:r>
      <w:r>
        <w:rPr>
          <w:rFonts w:ascii="Arial" w:cs="Arial" w:eastAsia="Arial" w:hAnsi="Arial"/>
          <w:sz w:val="18"/>
          <w:szCs w:val="18"/>
          <w:color w:val="000000"/>
          <w:strike w:val="1"/>
        </w:rPr>
        <w:t xml:space="preserve"> and (</w:t>
      </w:r>
      <w:r>
        <w:rPr>
          <w:rFonts w:ascii="Arial" w:cs="Arial" w:eastAsia="Arial" w:hAnsi="Arial"/>
          <w:sz w:val="18"/>
          <w:szCs w:val="18"/>
          <w:color w:val="FF0000"/>
          <w:strike w:val="1"/>
        </w:rPr>
        <w:t>iii</w:t>
      </w:r>
      <w:r>
        <w:rPr>
          <w:rFonts w:ascii="Arial" w:cs="Arial" w:eastAsia="Arial" w:hAnsi="Arial"/>
          <w:sz w:val="18"/>
          <w:szCs w:val="18"/>
          <w:u w:val="single" w:color="auto"/>
          <w:color w:val="0000FF"/>
          <w:strike w:val="1"/>
        </w:rPr>
        <w:t>iv</w:t>
      </w:r>
      <w:r>
        <w:rPr>
          <w:rFonts w:ascii="Arial" w:cs="Arial" w:eastAsia="Arial" w:hAnsi="Arial"/>
          <w:sz w:val="18"/>
          <w:szCs w:val="18"/>
          <w:color w:val="000000"/>
          <w:strike w:val="1"/>
        </w:rPr>
        <w:t xml:space="preserve">) such additional dates as the Administrative Agent or </w:t>
      </w:r>
      <w:r>
        <w:rPr>
          <w:rFonts w:ascii="Arial" w:cs="Arial" w:eastAsia="Arial" w:hAnsi="Arial"/>
          <w:sz w:val="18"/>
          <w:szCs w:val="18"/>
          <w:color w:val="FF0000"/>
          <w:strike w:val="1"/>
        </w:rPr>
        <w:t>an</w:t>
      </w:r>
      <w:r>
        <w:rPr>
          <w:rFonts w:ascii="Arial" w:cs="Arial" w:eastAsia="Arial" w:hAnsi="Arial"/>
          <w:sz w:val="18"/>
          <w:szCs w:val="18"/>
          <w:u w:val="single" w:color="auto"/>
          <w:color w:val="0000FF"/>
          <w:strike w:val="1"/>
        </w:rPr>
        <w:t>the applicable</w:t>
      </w:r>
      <w:r>
        <w:rPr>
          <w:rFonts w:ascii="Arial" w:cs="Arial" w:eastAsia="Arial" w:hAnsi="Arial"/>
          <w:sz w:val="18"/>
          <w:szCs w:val="18"/>
          <w:color w:val="000000"/>
          <w:strike w:val="1"/>
        </w:rPr>
        <w:t xml:space="preserve"> Issuing Lender </w:t>
      </w:r>
      <w:r>
        <w:rPr>
          <w:rFonts w:ascii="Arial" w:cs="Arial" w:eastAsia="Arial" w:hAnsi="Arial"/>
          <w:sz w:val="18"/>
          <w:szCs w:val="18"/>
          <w:u w:val="single" w:color="auto"/>
          <w:color w:val="0000FF"/>
          <w:strike w:val="1"/>
        </w:rPr>
        <w:t>(with notice thereof to the Administrative Agent)</w:t>
      </w:r>
      <w:r>
        <w:rPr>
          <w:rFonts w:ascii="Arial" w:cs="Arial" w:eastAsia="Arial" w:hAnsi="Arial"/>
          <w:sz w:val="18"/>
          <w:szCs w:val="18"/>
          <w:color w:val="000000"/>
          <w:strike w:val="1"/>
        </w:rPr>
        <w:t xml:space="preserve"> shall determine or the Required Lenders shall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-1306830</wp:posOffset>
            </wp:positionV>
            <wp:extent cx="30003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-1332865</wp:posOffset>
            </wp:positionV>
            <wp:extent cx="30016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-904240</wp:posOffset>
            </wp:positionV>
            <wp:extent cx="12846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84605" cy="8255"/>
                    </a:xfrm>
                    <a:prstGeom prst="rect">
                      <a:avLst/>
                    </a:prstGeom>
                    <a:noFill/>
                  </pic:spPr>
                </pic:pic>
              </a:graphicData>
            </a:graphic>
          </wp:anchor>
        </w:drawing>
        <w:drawing>
          <wp:anchor simplePos="0" relativeHeight="251657728" behindDoc="1" locked="0" layoutInCell="0" allowOverlap="1">
            <wp:simplePos x="0" y="0"/>
            <wp:positionH relativeFrom="column">
              <wp:posOffset>6381115</wp:posOffset>
            </wp:positionH>
            <wp:positionV relativeFrom="paragraph">
              <wp:posOffset>-904240</wp:posOffset>
            </wp:positionV>
            <wp:extent cx="2984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-689610</wp:posOffset>
            </wp:positionV>
            <wp:extent cx="12769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-715645</wp:posOffset>
            </wp:positionV>
            <wp:extent cx="12846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175" w:lineRule="exact"/>
        <w:rPr>
          <w:sz w:val="20"/>
          <w:szCs w:val="20"/>
          <w:color w:val="auto"/>
        </w:rPr>
      </w:pPr>
    </w:p>
    <w:p>
      <w:pPr>
        <w:ind w:left="4" w:right="3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Commitment</w:t>
      </w:r>
      <w:r>
        <w:rPr>
          <w:rFonts w:ascii="Arial" w:cs="Arial" w:eastAsia="Arial" w:hAnsi="Arial"/>
          <w:sz w:val="16"/>
          <w:szCs w:val="16"/>
          <w:color w:val="auto"/>
        </w:rPr>
        <w:t xml:space="preserve">” means (a) as to any Revolving Credit Lender, the obligation of such Revolving Credit Lender to make Revolving Credit Loans to, and to purchase participations in L/C Obligations and Swingline Loans for the account of, the Borrower hereunder in an aggregate principal Dollar Amount at any time outstanding not to exceed the amount set forth opposite such Revolving Credit Lender’s name on the Register, as such Dollar amount may be modified at any time or from time to time pursuant to the terms hereof </w:t>
      </w:r>
      <w:r>
        <w:rPr>
          <w:rFonts w:ascii="Arial" w:cs="Arial" w:eastAsia="Arial" w:hAnsi="Arial"/>
          <w:sz w:val="16"/>
          <w:szCs w:val="16"/>
          <w:color w:val="FF0000"/>
          <w:strike w:val="1"/>
        </w:rPr>
        <w:t>(including, without limitation,</w:t>
      </w:r>
    </w:p>
    <w:p>
      <w:pPr>
        <w:spacing w:after="0" w:line="1" w:lineRule="exact"/>
        <w:rPr>
          <w:sz w:val="20"/>
          <w:szCs w:val="20"/>
          <w:color w:val="auto"/>
        </w:rPr>
      </w:pPr>
    </w:p>
    <w:p>
      <w:pPr>
        <w:ind w:left="4"/>
        <w:spacing w:after="0" w:line="253" w:lineRule="auto"/>
        <w:rPr>
          <w:sz w:val="20"/>
          <w:szCs w:val="20"/>
          <w:color w:val="auto"/>
        </w:rPr>
      </w:pPr>
      <w:r>
        <w:rPr>
          <w:rFonts w:ascii="Arial" w:cs="Arial" w:eastAsia="Arial" w:hAnsi="Arial"/>
          <w:sz w:val="18"/>
          <w:szCs w:val="18"/>
          <w:u w:val="single" w:color="auto"/>
          <w:color w:val="FF0000"/>
          <w:strike w:val="1"/>
        </w:rPr>
        <w:t>Section 5.</w:t>
      </w:r>
      <w:r>
        <w:rPr>
          <w:rFonts w:ascii="Arial" w:cs="Arial" w:eastAsia="Arial" w:hAnsi="Arial"/>
          <w:sz w:val="18"/>
          <w:szCs w:val="18"/>
          <w:u w:val="single" w:color="auto"/>
          <w:color w:val="FF0000"/>
        </w:rPr>
        <w:t>13</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00000"/>
        </w:rPr>
        <w:t>and (b) as to all Revolving Credit Lenders, the aggregate commitment of all Revolving Credit Lenders to make Revolving Credit Loans, as</w:t>
      </w:r>
      <w:r>
        <w:rPr>
          <w:rFonts w:ascii="Arial" w:cs="Arial" w:eastAsia="Arial" w:hAnsi="Arial"/>
          <w:sz w:val="18"/>
          <w:szCs w:val="18"/>
          <w:color w:val="FF0000"/>
        </w:rPr>
        <w:t xml:space="preserve"> </w:t>
      </w:r>
      <w:r>
        <w:rPr>
          <w:rFonts w:ascii="Arial" w:cs="Arial" w:eastAsia="Arial" w:hAnsi="Arial"/>
          <w:sz w:val="18"/>
          <w:szCs w:val="18"/>
          <w:color w:val="000000"/>
        </w:rPr>
        <w:t xml:space="preserve">such Dollar Amount may be modified at any time or from time to time pursuant to the terms hereof </w:t>
      </w:r>
      <w:r>
        <w:rPr>
          <w:rFonts w:ascii="Arial" w:cs="Arial" w:eastAsia="Arial" w:hAnsi="Arial"/>
          <w:sz w:val="18"/>
          <w:szCs w:val="18"/>
          <w:color w:val="FF0000"/>
          <w:strike w:val="1"/>
        </w:rPr>
        <w:t>(including, without limitation,</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Section 5.13</w:t>
      </w:r>
      <w:r>
        <w:rPr>
          <w:rFonts w:ascii="Arial" w:cs="Arial" w:eastAsia="Arial" w:hAnsi="Arial"/>
          <w:sz w:val="18"/>
          <w:szCs w:val="18"/>
          <w:color w:val="FF0000"/>
          <w:strike w:val="1"/>
        </w:rPr>
        <w:t>)</w:t>
      </w:r>
      <w:r>
        <w:rPr>
          <w:rFonts w:ascii="Arial" w:cs="Arial" w:eastAsia="Arial" w:hAnsi="Arial"/>
          <w:sz w:val="18"/>
          <w:szCs w:val="18"/>
          <w:color w:val="000000"/>
        </w:rPr>
        <w:t xml:space="preserve">. The aggregate Revolving Credit Commitment of all the Revolving Credit Lenders on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Fourth Amendment Effective</w:t>
      </w:r>
      <w:r>
        <w:rPr>
          <w:rFonts w:ascii="Arial" w:cs="Arial" w:eastAsia="Arial" w:hAnsi="Arial"/>
          <w:sz w:val="18"/>
          <w:szCs w:val="18"/>
          <w:color w:val="000000"/>
        </w:rPr>
        <w:t xml:space="preserve"> Date shall be $</w:t>
      </w:r>
      <w:r>
        <w:rPr>
          <w:rFonts w:ascii="Arial" w:cs="Arial" w:eastAsia="Arial" w:hAnsi="Arial"/>
          <w:sz w:val="18"/>
          <w:szCs w:val="18"/>
          <w:color w:val="FF0000"/>
          <w:strike w:val="1"/>
        </w:rPr>
        <w:t>6</w:t>
      </w:r>
      <w:r>
        <w:rPr>
          <w:rFonts w:ascii="Arial" w:cs="Arial" w:eastAsia="Arial" w:hAnsi="Arial"/>
          <w:sz w:val="18"/>
          <w:szCs w:val="18"/>
          <w:u w:val="single" w:color="auto"/>
          <w:color w:val="0000FF"/>
        </w:rPr>
        <w:t>3</w:t>
      </w:r>
      <w:r>
        <w:rPr>
          <w:rFonts w:ascii="Arial" w:cs="Arial" w:eastAsia="Arial" w:hAnsi="Arial"/>
          <w:sz w:val="18"/>
          <w:szCs w:val="18"/>
          <w:color w:val="000000"/>
        </w:rPr>
        <w:t xml:space="preserve">00,000,000. The Revolving Credit Commitment of each Revolving Credit Lender on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Fourth Amendment Effective</w:t>
      </w:r>
      <w:r>
        <w:rPr>
          <w:rFonts w:ascii="Arial" w:cs="Arial" w:eastAsia="Arial" w:hAnsi="Arial"/>
          <w:sz w:val="18"/>
          <w:szCs w:val="18"/>
          <w:color w:val="000000"/>
        </w:rPr>
        <w:t xml:space="preserve"> Date is set forth opposite the name of such Lender on </w:t>
      </w:r>
      <w:r>
        <w:rPr>
          <w:rFonts w:ascii="Arial" w:cs="Arial" w:eastAsia="Arial" w:hAnsi="Arial"/>
          <w:sz w:val="18"/>
          <w:szCs w:val="18"/>
          <w:u w:val="single" w:color="auto"/>
          <w:color w:val="000000"/>
        </w:rPr>
        <w:t>Schedule 1.1(c)</w:t>
      </w:r>
      <w:r>
        <w:rPr>
          <w:rFonts w:ascii="Arial" w:cs="Arial" w:eastAsia="Arial" w:hAnsi="Arial"/>
          <w:sz w:val="18"/>
          <w:szCs w:val="18"/>
          <w:color w:val="000000"/>
        </w:rPr>
        <w:t>.</w:t>
      </w:r>
    </w:p>
    <w:p>
      <w:pPr>
        <w:spacing w:after="0" w:line="191"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Commitment Percentage</w:t>
      </w:r>
      <w:r>
        <w:rPr>
          <w:rFonts w:ascii="Arial" w:cs="Arial" w:eastAsia="Arial" w:hAnsi="Arial"/>
          <w:sz w:val="16"/>
          <w:szCs w:val="16"/>
          <w:color w:val="auto"/>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w:t>
      </w:r>
      <w:r>
        <w:rPr>
          <w:rFonts w:ascii="Arial" w:cs="Arial" w:eastAsia="Arial" w:hAnsi="Arial"/>
          <w:sz w:val="16"/>
          <w:szCs w:val="16"/>
          <w:color w:val="FF0000"/>
          <w:strike w:val="1"/>
        </w:rPr>
        <w:t>initial</w:t>
      </w:r>
      <w:r>
        <w:rPr>
          <w:rFonts w:ascii="Arial" w:cs="Arial" w:eastAsia="Arial" w:hAnsi="Arial"/>
          <w:sz w:val="16"/>
          <w:szCs w:val="16"/>
          <w:color w:val="auto"/>
        </w:rPr>
        <w:t xml:space="preserve"> Revolving Credit Commitment Percentage of each Revolving Credit Lender </w:t>
      </w:r>
      <w:r>
        <w:rPr>
          <w:rFonts w:ascii="Arial" w:cs="Arial" w:eastAsia="Arial" w:hAnsi="Arial"/>
          <w:sz w:val="16"/>
          <w:szCs w:val="16"/>
          <w:u w:val="single" w:color="auto"/>
          <w:color w:val="0000FF"/>
        </w:rPr>
        <w:t>on the Fourth Amendment Effective Date</w:t>
      </w:r>
      <w:r>
        <w:rPr>
          <w:rFonts w:ascii="Arial" w:cs="Arial" w:eastAsia="Arial" w:hAnsi="Arial"/>
          <w:sz w:val="16"/>
          <w:szCs w:val="16"/>
          <w:color w:val="auto"/>
        </w:rPr>
        <w:t xml:space="preserve"> is set forth opposite the name of such Lender on </w:t>
      </w:r>
      <w:r>
        <w:rPr>
          <w:rFonts w:ascii="Arial" w:cs="Arial" w:eastAsia="Arial" w:hAnsi="Arial"/>
          <w:sz w:val="16"/>
          <w:szCs w:val="16"/>
          <w:u w:val="single" w:color="auto"/>
          <w:color w:val="auto"/>
        </w:rPr>
        <w:t>Schedule 1.1(c)</w:t>
      </w:r>
      <w:r>
        <w:rPr>
          <w:rFonts w:ascii="Arial" w:cs="Arial" w:eastAsia="Arial" w:hAnsi="Arial"/>
          <w:sz w:val="16"/>
          <w:szCs w:val="16"/>
          <w:color w:val="auto"/>
        </w:rPr>
        <w: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490" w:right="459" w:bottom="1440" w:gutter="0" w:footer="0" w:header="0"/>
        </w:sectPr>
      </w:pPr>
    </w:p>
    <w:bookmarkStart w:id="87" w:name="page88"/>
    <w:bookmarkEnd w:id="87"/>
    <w:p>
      <w:pPr>
        <w:jc w:val="both"/>
        <w:ind w:left="4" w:right="8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6"/>
          <w:szCs w:val="16"/>
          <w:u w:val="single" w:color="auto"/>
          <w:color w:val="auto"/>
        </w:rPr>
        <w:t>Revolving Credit Exposure</w:t>
      </w:r>
      <w:r>
        <w:rPr>
          <w:rFonts w:ascii="Arial" w:cs="Arial" w:eastAsia="Arial" w:hAnsi="Arial"/>
          <w:sz w:val="16"/>
          <w:szCs w:val="16"/>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24"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xml:space="preserve">” means the revolving credit facility established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color w:val="FF0000"/>
          <w:strike w:val="1"/>
        </w:rPr>
        <w:t>(including any increase established pursuant to</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5.13</w:t>
      </w:r>
      <w:r>
        <w:rPr>
          <w:rFonts w:ascii="Arial" w:cs="Arial" w:eastAsia="Arial" w:hAnsi="Arial"/>
          <w:sz w:val="18"/>
          <w:szCs w:val="18"/>
          <w:color w:val="FF0000"/>
          <w:strike w:val="1"/>
        </w:rPr>
        <w:t>)</w:t>
      </w:r>
      <w:r>
        <w:rPr>
          <w:rFonts w:ascii="Arial" w:cs="Arial" w:eastAsia="Arial" w:hAnsi="Arial"/>
          <w:sz w:val="18"/>
          <w:szCs w:val="18"/>
          <w:color w:val="000000"/>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Lenders</w:t>
      </w:r>
      <w:r>
        <w:rPr>
          <w:rFonts w:ascii="Arial" w:cs="Arial" w:eastAsia="Arial" w:hAnsi="Arial"/>
          <w:sz w:val="18"/>
          <w:szCs w:val="18"/>
          <w:color w:val="auto"/>
        </w:rPr>
        <w:t>” means, collectively, all of the Lenders with a Revolving Credit Commitment.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means any revolving loan made to the Borrower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and all such revolving loans collectively as the context requires.</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Maturity Date</w:t>
      </w:r>
      <w:r>
        <w:rPr>
          <w:rFonts w:ascii="Arial" w:cs="Arial" w:eastAsia="Arial" w:hAnsi="Arial"/>
          <w:sz w:val="18"/>
          <w:szCs w:val="18"/>
          <w:color w:val="auto"/>
        </w:rPr>
        <w:t xml:space="preserve">” means the earliest to occur of (a) </w:t>
      </w:r>
      <w:r>
        <w:rPr>
          <w:rFonts w:ascii="Arial" w:cs="Arial" w:eastAsia="Arial" w:hAnsi="Arial"/>
          <w:sz w:val="18"/>
          <w:szCs w:val="18"/>
          <w:color w:val="FF0000"/>
          <w:strike w:val="1"/>
        </w:rPr>
        <w:t>October 13</w:t>
      </w:r>
      <w:r>
        <w:rPr>
          <w:rFonts w:ascii="Arial" w:cs="Arial" w:eastAsia="Arial" w:hAnsi="Arial"/>
          <w:sz w:val="18"/>
          <w:szCs w:val="18"/>
          <w:u w:val="single" w:color="auto"/>
          <w:color w:val="0000FF"/>
        </w:rPr>
        <w:t>May 15</w:t>
      </w:r>
      <w:r>
        <w:rPr>
          <w:rFonts w:ascii="Arial" w:cs="Arial" w:eastAsia="Arial" w:hAnsi="Arial"/>
          <w:sz w:val="18"/>
          <w:szCs w:val="18"/>
          <w:color w:val="auto"/>
        </w:rPr>
        <w:t>, 202</w:t>
      </w:r>
      <w:r>
        <w:rPr>
          <w:rFonts w:ascii="Arial" w:cs="Arial" w:eastAsia="Arial" w:hAnsi="Arial"/>
          <w:sz w:val="18"/>
          <w:szCs w:val="18"/>
          <w:color w:val="FF0000"/>
          <w:strike w:val="1"/>
        </w:rPr>
        <w:t>3</w:t>
      </w:r>
      <w:r>
        <w:rPr>
          <w:rFonts w:ascii="Arial" w:cs="Arial" w:eastAsia="Arial" w:hAnsi="Arial"/>
          <w:sz w:val="18"/>
          <w:szCs w:val="18"/>
          <w:u w:val="single" w:color="auto"/>
          <w:color w:val="0000FF"/>
        </w:rPr>
        <w:t>5</w:t>
      </w:r>
      <w:r>
        <w:rPr>
          <w:rFonts w:ascii="Arial" w:cs="Arial" w:eastAsia="Arial" w:hAnsi="Arial"/>
          <w:sz w:val="18"/>
          <w:szCs w:val="18"/>
          <w:color w:val="auto"/>
        </w:rPr>
        <w:t xml:space="preserve">, (b) the date of termination of the entire Revolving Credit Commitment by the Borrower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(c) the date of termination of the Revolving Credit Commitment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184"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the Borrower in favor of a Revolving Credit Lender evidencing the Revolving Credit Loans made by such Revolving Credit Lender, substantially in the form attached as </w:t>
      </w:r>
      <w:r>
        <w:rPr>
          <w:rFonts w:ascii="Arial" w:cs="Arial" w:eastAsia="Arial" w:hAnsi="Arial"/>
          <w:sz w:val="18"/>
          <w:szCs w:val="18"/>
          <w:b w:val="1"/>
          <w:bCs w:val="1"/>
          <w:i w:val="1"/>
          <w:iCs w:val="1"/>
          <w:color w:val="auto"/>
        </w:rPr>
        <w:t>Exhibit A-1</w:t>
      </w:r>
      <w:r>
        <w:rPr>
          <w:rFonts w:ascii="Arial" w:cs="Arial" w:eastAsia="Arial" w:hAnsi="Arial"/>
          <w:sz w:val="18"/>
          <w:szCs w:val="18"/>
          <w:color w:val="auto"/>
        </w:rPr>
        <w:t>, and any substitutes therefor, and any replacements, restatements, renewals or extension thereof, in whole or in part.</w:t>
      </w:r>
    </w:p>
    <w:p>
      <w:pPr>
        <w:spacing w:after="0" w:line="184"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Outstandings</w:t>
      </w:r>
      <w:r>
        <w:rPr>
          <w:rFonts w:ascii="Arial" w:cs="Arial" w:eastAsia="Arial" w:hAnsi="Arial"/>
          <w:sz w:val="18"/>
          <w:szCs w:val="18"/>
          <w:color w:val="auto"/>
        </w:rPr>
        <w:t xml:space="preserve">” means the sum of (a) with respect to Revolving Credit Loans and Swingline Loans on any date, the Dollar Equivalent amount of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 respect to any L/C Obligations on any date, the Dollar Equivalent amount of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9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u w:val="single" w:color="auto"/>
          <w:color w:val="0000FF"/>
        </w:rPr>
        <w:t>“RFR” means, for any Obligations, interest, fees, commissions or other amounts denominated in, or calculated with respect to, (a) Dollars, SOFR and (b) Sterling, SONIA.</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0000FF"/>
        </w:rPr>
        <w:t>“RFR Business Day” means, for any Obligations, interest, fees, commissions or other amounts denominated in, or calculated with respect to,</w:t>
      </w:r>
    </w:p>
    <w:p>
      <w:pPr>
        <w:spacing w:after="0" w:line="46" w:lineRule="exact"/>
        <w:rPr>
          <w:sz w:val="20"/>
          <w:szCs w:val="20"/>
          <w:color w:val="auto"/>
        </w:rPr>
      </w:pPr>
    </w:p>
    <w:p>
      <w:pPr>
        <w:ind w:left="4" w:right="420" w:hanging="4"/>
        <w:spacing w:after="0" w:line="295" w:lineRule="auto"/>
        <w:tabs>
          <w:tab w:leader="none" w:pos="249" w:val="left"/>
        </w:tabs>
        <w:numPr>
          <w:ilvl w:val="0"/>
          <w:numId w:val="5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 (b) Sterling, any day except for (i) a Saturday, (ii) a Sunday or (iii) a day on which banks are closed for general business in London; provided, that for purposes of notice requirements in Sections 2.3(a), 2.4(c), 4.2(a), 4.4(a) and 5.2, in each case, such day is also a Business Day.</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“RFR Loan” means a Term SOFR Loan or a Daily Simple SONIA Loan, as the context may require.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“RFR Rate Day” means any day pursuant to which any calculation of on RFR is made.</w:t>
      </w:r>
    </w:p>
    <w:p>
      <w:pPr>
        <w:spacing w:after="0" w:line="15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4"/>
          </w:cols>
          <w:pgMar w:left="436" w:top="490" w:right="519" w:bottom="1440" w:gutter="0" w:footer="0" w:header="0"/>
        </w:sectPr>
      </w:pPr>
    </w:p>
    <w:bookmarkStart w:id="88" w:name="page89"/>
    <w:bookmarkEnd w:id="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 a division of S&amp;P Global Inc. and any successor thereto.</w:t>
      </w:r>
    </w:p>
    <w:p>
      <w:pPr>
        <w:spacing w:after="0" w:line="22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xml:space="preserve">” means (a) with respect to disbursements and payments in Dollars, immediately available funds, and (b) with respect to disbursements and payments in an Alternative Currency or an Alternative L/C Currency, same day or other funds as may be determined by the Administrative Agent or </w:t>
      </w:r>
      <w:r>
        <w:rPr>
          <w:rFonts w:ascii="Arial" w:cs="Arial" w:eastAsia="Arial" w:hAnsi="Arial"/>
          <w:sz w:val="16"/>
          <w:szCs w:val="16"/>
          <w:color w:val="FF0000"/>
          <w:strike w:val="1"/>
        </w:rPr>
        <w:t>an</w:t>
      </w:r>
      <w:r>
        <w:rPr>
          <w:rFonts w:ascii="Arial" w:cs="Arial" w:eastAsia="Arial" w:hAnsi="Arial"/>
          <w:sz w:val="16"/>
          <w:szCs w:val="16"/>
          <w:u w:val="single" w:color="auto"/>
          <w:color w:val="0000FF"/>
        </w:rPr>
        <w:t>the applicable</w:t>
      </w:r>
      <w:r>
        <w:rPr>
          <w:rFonts w:ascii="Arial" w:cs="Arial" w:eastAsia="Arial" w:hAnsi="Arial"/>
          <w:sz w:val="16"/>
          <w:szCs w:val="16"/>
          <w:color w:val="auto"/>
        </w:rPr>
        <w:t xml:space="preserve"> Issuing Lender</w:t>
      </w:r>
      <w:r>
        <w:rPr>
          <w:rFonts w:ascii="Arial" w:cs="Arial" w:eastAsia="Arial" w:hAnsi="Arial"/>
          <w:sz w:val="16"/>
          <w:szCs w:val="16"/>
          <w:color w:val="FF0000"/>
          <w:strike w:val="1"/>
        </w:rPr>
        <w:t>, as applicable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(with notice thereof to the Administrative Agent)</w:t>
      </w:r>
      <w:r>
        <w:rPr>
          <w:rFonts w:ascii="Arial" w:cs="Arial" w:eastAsia="Arial" w:hAnsi="Arial"/>
          <w:sz w:val="16"/>
          <w:szCs w:val="16"/>
          <w:color w:val="auto"/>
        </w:rPr>
        <w:t>, to be customary in the place of disbursement or payment for the settlement of international banking transactions in the relevant Alternative Currency or Alternative L/C Currency.</w:t>
      </w:r>
    </w:p>
    <w:p>
      <w:pPr>
        <w:spacing w:after="0" w:line="15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means at any time, a country, region or territory which is itself </w:t>
      </w:r>
      <w:r>
        <w:rPr>
          <w:rFonts w:ascii="Arial" w:cs="Arial" w:eastAsia="Arial" w:hAnsi="Arial"/>
          <w:sz w:val="18"/>
          <w:szCs w:val="18"/>
          <w:u w:val="single" w:color="auto"/>
          <w:color w:val="0000FF"/>
        </w:rPr>
        <w:t>(or whose government is)</w:t>
      </w:r>
      <w:r>
        <w:rPr>
          <w:rFonts w:ascii="Arial" w:cs="Arial" w:eastAsia="Arial" w:hAnsi="Arial"/>
          <w:sz w:val="18"/>
          <w:szCs w:val="18"/>
          <w:color w:val="auto"/>
        </w:rPr>
        <w:t xml:space="preserve"> the subject or target of any Sanctions (including, as of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Fourth Amendment Effective</w:t>
      </w:r>
      <w:r>
        <w:rPr>
          <w:rFonts w:ascii="Arial" w:cs="Arial" w:eastAsia="Arial" w:hAnsi="Arial"/>
          <w:sz w:val="18"/>
          <w:szCs w:val="18"/>
          <w:color w:val="auto"/>
        </w:rPr>
        <w:t xml:space="preserve"> Date, Cuba, Iran, North Korea, Syria </w:t>
      </w:r>
      <w:r>
        <w:rPr>
          <w:rFonts w:ascii="Arial" w:cs="Arial" w:eastAsia="Arial" w:hAnsi="Arial"/>
          <w:sz w:val="18"/>
          <w:szCs w:val="18"/>
          <w:color w:val="FF0000"/>
        </w:rPr>
        <w:t>and Crimea)</w:t>
      </w:r>
      <w:r>
        <w:rPr>
          <w:rFonts w:ascii="Arial" w:cs="Arial" w:eastAsia="Arial" w:hAnsi="Arial"/>
          <w:sz w:val="18"/>
          <w:szCs w:val="18"/>
          <w:u w:val="single" w:color="auto"/>
          <w:color w:val="0000FF"/>
        </w:rPr>
        <w:t>, Venezuela, Crimea, and the so-called People’s Republics of Donetsk and Luhansk</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-225425</wp:posOffset>
            </wp:positionV>
            <wp:extent cx="5962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1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xml:space="preserve">” means, at any time, (a) any Person listed in any Sanctions-related list of designated Persons maintained by OFAC (including, without limitation, OFAC’s Specially Designated Nationals and Blocked Persons List and OFAC’s Consolidated Non-SDN List), the U.S. Department of State, the United Nations Security Council, the European Union, any European member state, </w:t>
      </w:r>
      <w:r>
        <w:rPr>
          <w:rFonts w:ascii="Arial" w:cs="Arial" w:eastAsia="Arial" w:hAnsi="Arial"/>
          <w:sz w:val="18"/>
          <w:szCs w:val="18"/>
          <w:color w:val="FF0000"/>
          <w:strike w:val="1"/>
        </w:rPr>
        <w:t>Her</w:t>
      </w:r>
      <w:r>
        <w:rPr>
          <w:rFonts w:ascii="Arial" w:cs="Arial" w:eastAsia="Arial" w:hAnsi="Arial"/>
          <w:sz w:val="18"/>
          <w:szCs w:val="18"/>
          <w:u w:val="single" w:color="auto"/>
          <w:color w:val="0000FF"/>
        </w:rPr>
        <w:t>His</w:t>
      </w:r>
      <w:r>
        <w:rPr>
          <w:rFonts w:ascii="Arial" w:cs="Arial" w:eastAsia="Arial" w:hAnsi="Arial"/>
          <w:sz w:val="18"/>
          <w:szCs w:val="18"/>
          <w:color w:val="auto"/>
        </w:rPr>
        <w:t xml:space="preserve"> Majesty’s Treasury, or other relevant sanctions authority, (b) any Person operating, organized or resident in a Sanctioned Country, except to the extent licensed or otherwise approved and not prohibited by the applicable authority imposing such Sanctions, or (c) any Person owned or Controlled by any such Person or Persons described in clauses (a) and (b), including a Person that is deemed by OFAC to be a Sanctions target based on the ownership of such legal entity by Sanctioned Peron(s).</w:t>
      </w:r>
    </w:p>
    <w:p>
      <w:pPr>
        <w:spacing w:after="0" w:line="195" w:lineRule="exact"/>
        <w:rPr>
          <w:sz w:val="20"/>
          <w:szCs w:val="20"/>
          <w:color w:val="auto"/>
        </w:rPr>
      </w:pPr>
    </w:p>
    <w:p>
      <w:pPr>
        <w:jc w:val="both"/>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xml:space="preserve">” means any and all economic or financial sanctions, sectoral sanctions, secondary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w:t>
      </w:r>
      <w:r>
        <w:rPr>
          <w:rFonts w:ascii="Arial" w:cs="Arial" w:eastAsia="Arial" w:hAnsi="Arial"/>
          <w:sz w:val="17"/>
          <w:szCs w:val="17"/>
          <w:color w:val="FF0000"/>
          <w:strike w:val="1"/>
        </w:rPr>
        <w:t>Her</w:t>
      </w:r>
      <w:r>
        <w:rPr>
          <w:rFonts w:ascii="Arial" w:cs="Arial" w:eastAsia="Arial" w:hAnsi="Arial"/>
          <w:sz w:val="17"/>
          <w:szCs w:val="17"/>
          <w:u w:val="single" w:color="auto"/>
          <w:color w:val="0000FF"/>
        </w:rPr>
        <w:t>His</w:t>
      </w:r>
      <w:r>
        <w:rPr>
          <w:rFonts w:ascii="Arial" w:cs="Arial" w:eastAsia="Arial" w:hAnsi="Arial"/>
          <w:sz w:val="17"/>
          <w:szCs w:val="17"/>
          <w:color w:val="auto"/>
        </w:rPr>
        <w:t xml:space="preserve"> Majesty’s Treasury, or other relevant sanctions authority with jurisdiction over any Lender, the Borrower or any of its Subsidiaries.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U.S. Securities and Exchange Commission, or any Governmental Authority succeeding to any of its principal functions.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means August 7, 2020.</w:t>
      </w:r>
    </w:p>
    <w:p>
      <w:pPr>
        <w:spacing w:after="0" w:line="225" w:lineRule="exact"/>
        <w:rPr>
          <w:sz w:val="20"/>
          <w:szCs w:val="20"/>
          <w:color w:val="auto"/>
        </w:rPr>
      </w:pPr>
    </w:p>
    <w:p>
      <w:pPr>
        <w:jc w:val="both"/>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between or among the Borrower or any of its Subsidiaries and any Cash Management Bank.</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Hedge Agreement between or among the Borrower or any of its Subsidiaries and any Hedge Bank, including, without limitation, the Hedge Agreements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(it being acknowledged that this Agreement shall constitute the Loan Agreement referenced therein).</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collectively, (a) the Obligations and (b) all existing or future payment and other obligations owing by any Credit Party under (i) any Secured Hedge Agreement and (ii) any Secured Cash Management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“Secured Obligations” of a Credit Party shall exclude any Excluded Swap Obligations with respect to such Credit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490" w:right="459" w:bottom="1440" w:gutter="0" w:footer="0" w:header="0"/>
        </w:sectPr>
      </w:pPr>
    </w:p>
    <w:bookmarkStart w:id="89" w:name="page90"/>
    <w:bookmarkEnd w:id="89"/>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Issuing Lenders, the Hedge Banks, the Cash Management Banks, each co-agent or sub-agent appointed by the Administrative Agent from time to time pursuant to </w:t>
      </w:r>
      <w:r>
        <w:rPr>
          <w:rFonts w:ascii="Arial" w:cs="Arial" w:eastAsia="Arial" w:hAnsi="Arial"/>
          <w:sz w:val="18"/>
          <w:szCs w:val="18"/>
          <w:u w:val="single" w:color="auto"/>
          <w:color w:val="auto"/>
        </w:rPr>
        <w:t>Section 11.5</w:t>
      </w:r>
      <w:r>
        <w:rPr>
          <w:rFonts w:ascii="Arial" w:cs="Arial" w:eastAsia="Arial" w:hAnsi="Arial"/>
          <w:sz w:val="18"/>
          <w:szCs w:val="18"/>
          <w:color w:val="auto"/>
        </w:rPr>
        <w:t>, any other holder from time to time of any of any Secured Obligations and, in each case, their respective successors and permitted assigns.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008000"/>
          <w:strike w:val="1"/>
        </w:rPr>
        <w:t>“</w:t>
      </w:r>
      <w:r>
        <w:rPr>
          <w:rFonts w:ascii="Arial" w:cs="Arial" w:eastAsia="Arial" w:hAnsi="Arial"/>
          <w:sz w:val="18"/>
          <w:szCs w:val="18"/>
          <w:u w:val="single" w:color="auto"/>
          <w:color w:val="008000"/>
          <w:strike w:val="1"/>
        </w:rPr>
        <w:t>Securities Act</w:t>
      </w:r>
      <w:r>
        <w:rPr>
          <w:rFonts w:ascii="Arial" w:cs="Arial" w:eastAsia="Arial" w:hAnsi="Arial"/>
          <w:sz w:val="18"/>
          <w:szCs w:val="18"/>
          <w:color w:val="008000"/>
          <w:strike w:val="1"/>
        </w:rPr>
        <w:t xml:space="preserve">” means the Securities Act of 1933 (15 U.S.C. § 77 </w:t>
      </w:r>
      <w:r>
        <w:rPr>
          <w:rFonts w:ascii="Arial" w:cs="Arial" w:eastAsia="Arial" w:hAnsi="Arial"/>
          <w:sz w:val="18"/>
          <w:szCs w:val="18"/>
          <w:i w:val="1"/>
          <w:iCs w:val="1"/>
          <w:color w:val="008000"/>
          <w:strike w:val="1"/>
        </w:rPr>
        <w:t>et seq</w:t>
      </w:r>
      <w:r>
        <w:rPr>
          <w:rFonts w:ascii="Arial" w:cs="Arial" w:eastAsia="Arial" w:hAnsi="Arial"/>
          <w:sz w:val="18"/>
          <w:szCs w:val="18"/>
          <w:color w:val="008000"/>
          <w:strike w:val="1"/>
        </w:rPr>
        <w: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shall mean an agreement substantially in form and substance reasonably satisfactory to the Administrative Agent establishing the Administrative Agent’s “control” (as such term is defined in Section 9-104 of the UCC) with respect to, or otherwise perfecting (in any comparable manner as required under the laws of any applicable non-U.S. jurisdiction) the Administrative Agent’s Lien on, any securities account.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8000"/>
        </w:rPr>
        <w:t xml:space="preserve">“Securities Act” means the Securities Act of 1933 (15 U.S.C. § 77 </w:t>
      </w:r>
      <w:r>
        <w:rPr>
          <w:rFonts w:ascii="Arial" w:cs="Arial" w:eastAsia="Arial" w:hAnsi="Arial"/>
          <w:sz w:val="18"/>
          <w:szCs w:val="18"/>
          <w:i w:val="1"/>
          <w:iCs w:val="1"/>
          <w:u w:val="single" w:color="auto"/>
          <w:color w:val="008000"/>
        </w:rPr>
        <w:t>et seq</w:t>
      </w:r>
      <w:r>
        <w:rPr>
          <w:rFonts w:ascii="Arial" w:cs="Arial" w:eastAsia="Arial" w:hAnsi="Arial"/>
          <w:sz w:val="18"/>
          <w:szCs w:val="18"/>
          <w:u w:val="single" w:color="auto"/>
          <w:color w:val="008000"/>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Social Security Act</w:t>
      </w:r>
      <w:r>
        <w:rPr>
          <w:rFonts w:ascii="Arial" w:cs="Arial" w:eastAsia="Arial" w:hAnsi="Arial"/>
          <w:sz w:val="18"/>
          <w:szCs w:val="18"/>
          <w:color w:val="auto"/>
        </w:rPr>
        <w:t>” means the Social Security Act of 1965.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“SOFR”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“SOFR Administrator” means the Federal Reserve Bank of New York (or a successor administrator of the secured overnight financing rate).</w:t>
      </w:r>
    </w:p>
    <w:p>
      <w:pPr>
        <w:spacing w:after="0" w:line="23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“SONIA” means a rate equal to the Sterling Overnight Index Average as administered by the SONIA Administrator.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“SONIA Adjustment” means a percentage equal to 0.0326% per annum.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“SONIA Administrator” means the Bank of England (or any successor administrator of the Sterling Overnight Index Average).</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u w:val="single" w:color="auto"/>
          <w:color w:val="0000FF"/>
        </w:rPr>
        <w:t>“SONIA Administrator’s Website”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Notice Currency</w:t>
      </w:r>
      <w:r>
        <w:rPr>
          <w:rFonts w:ascii="Arial" w:cs="Arial" w:eastAsia="Arial" w:hAnsi="Arial"/>
          <w:sz w:val="17"/>
          <w:szCs w:val="17"/>
          <w:color w:val="auto"/>
        </w:rPr>
        <w:t xml:space="preserve">” means at any time an Alternative Currency or Alternative L/C Currency, other than the currency of a country that is a member of the Organization for Economic Cooperation and Development at such time located in North America </w:t>
      </w:r>
      <w:r>
        <w:rPr>
          <w:rFonts w:ascii="Arial" w:cs="Arial" w:eastAsia="Arial" w:hAnsi="Arial"/>
          <w:sz w:val="17"/>
          <w:szCs w:val="17"/>
          <w:color w:val="FF0000"/>
        </w:rPr>
        <w:t>or Europe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5138420</wp:posOffset>
            </wp:positionH>
            <wp:positionV relativeFrom="paragraph">
              <wp:posOffset>-111760</wp:posOffset>
            </wp:positionV>
            <wp:extent cx="4826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490" w:right="45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Specified Candidate Program</w:t>
      </w:r>
      <w:r>
        <w:rPr>
          <w:rFonts w:ascii="Arial" w:cs="Arial" w:eastAsia="Arial" w:hAnsi="Arial"/>
          <w:sz w:val="18"/>
          <w:szCs w:val="18"/>
          <w:color w:val="auto"/>
        </w:rPr>
        <w:t xml:space="preserve">” means each of the drug candidate programs identified on </w:t>
      </w:r>
      <w:r>
        <w:rPr>
          <w:rFonts w:ascii="Arial" w:cs="Arial" w:eastAsia="Arial" w:hAnsi="Arial"/>
          <w:sz w:val="18"/>
          <w:szCs w:val="18"/>
          <w:u w:val="single" w:color="auto"/>
          <w:color w:val="auto"/>
        </w:rPr>
        <w:t>Schedule 1.1(d)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Disposition</w:t>
      </w:r>
      <w:r>
        <w:rPr>
          <w:rFonts w:ascii="Arial" w:cs="Arial" w:eastAsia="Arial" w:hAnsi="Arial"/>
          <w:sz w:val="18"/>
          <w:szCs w:val="18"/>
          <w:color w:val="auto"/>
        </w:rPr>
        <w:t>” means any Disposition having gross sales proceeds in excess of the Threshold Amount.</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(in each case with respect to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7.1(b)(ii)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7.2(a)</w:t>
      </w:r>
      <w:r>
        <w:rPr>
          <w:rFonts w:ascii="Arial" w:cs="Arial" w:eastAsia="Arial" w:hAnsi="Arial"/>
          <w:sz w:val="18"/>
          <w:szCs w:val="18"/>
          <w:color w:val="auto"/>
        </w:rPr>
        <w:t xml:space="preserve">, relating to the entering into and performance of the Loan Documents and the incurrence of the Initial Term Loan),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7.19</w:t>
      </w:r>
      <w:r>
        <w:rPr>
          <w:rFonts w:ascii="Arial" w:cs="Arial" w:eastAsia="Arial" w:hAnsi="Arial"/>
          <w:sz w:val="18"/>
          <w:szCs w:val="18"/>
          <w:color w:val="auto"/>
        </w:rPr>
        <w:t xml:space="preserve"> (as of the Closing Date and after giving effect to the Transactions) and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18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u w:val="single" w:color="auto"/>
          <w:color w:val="0000FF"/>
        </w:rPr>
        <w:t>“Spot Rate” means, subject to Section 1.11, for a Currency, the rate provided (either by publication or otherwise provided or made available to the Administrative Agent or the applicable Issuing Lender (with notice to the Administrative Agent)) by Thomson Reuters Corp. (or equivalent service chosen by the Administrative Agent in its reasonable discretion)</w:t>
      </w:r>
      <w:r>
        <w:rPr>
          <w:rFonts w:ascii="Arial" w:cs="Arial" w:eastAsia="Arial" w:hAnsi="Arial"/>
          <w:sz w:val="16"/>
          <w:szCs w:val="16"/>
          <w:color w:val="0000FF"/>
        </w:rPr>
        <w:t xml:space="preserve"> </w:t>
      </w:r>
      <w:r>
        <w:rPr>
          <w:rFonts w:ascii="Arial" w:cs="Arial" w:eastAsia="Arial" w:hAnsi="Arial"/>
          <w:sz w:val="16"/>
          <w:szCs w:val="16"/>
          <w:color w:val="008000"/>
        </w:rPr>
        <w:t>as the spot rate for the purchase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of such Currency with another currency at a time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selected</w:t>
      </w:r>
      <w:r>
        <w:rPr>
          <w:rFonts w:ascii="Arial" w:cs="Arial" w:eastAsia="Arial" w:hAnsi="Arial"/>
          <w:sz w:val="16"/>
          <w:szCs w:val="16"/>
          <w:color w:val="0000FF"/>
        </w:rPr>
        <w:t xml:space="preserve"> </w:t>
      </w:r>
      <w:r>
        <w:rPr>
          <w:rFonts w:ascii="Arial" w:cs="Arial" w:eastAsia="Arial" w:hAnsi="Arial"/>
          <w:sz w:val="16"/>
          <w:szCs w:val="16"/>
          <w:color w:val="008000"/>
        </w:rPr>
        <w:t>by the Administrative Agent 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the applicable Issuing Lender (with notice to the Administrative Agent) on the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-165100</wp:posOffset>
            </wp:positionV>
            <wp:extent cx="15087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-190500</wp:posOffset>
            </wp:positionV>
            <wp:extent cx="15036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0368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-27940</wp:posOffset>
            </wp:positionV>
            <wp:extent cx="1474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-53340</wp:posOffset>
            </wp:positionV>
            <wp:extent cx="14725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3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Spot Rate</w:t>
      </w:r>
      <w:r>
        <w:rPr>
          <w:rFonts w:ascii="Arial" w:cs="Arial" w:eastAsia="Arial" w:hAnsi="Arial"/>
          <w:sz w:val="17"/>
          <w:szCs w:val="17"/>
          <w:color w:val="FF0000"/>
          <w:strike w:val="1"/>
        </w:rPr>
        <w:t xml:space="preserve">” for a currency means the rate determined by the Administrative Agent or an Issuing Lender, as applicable, to be the rate quoted by the Person acting in such capacity </w:t>
      </w:r>
      <w:r>
        <w:rPr>
          <w:rFonts w:ascii="Arial" w:cs="Arial" w:eastAsia="Arial" w:hAnsi="Arial"/>
          <w:sz w:val="17"/>
          <w:szCs w:val="17"/>
          <w:color w:val="008000"/>
          <w:strike w:val="1"/>
        </w:rPr>
        <w:t>as the spot rate for the purchase</w:t>
      </w:r>
      <w:r>
        <w:rPr>
          <w:rFonts w:ascii="Arial" w:cs="Arial" w:eastAsia="Arial" w:hAnsi="Arial"/>
          <w:sz w:val="17"/>
          <w:szCs w:val="17"/>
          <w:color w:val="FF0000"/>
          <w:strike w:val="1"/>
        </w:rPr>
        <w:t xml:space="preserv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the Administrative Agent or an Issuing Lender, as the case may be, may obtain such spot rate from another financial institution designated </w:t>
      </w:r>
      <w:r>
        <w:rPr>
          <w:rFonts w:ascii="Arial" w:cs="Arial" w:eastAsia="Arial" w:hAnsi="Arial"/>
          <w:sz w:val="17"/>
          <w:szCs w:val="17"/>
          <w:color w:val="008000"/>
          <w:strike w:val="1"/>
        </w:rPr>
        <w:t>by the Administrative Agent or</w:t>
      </w:r>
      <w:r>
        <w:rPr>
          <w:rFonts w:ascii="Arial" w:cs="Arial" w:eastAsia="Arial" w:hAnsi="Arial"/>
          <w:sz w:val="17"/>
          <w:szCs w:val="17"/>
          <w:color w:val="FF0000"/>
          <w:strike w:val="1"/>
        </w:rPr>
        <w:t xml:space="preserve"> such Issuing Lender if the Person acting in such capacity does not have as of the date of determination a spot buying rate for any such currency; </w:t>
      </w:r>
      <w:r>
        <w:rPr>
          <w:rFonts w:ascii="Arial" w:cs="Arial" w:eastAsia="Arial" w:hAnsi="Arial"/>
          <w:sz w:val="17"/>
          <w:szCs w:val="17"/>
          <w:u w:val="single" w:color="auto"/>
          <w:color w:val="FF0000"/>
          <w:strike w:val="1"/>
        </w:rPr>
        <w:t>provided further</w:t>
      </w:r>
      <w:r>
        <w:rPr>
          <w:rFonts w:ascii="Arial" w:cs="Arial" w:eastAsia="Arial" w:hAnsi="Arial"/>
          <w:sz w:val="17"/>
          <w:szCs w:val="17"/>
          <w:color w:val="FF0000"/>
          <w:strike w:val="1"/>
        </w:rPr>
        <w:t xml:space="preserve"> that an Issuing Lender may use such spot rate quoted on the date as of which the foreign exchange computation is made in the case of </w:t>
      </w:r>
      <w:r>
        <w:rPr>
          <w:rFonts w:ascii="Arial" w:cs="Arial" w:eastAsia="Arial" w:hAnsi="Arial"/>
          <w:sz w:val="17"/>
          <w:szCs w:val="17"/>
          <w:color w:val="008000"/>
          <w:strike w:val="1"/>
        </w:rPr>
        <w:t>any Letter of Credit denominated in an Alternative L/C Currency</w:t>
      </w:r>
      <w:r>
        <w:rPr>
          <w:rFonts w:ascii="Arial" w:cs="Arial" w:eastAsia="Arial" w:hAnsi="Arial"/>
          <w:sz w:val="17"/>
          <w:szCs w:val="17"/>
          <w:color w:val="FF0000"/>
          <w:strike w:val="1"/>
        </w:rPr>
        <w: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Indebtedness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jc w:val="center"/>
        <w:ind w:right="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means the collective reference to any Indebtedness incurred by the Borrower or any of its Subsidiaries that is contractually subordinated in right and time of payment to the Obligations on terms and conditions reasonably satisfactory to the Administrative Agent.</w:t>
      </w:r>
    </w:p>
    <w:p>
      <w:pPr>
        <w:spacing w:after="0" w:line="124"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Borrower.</w:t>
      </w:r>
    </w:p>
    <w:p>
      <w:pPr>
        <w:spacing w:after="0" w:line="164"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u w:val="single" w:color="auto"/>
          <w:color w:val="0000FF"/>
        </w:rPr>
        <w:t>“Super Majority Required Lenders” means, at any time, Lenders having Total Credit Exposure representing more than 66.6% of the Total Credit Exposure of all Lenders. The Total Credit Exposure of any Defaulting Lender shall be disregarded in determining Super Majority Required Lenders at any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490" w:right="479" w:bottom="1440" w:gutter="0" w:footer="0" w:header="0"/>
        </w:sectPr>
      </w:pPr>
    </w:p>
    <w:bookmarkStart w:id="91" w:name="page92"/>
    <w:bookmarkEnd w:id="91"/>
    <w:p>
      <w:pPr>
        <w:ind w:left="4"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means, in respect of any one or more Secured Hedge Agreement, after taking into account the effect of any legally enforceable netting agreement relating to such Secured Hedge Agreements, (a) for any date on or after the date such Secured Hedge Agreements have been closed out and termination value(s) determined in accordance therewith, such termination value(s), and (b) for any date prior to the date referenced in clause (a), the amount(s) determined as the mark-to-market value(s) for such Secured Hedge Agreements, as determined based upon one or more mid-market or other readily available quotations provided by any recognized dealer in such Secured Hedge Agreements (which may include a Lender or any Affiliate of a Lender).</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lesser of (a) $</w:t>
      </w:r>
      <w:r>
        <w:rPr>
          <w:rFonts w:ascii="Arial" w:cs="Arial" w:eastAsia="Arial" w:hAnsi="Arial"/>
          <w:sz w:val="18"/>
          <w:szCs w:val="18"/>
          <w:color w:val="FF0000"/>
          <w:strike w:val="1"/>
        </w:rPr>
        <w:t>37,5</w:t>
      </w:r>
      <w:r>
        <w:rPr>
          <w:rFonts w:ascii="Arial" w:cs="Arial" w:eastAsia="Arial" w:hAnsi="Arial"/>
          <w:sz w:val="18"/>
          <w:szCs w:val="18"/>
          <w:u w:val="single" w:color="auto"/>
          <w:color w:val="0000FF"/>
        </w:rPr>
        <w:t>15,0</w:t>
      </w:r>
      <w:r>
        <w:rPr>
          <w:rFonts w:ascii="Arial" w:cs="Arial" w:eastAsia="Arial" w:hAnsi="Arial"/>
          <w:sz w:val="18"/>
          <w:szCs w:val="18"/>
          <w:color w:val="auto"/>
        </w:rPr>
        <w:t>00,000 and (b) the Revolving Credit Commitment.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Facility</w:t>
      </w:r>
      <w:r>
        <w:rPr>
          <w:rFonts w:ascii="Arial" w:cs="Arial" w:eastAsia="Arial" w:hAnsi="Arial"/>
          <w:sz w:val="18"/>
          <w:szCs w:val="18"/>
          <w:color w:val="auto"/>
        </w:rPr>
        <w:t xml:space="preserve">” means the swingline facility established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Wells Fargo in its capacity as swingline lender hereunder or any successor thereto.</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any swingline loan made by the Swingline Lender to the Borrower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and all such swingline loans collectively as the context requires.</w:t>
      </w:r>
    </w:p>
    <w:p>
      <w:pPr>
        <w:spacing w:after="0" w:line="170"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Note</w:t>
      </w:r>
      <w:r>
        <w:rPr>
          <w:rFonts w:ascii="Arial" w:cs="Arial" w:eastAsia="Arial" w:hAnsi="Arial"/>
          <w:sz w:val="18"/>
          <w:szCs w:val="18"/>
          <w:color w:val="auto"/>
        </w:rPr>
        <w:t xml:space="preserve">” means a promissory note made by the Borrower in favor of the Swingline Lender evidencing the Swingline Loans made by the Swingline Lender, substantially in the form attached as </w:t>
      </w:r>
      <w:r>
        <w:rPr>
          <w:rFonts w:ascii="Arial" w:cs="Arial" w:eastAsia="Arial" w:hAnsi="Arial"/>
          <w:sz w:val="18"/>
          <w:szCs w:val="18"/>
          <w:b w:val="1"/>
          <w:bCs w:val="1"/>
          <w:i w:val="1"/>
          <w:iCs w:val="1"/>
          <w:color w:val="auto"/>
        </w:rPr>
        <w:t>Exhibit A-2</w:t>
      </w:r>
      <w:r>
        <w:rPr>
          <w:rFonts w:ascii="Arial" w:cs="Arial" w:eastAsia="Arial" w:hAnsi="Arial"/>
          <w:sz w:val="18"/>
          <w:szCs w:val="18"/>
          <w:color w:val="auto"/>
        </w:rPr>
        <w:t>, and any substitutes therefor, and any replacements, restatements, renewals or extension thereof, in whole or in part.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Participation Amount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2.2(b)(iii)</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jc w:val="both"/>
        <w:ind w:left="4" w:right="180" w:hanging="4"/>
        <w:spacing w:after="0" w:line="255" w:lineRule="auto"/>
        <w:tabs>
          <w:tab w:leader="none" w:pos="2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insolvency or bankruptcy of such Person, would be characterized as the indebtedness of such Person (without regard to accounting treatment).</w:t>
      </w:r>
    </w:p>
    <w:p>
      <w:pPr>
        <w:spacing w:after="0" w:line="190"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TARGET Day</w:t>
      </w:r>
      <w:r>
        <w:rPr>
          <w:rFonts w:ascii="Arial" w:cs="Arial" w:eastAsia="Arial" w:hAnsi="Arial"/>
          <w:sz w:val="18"/>
          <w:szCs w:val="18"/>
          <w:color w:val="FF0000"/>
          <w:strike w:val="1"/>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“T2” means the real time gross settlement system operated by the Eurosystem, or any successor system.</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490" w:right="459" w:bottom="1440" w:gutter="0" w:footer="0" w:header="0"/>
        </w:sectPr>
      </w:pPr>
    </w:p>
    <w:bookmarkStart w:id="92" w:name="page93"/>
    <w:bookmarkEnd w:id="92"/>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“TARGET </w:t>
      </w:r>
      <w:r>
        <w:rPr>
          <w:rFonts w:ascii="Arial" w:cs="Arial" w:eastAsia="Arial" w:hAnsi="Arial"/>
          <w:sz w:val="18"/>
          <w:szCs w:val="18"/>
          <w:u w:val="single" w:color="auto"/>
          <w:color w:val="008000"/>
        </w:rPr>
        <w:t>Day” means any day on which</w:t>
      </w:r>
      <w:r>
        <w:rPr>
          <w:rFonts w:ascii="Arial" w:cs="Arial" w:eastAsia="Arial" w:hAnsi="Arial"/>
          <w:sz w:val="18"/>
          <w:szCs w:val="18"/>
          <w:u w:val="single" w:color="auto"/>
          <w:color w:val="0000FF"/>
        </w:rPr>
        <w:t xml:space="preserve"> T2 is open for the settlement of payments in Euros.</w:t>
      </w:r>
    </w:p>
    <w:p>
      <w:pPr>
        <w:spacing w:after="0" w:line="22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46"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Commitment</w:t>
      </w:r>
      <w:r>
        <w:rPr>
          <w:rFonts w:ascii="Arial" w:cs="Arial" w:eastAsia="Arial" w:hAnsi="Arial"/>
          <w:sz w:val="16"/>
          <w:szCs w:val="16"/>
          <w:color w:val="auto"/>
        </w:rPr>
        <w:t xml:space="preserve">” means (a) as to any Term Loan Lender, the obligation of such Term Loan Lender to make a portion of the Initial Term Loan </w:t>
      </w:r>
      <w:r>
        <w:rPr>
          <w:rFonts w:ascii="Arial" w:cs="Arial" w:eastAsia="Arial" w:hAnsi="Arial"/>
          <w:sz w:val="16"/>
          <w:szCs w:val="16"/>
          <w:color w:val="FF0000"/>
          <w:strike w:val="1"/>
        </w:rPr>
        <w:t>and/or Incremental Term Loans, as applicable,</w:t>
      </w:r>
      <w:r>
        <w:rPr>
          <w:rFonts w:ascii="Arial" w:cs="Arial" w:eastAsia="Arial" w:hAnsi="Arial"/>
          <w:sz w:val="16"/>
          <w:szCs w:val="16"/>
          <w:color w:val="auto"/>
        </w:rPr>
        <w:t xml:space="preserve"> to the account of the Borrower hereunder on the Closing Date </w:t>
      </w:r>
      <w:r>
        <w:rPr>
          <w:rFonts w:ascii="Arial" w:cs="Arial" w:eastAsia="Arial" w:hAnsi="Arial"/>
          <w:sz w:val="16"/>
          <w:szCs w:val="16"/>
          <w:color w:val="FF0000"/>
          <w:strike w:val="1"/>
        </w:rPr>
        <w:t>(in the case of the Initial Term Loan)</w:t>
      </w:r>
      <w:r>
        <w:rPr>
          <w:rFonts w:ascii="Arial" w:cs="Arial" w:eastAsia="Arial" w:hAnsi="Arial"/>
          <w:sz w:val="16"/>
          <w:szCs w:val="16"/>
          <w:color w:val="auto"/>
        </w:rPr>
        <w:t xml:space="preserve"> </w:t>
      </w:r>
      <w:r>
        <w:rPr>
          <w:rFonts w:ascii="Arial" w:cs="Arial" w:eastAsia="Arial" w:hAnsi="Arial"/>
          <w:sz w:val="16"/>
          <w:szCs w:val="16"/>
          <w:color w:val="FF0000"/>
          <w:strike w:val="1"/>
        </w:rPr>
        <w:t>or the applicable borrowing date (in the case of any Incremental Term Loan)</w:t>
      </w:r>
      <w:r>
        <w:rPr>
          <w:rFonts w:ascii="Arial" w:cs="Arial" w:eastAsia="Arial" w:hAnsi="Arial"/>
          <w:sz w:val="16"/>
          <w:szCs w:val="16"/>
          <w:color w:val="FF0000"/>
        </w:rPr>
        <w:t xml:space="preserve"> </w:t>
      </w:r>
      <w:r>
        <w:rPr>
          <w:rFonts w:ascii="Arial" w:cs="Arial" w:eastAsia="Arial" w:hAnsi="Arial"/>
          <w:sz w:val="16"/>
          <w:szCs w:val="16"/>
          <w:color w:val="000000"/>
        </w:rPr>
        <w:t>in an aggregate principal amount not to exceed the amount set forth</w:t>
      </w:r>
      <w:r>
        <w:rPr>
          <w:rFonts w:ascii="Arial" w:cs="Arial" w:eastAsia="Arial" w:hAnsi="Arial"/>
          <w:sz w:val="16"/>
          <w:szCs w:val="16"/>
          <w:color w:val="FF0000"/>
        </w:rPr>
        <w:t xml:space="preserve"> </w:t>
      </w:r>
      <w:r>
        <w:rPr>
          <w:rFonts w:ascii="Arial" w:cs="Arial" w:eastAsia="Arial" w:hAnsi="Arial"/>
          <w:sz w:val="16"/>
          <w:szCs w:val="16"/>
          <w:color w:val="000000"/>
        </w:rPr>
        <w:t xml:space="preserve">opposite such Lender’s name on </w:t>
      </w:r>
      <w:r>
        <w:rPr>
          <w:rFonts w:ascii="Arial" w:cs="Arial" w:eastAsia="Arial" w:hAnsi="Arial"/>
          <w:sz w:val="16"/>
          <w:szCs w:val="16"/>
          <w:u w:val="single" w:color="auto"/>
          <w:color w:val="000000"/>
        </w:rPr>
        <w:t>Schedule 1.1(c)</w:t>
      </w:r>
      <w:r>
        <w:rPr>
          <w:rFonts w:ascii="Arial" w:cs="Arial" w:eastAsia="Arial" w:hAnsi="Arial"/>
          <w:sz w:val="16"/>
          <w:szCs w:val="16"/>
          <w:color w:val="000000"/>
        </w:rPr>
        <w:t xml:space="preserve">, as such amount may be increased, reduced or otherwise modified at any time or from time to time pursuant to the terms hereof and (b) as to all Term Loan Lenders, the aggregate commitment of all Term Loan Lenders to make such Term Loans. The aggregate Term Loan Commitment with respect to the Initial Term Loan of all Term Loan Lenders on the Closing Date shall be $450,000,000. The Term Loan Commitment of each Term Loan Lender as of the Closing Date is set forth opposite the name of such Term Loan Lender on </w:t>
      </w:r>
      <w:r>
        <w:rPr>
          <w:rFonts w:ascii="Arial" w:cs="Arial" w:eastAsia="Arial" w:hAnsi="Arial"/>
          <w:sz w:val="16"/>
          <w:szCs w:val="16"/>
          <w:u w:val="single" w:color="auto"/>
          <w:color w:val="000000"/>
        </w:rPr>
        <w:t>Schedule 1.1(c)</w:t>
      </w:r>
      <w:r>
        <w:rPr>
          <w:rFonts w:ascii="Arial" w:cs="Arial" w:eastAsia="Arial" w:hAnsi="Arial"/>
          <w:sz w:val="16"/>
          <w:szCs w:val="16"/>
          <w:color w:val="000000"/>
        </w:rPr>
        <w:t>.</w:t>
      </w:r>
    </w:p>
    <w:p>
      <w:pPr>
        <w:spacing w:after="0" w:line="16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means the term loan facility established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color w:val="FF0000"/>
          <w:strike w:val="1"/>
        </w:rPr>
        <w:t>(including any new term loan facility established pursuant to</w:t>
      </w:r>
      <w:r>
        <w:rPr>
          <w:rFonts w:ascii="Arial" w:cs="Arial" w:eastAsia="Arial" w:hAnsi="Arial"/>
          <w:sz w:val="18"/>
          <w:szCs w:val="18"/>
          <w:color w:val="auto"/>
        </w:rPr>
        <w:t xml:space="preserve"> </w:t>
      </w:r>
      <w:r>
        <w:rPr>
          <w:rFonts w:ascii="Arial" w:cs="Arial" w:eastAsia="Arial" w:hAnsi="Arial"/>
          <w:sz w:val="18"/>
          <w:szCs w:val="18"/>
          <w:color w:val="FF0000"/>
          <w:strike w:val="1"/>
        </w:rPr>
        <w:t>Section 5.13)</w:t>
      </w:r>
      <w:r>
        <w:rPr>
          <w:rFonts w:ascii="Arial" w:cs="Arial" w:eastAsia="Arial" w:hAnsi="Arial"/>
          <w:sz w:val="18"/>
          <w:szCs w:val="18"/>
          <w:color w:val="000000"/>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any Lender with a Term Loan Commitment and/or outstanding Term Loans.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xml:space="preserve">” means the first to occur of (a) </w:t>
      </w:r>
      <w:r>
        <w:rPr>
          <w:rFonts w:ascii="Arial" w:cs="Arial" w:eastAsia="Arial" w:hAnsi="Arial"/>
          <w:sz w:val="18"/>
          <w:szCs w:val="18"/>
          <w:color w:val="FF0000"/>
          <w:strike w:val="1"/>
        </w:rPr>
        <w:t>October 13</w:t>
      </w:r>
      <w:r>
        <w:rPr>
          <w:rFonts w:ascii="Arial" w:cs="Arial" w:eastAsia="Arial" w:hAnsi="Arial"/>
          <w:sz w:val="18"/>
          <w:szCs w:val="18"/>
          <w:u w:val="single" w:color="auto"/>
          <w:color w:val="0000FF"/>
        </w:rPr>
        <w:t>May 15</w:t>
      </w:r>
      <w:r>
        <w:rPr>
          <w:rFonts w:ascii="Arial" w:cs="Arial" w:eastAsia="Arial" w:hAnsi="Arial"/>
          <w:sz w:val="18"/>
          <w:szCs w:val="18"/>
          <w:color w:val="auto"/>
        </w:rPr>
        <w:t>, 202</w:t>
      </w:r>
      <w:r>
        <w:rPr>
          <w:rFonts w:ascii="Arial" w:cs="Arial" w:eastAsia="Arial" w:hAnsi="Arial"/>
          <w:sz w:val="18"/>
          <w:szCs w:val="18"/>
          <w:color w:val="FF0000"/>
          <w:strike w:val="1"/>
        </w:rPr>
        <w:t>3</w:t>
      </w:r>
      <w:r>
        <w:rPr>
          <w:rFonts w:ascii="Arial" w:cs="Arial" w:eastAsia="Arial" w:hAnsi="Arial"/>
          <w:sz w:val="18"/>
          <w:szCs w:val="18"/>
          <w:u w:val="single" w:color="auto"/>
          <w:color w:val="0000FF"/>
        </w:rPr>
        <w:t>5</w:t>
      </w:r>
      <w:r>
        <w:rPr>
          <w:rFonts w:ascii="Arial" w:cs="Arial" w:eastAsia="Arial" w:hAnsi="Arial"/>
          <w:sz w:val="18"/>
          <w:szCs w:val="18"/>
          <w:color w:val="auto"/>
        </w:rPr>
        <w:t xml:space="preserve"> , and (b) the date of acceleration of the Term Loans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170"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xml:space="preserve">” means a promissory note made by the Borrower in favor of a Term Loan Lender evidencing the portion of the Term Loans made by such Term Loan Lender, substantially in the form attached as </w:t>
      </w:r>
      <w:r>
        <w:rPr>
          <w:rFonts w:ascii="Arial" w:cs="Arial" w:eastAsia="Arial" w:hAnsi="Arial"/>
          <w:sz w:val="18"/>
          <w:szCs w:val="18"/>
          <w:b w:val="1"/>
          <w:bCs w:val="1"/>
          <w:i w:val="1"/>
          <w:iCs w:val="1"/>
          <w:color w:val="auto"/>
        </w:rPr>
        <w:t>Exhibit A-3</w:t>
      </w:r>
      <w:r>
        <w:rPr>
          <w:rFonts w:ascii="Arial" w:cs="Arial" w:eastAsia="Arial" w:hAnsi="Arial"/>
          <w:sz w:val="18"/>
          <w:szCs w:val="18"/>
          <w:color w:val="auto"/>
        </w:rPr>
        <w:t>, and any substitutes therefor, and any replacements, restatements, renewals or extension thereof, in whole or in part.</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Percentage</w:t>
      </w:r>
      <w:r>
        <w:rPr>
          <w:rFonts w:ascii="Arial" w:cs="Arial" w:eastAsia="Arial" w:hAnsi="Arial"/>
          <w:sz w:val="18"/>
          <w:szCs w:val="18"/>
          <w:color w:val="auto"/>
        </w:rPr>
        <w:t xml:space="preserve">” means, with respect to any Term Loan Lender at any time, the percentage of the total outstanding principal balance of the Term Loans represented by the outstanding principal balance of such Term Loan Lender’s Term Loans. The Term Loan Percentage of each Term Loan Lender as of the Closing Date is set forth opposite the name of such Lender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Loans</w:t>
      </w:r>
      <w:r>
        <w:rPr>
          <w:rFonts w:ascii="Arial" w:cs="Arial" w:eastAsia="Arial" w:hAnsi="Arial"/>
          <w:sz w:val="16"/>
          <w:szCs w:val="16"/>
          <w:color w:val="auto"/>
        </w:rPr>
        <w:t xml:space="preserve">” means the Initial Term </w:t>
      </w:r>
      <w:r>
        <w:rPr>
          <w:rFonts w:ascii="Arial" w:cs="Arial" w:eastAsia="Arial" w:hAnsi="Arial"/>
          <w:sz w:val="16"/>
          <w:szCs w:val="16"/>
          <w:color w:val="FF0000"/>
          <w:strike w:val="1"/>
        </w:rPr>
        <w:t>Loans and, if applicable, the Incremental Term</w:t>
      </w:r>
      <w:r>
        <w:rPr>
          <w:rFonts w:ascii="Arial" w:cs="Arial" w:eastAsia="Arial" w:hAnsi="Arial"/>
          <w:sz w:val="16"/>
          <w:szCs w:val="16"/>
          <w:color w:val="auto"/>
        </w:rPr>
        <w:t xml:space="preserve"> Loans and “</w:t>
      </w:r>
      <w:r>
        <w:rPr>
          <w:rFonts w:ascii="Arial" w:cs="Arial" w:eastAsia="Arial" w:hAnsi="Arial"/>
          <w:sz w:val="16"/>
          <w:szCs w:val="16"/>
          <w:u w:val="single" w:color="auto"/>
          <w:color w:val="auto"/>
        </w:rPr>
        <w:t>Term Loan</w:t>
      </w:r>
      <w:r>
        <w:rPr>
          <w:rFonts w:ascii="Arial" w:cs="Arial" w:eastAsia="Arial" w:hAnsi="Arial"/>
          <w:sz w:val="16"/>
          <w:szCs w:val="16"/>
          <w:color w:val="auto"/>
        </w:rPr>
        <w:t>” means any of such Term Loans.</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“Term SOFR” means,</w:t>
      </w:r>
    </w:p>
    <w:p>
      <w:pPr>
        <w:spacing w:after="0" w:line="117" w:lineRule="exact"/>
        <w:rPr>
          <w:sz w:val="20"/>
          <w:szCs w:val="20"/>
          <w:color w:val="auto"/>
        </w:rPr>
      </w:pPr>
    </w:p>
    <w:p>
      <w:pPr>
        <w:ind w:right="20" w:firstLine="436"/>
        <w:spacing w:after="0" w:line="271" w:lineRule="auto"/>
        <w:tabs>
          <w:tab w:leader="none" w:pos="685" w:val="left"/>
        </w:tabs>
        <w:numPr>
          <w:ilvl w:val="0"/>
          <w:numId w:val="55"/>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for any calculation with respect to a Term SOFR Loan, the Term SOFR Reference Rate for a tenor comparable to the applicable Interest Period on the day (such day, the “Periodic Term SOFR Determination Day”) that is two (2) RFR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490" w:right="459" w:bottom="1440" w:gutter="0" w:footer="0" w:header="0"/>
        </w:sectPr>
      </w:pPr>
    </w:p>
    <w:bookmarkStart w:id="93" w:name="page94"/>
    <w:bookmarkEnd w:id="93"/>
    <w:p>
      <w:pPr>
        <w:ind w:left="4" w:right="100" w:firstLine="436"/>
        <w:spacing w:after="0" w:line="284" w:lineRule="auto"/>
        <w:tabs>
          <w:tab w:leader="none" w:pos="699" w:val="left"/>
        </w:tabs>
        <w:numPr>
          <w:ilvl w:val="1"/>
          <w:numId w:val="5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 any calculation with respect to a Base Rate Loan on any day, the Term SOFR Reference Rate for a tenor of one month on the day (such day, the “Base Rate Term SOFR Determination Day”) that is two (2) RFR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Term SOFR Determination Day; provided, further, that if Term SOFR determined as provided above (including pursuant to the proviso under clause (a) or clause</w:t>
      </w:r>
    </w:p>
    <w:p>
      <w:pPr>
        <w:ind w:left="264" w:hanging="264"/>
        <w:spacing w:after="0"/>
        <w:tabs>
          <w:tab w:leader="none" w:pos="264" w:val="left"/>
        </w:tabs>
        <w:numPr>
          <w:ilvl w:val="0"/>
          <w:numId w:val="5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above) shall ever be less than the Floor, then Term SOFR shall be deemed to be the Floor.</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“Term SOFR Adjustment” means a percentage equal to 0.10% per annum.</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u w:val="single" w:color="auto"/>
          <w:color w:val="0000FF"/>
        </w:rPr>
        <w:t>“Term SOFR Administrator” means CME Group Benchmark Administration Limited (CBA) (or a successor administrator of the Term SOFR Reference Rate selected by the Administrative Agent in its reasonable discretion).</w:t>
      </w:r>
    </w:p>
    <w:p>
      <w:pPr>
        <w:spacing w:after="0" w:line="170"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u w:val="single" w:color="auto"/>
          <w:color w:val="0000FF"/>
        </w:rPr>
        <w:t>“Term SOFR Loan” means any Loan that bears interest at a rate based on Adjusted Term SOFR other than pursuant to clause (c) of the definition of “Base Rate”.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“Term SOFR Reference Rate” means the forward-looking term rate based on SOFR.</w:t>
      </w:r>
    </w:p>
    <w:p>
      <w:pPr>
        <w:spacing w:after="0" w:line="225"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Amendment</w:t>
      </w:r>
      <w:r>
        <w:rPr>
          <w:rFonts w:ascii="Arial" w:cs="Arial" w:eastAsia="Arial" w:hAnsi="Arial"/>
          <w:sz w:val="16"/>
          <w:szCs w:val="16"/>
          <w:color w:val="auto"/>
        </w:rPr>
        <w:t xml:space="preserve">” means </w:t>
      </w:r>
      <w:r>
        <w:rPr>
          <w:rFonts w:ascii="Arial" w:cs="Arial" w:eastAsia="Arial" w:hAnsi="Arial"/>
          <w:sz w:val="16"/>
          <w:szCs w:val="16"/>
          <w:color w:val="FF0000"/>
          <w:strike w:val="1"/>
        </w:rPr>
        <w:t>that certain</w:t>
      </w:r>
      <w:r>
        <w:rPr>
          <w:rFonts w:ascii="Arial" w:cs="Arial" w:eastAsia="Arial" w:hAnsi="Arial"/>
          <w:sz w:val="16"/>
          <w:szCs w:val="16"/>
          <w:u w:val="single" w:color="auto"/>
          <w:color w:val="0000FF"/>
        </w:rPr>
        <w:t>the</w:t>
      </w:r>
      <w:r>
        <w:rPr>
          <w:rFonts w:ascii="Arial" w:cs="Arial" w:eastAsia="Arial" w:hAnsi="Arial"/>
          <w:sz w:val="16"/>
          <w:szCs w:val="16"/>
          <w:color w:val="auto"/>
        </w:rPr>
        <w:t xml:space="preserve"> Consent, Limited Waiver and Third Amendment to Amended and Restated Credit Agreement</w:t>
      </w:r>
      <w:r>
        <w:rPr>
          <w:rFonts w:ascii="Arial" w:cs="Arial" w:eastAsia="Arial" w:hAnsi="Arial"/>
          <w:sz w:val="16"/>
          <w:szCs w:val="16"/>
          <w:color w:val="FF0000"/>
          <w:strike w:val="1"/>
        </w:rPr>
        <w:t>,</w:t>
      </w:r>
      <w:r>
        <w:rPr>
          <w:rFonts w:ascii="Arial" w:cs="Arial" w:eastAsia="Arial" w:hAnsi="Arial"/>
          <w:sz w:val="16"/>
          <w:szCs w:val="16"/>
          <w:color w:val="auto"/>
        </w:rPr>
        <w:t xml:space="preserve"> dated as of </w:t>
      </w:r>
      <w:r>
        <w:rPr>
          <w:rFonts w:ascii="Arial" w:cs="Arial" w:eastAsia="Arial" w:hAnsi="Arial"/>
          <w:sz w:val="16"/>
          <w:szCs w:val="16"/>
          <w:color w:val="FF0000"/>
          <w:strike w:val="1"/>
        </w:rPr>
        <w:t>February 14, 2023, among the Borrower, the Guarantors, the Lenders party thereto and the Administrative Agent</w:t>
      </w:r>
      <w:r>
        <w:rPr>
          <w:rFonts w:ascii="Arial" w:cs="Arial" w:eastAsia="Arial" w:hAnsi="Arial"/>
          <w:sz w:val="16"/>
          <w:szCs w:val="16"/>
          <w:u w:val="single" w:color="auto"/>
          <w:color w:val="0000FF"/>
        </w:rPr>
        <w:t>the Third Amendment Effective Date</w:t>
      </w:r>
      <w:r>
        <w:rPr>
          <w:rFonts w:ascii="Arial" w:cs="Arial" w:eastAsia="Arial" w:hAnsi="Arial"/>
          <w:sz w:val="16"/>
          <w:szCs w:val="16"/>
          <w:color w:val="auto"/>
        </w:rPr>
        <w:t>.</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“Third Amendment Effective Date” means February 14, 2023.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$25,000,000.</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Revolving Credit Exposure and outstanding Term Loans of such Lender at such time.</w:t>
      </w:r>
    </w:p>
    <w:p>
      <w:pPr>
        <w:spacing w:after="0" w:line="170"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collectively, (a) the </w:t>
      </w:r>
      <w:r>
        <w:rPr>
          <w:rFonts w:ascii="Arial" w:cs="Arial" w:eastAsia="Arial" w:hAnsi="Arial"/>
          <w:sz w:val="18"/>
          <w:szCs w:val="18"/>
          <w:color w:val="FF0000"/>
          <w:strike w:val="1"/>
        </w:rPr>
        <w:t>Adapt Acquisition, (b) the</w:t>
      </w:r>
      <w:r>
        <w:rPr>
          <w:rFonts w:ascii="Arial" w:cs="Arial" w:eastAsia="Arial" w:hAnsi="Arial"/>
          <w:sz w:val="18"/>
          <w:szCs w:val="18"/>
          <w:color w:val="auto"/>
        </w:rPr>
        <w:t xml:space="preserve"> refinancing of certain indebtedness of the Borrower and its Subsidiaries, including Indebtedness under the Existing Credit Agreement, (</w:t>
      </w:r>
      <w:r>
        <w:rPr>
          <w:rFonts w:ascii="Arial" w:cs="Arial" w:eastAsia="Arial" w:hAnsi="Arial"/>
          <w:sz w:val="18"/>
          <w:szCs w:val="18"/>
          <w:color w:val="FF0000"/>
          <w:strike w:val="1"/>
        </w:rPr>
        <w:t>c</w:t>
      </w:r>
      <w:r>
        <w:rPr>
          <w:rFonts w:ascii="Arial" w:cs="Arial" w:eastAsia="Arial" w:hAnsi="Arial"/>
          <w:sz w:val="18"/>
          <w:szCs w:val="18"/>
          <w:u w:val="single" w:color="auto"/>
          <w:color w:val="0000FF"/>
        </w:rPr>
        <w:t>b</w:t>
      </w:r>
      <w:r>
        <w:rPr>
          <w:rFonts w:ascii="Arial" w:cs="Arial" w:eastAsia="Arial" w:hAnsi="Arial"/>
          <w:sz w:val="18"/>
          <w:szCs w:val="18"/>
          <w:color w:val="auto"/>
        </w:rPr>
        <w:t>) the initial Extensions of Credit, and (</w:t>
      </w:r>
      <w:r>
        <w:rPr>
          <w:rFonts w:ascii="Arial" w:cs="Arial" w:eastAsia="Arial" w:hAnsi="Arial"/>
          <w:sz w:val="18"/>
          <w:szCs w:val="18"/>
          <w:color w:val="FF0000"/>
          <w:strike w:val="1"/>
        </w:rPr>
        <w:t>d</w:t>
      </w:r>
      <w:r>
        <w:rPr>
          <w:rFonts w:ascii="Arial" w:cs="Arial" w:eastAsia="Arial" w:hAnsi="Arial"/>
          <w:sz w:val="18"/>
          <w:szCs w:val="18"/>
          <w:u w:val="single" w:color="auto"/>
          <w:color w:val="0000FF"/>
        </w:rPr>
        <w:t>c</w:t>
      </w:r>
      <w:r>
        <w:rPr>
          <w:rFonts w:ascii="Arial" w:cs="Arial" w:eastAsia="Arial" w:hAnsi="Arial"/>
          <w:sz w:val="18"/>
          <w:szCs w:val="18"/>
          <w:color w:val="auto"/>
        </w:rPr>
        <w:t>) the payment of fees, commissions, transaction costs and expenses incurred in connection with each of the foregoing.</w:t>
      </w:r>
    </w:p>
    <w:p>
      <w:pPr>
        <w:spacing w:after="0" w:line="184"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u w:val="single" w:color="auto"/>
          <w:color w:val="0000FF"/>
        </w:rPr>
        <w:t>“TSA” means that certain Transition Services Agreement, dated as of May 15, 2023, by and among BAVARIAN NORDIC A/S, a private limited liability company organized under the laws of Denmark, EMERGENT INTERNATIONAL INC., a Delaware corporation, and EMERGENT TRAVEL HEALTH INC., a Delaware corporation.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State of New York.</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4"/>
          </w:cols>
          <w:pgMar w:left="436" w:top="490" w:right="439" w:bottom="1440" w:gutter="0" w:footer="0" w:header="0"/>
        </w:sectPr>
      </w:pPr>
    </w:p>
    <w:bookmarkStart w:id="94" w:name="page95"/>
    <w:bookmarkEnd w:id="94"/>
    <w:p>
      <w:pPr>
        <w:ind w:right="8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7"/>
          <w:szCs w:val="17"/>
          <w:u w:val="single" w:color="auto"/>
          <w:color w:val="auto"/>
        </w:rPr>
        <w:t>UCP</w:t>
      </w:r>
      <w:r>
        <w:rPr>
          <w:rFonts w:ascii="Arial" w:cs="Arial" w:eastAsia="Arial" w:hAnsi="Arial"/>
          <w:sz w:val="17"/>
          <w:szCs w:val="17"/>
          <w:color w:val="auto"/>
        </w:rPr>
        <w:t xml:space="preserve">” means the Uniform Customs and Practice for Documentary Credits, </w:t>
      </w:r>
      <w:r>
        <w:rPr>
          <w:rFonts w:ascii="Arial" w:cs="Arial" w:eastAsia="Arial" w:hAnsi="Arial"/>
          <w:sz w:val="17"/>
          <w:szCs w:val="17"/>
          <w:color w:val="FF0000"/>
          <w:strike w:val="1"/>
        </w:rPr>
        <w:t>as most recently published by the</w:t>
      </w:r>
      <w:r>
        <w:rPr>
          <w:rFonts w:ascii="Arial" w:cs="Arial" w:eastAsia="Arial" w:hAnsi="Arial"/>
          <w:sz w:val="17"/>
          <w:szCs w:val="17"/>
          <w:color w:val="auto"/>
        </w:rPr>
        <w:t xml:space="preserve"> International Chamber of Commerce </w:t>
      </w:r>
      <w:r>
        <w:rPr>
          <w:rFonts w:ascii="Arial" w:cs="Arial" w:eastAsia="Arial" w:hAnsi="Arial"/>
          <w:sz w:val="17"/>
          <w:szCs w:val="17"/>
          <w:color w:val="FF0000"/>
          <w:strike w:val="1"/>
        </w:rPr>
        <w:t>at the</w:t>
      </w:r>
      <w:r>
        <w:rPr>
          <w:rFonts w:ascii="Arial" w:cs="Arial" w:eastAsia="Arial" w:hAnsi="Arial"/>
          <w:sz w:val="17"/>
          <w:szCs w:val="17"/>
          <w:u w:val="single" w:color="auto"/>
          <w:color w:val="0000FF"/>
        </w:rPr>
        <w:t>Publication No. 600 (or such later version thereof as may be in effect at the applicable</w:t>
      </w:r>
      <w:r>
        <w:rPr>
          <w:rFonts w:ascii="Arial" w:cs="Arial" w:eastAsia="Arial" w:hAnsi="Arial"/>
          <w:sz w:val="17"/>
          <w:szCs w:val="17"/>
          <w:color w:val="auto"/>
        </w:rPr>
        <w:t xml:space="preserve"> time </w:t>
      </w:r>
      <w:r>
        <w:rPr>
          <w:rFonts w:ascii="Arial" w:cs="Arial" w:eastAsia="Arial" w:hAnsi="Arial"/>
          <w:sz w:val="17"/>
          <w:szCs w:val="17"/>
          <w:color w:val="FF0000"/>
        </w:rPr>
        <w:t>of issuance</w:t>
      </w:r>
      <w:r>
        <w:rPr>
          <w:rFonts w:ascii="Arial" w:cs="Arial" w:eastAsia="Arial" w:hAnsi="Arial"/>
          <w:sz w:val="17"/>
          <w:szCs w:val="17"/>
          <w:u w:val="single" w:color="auto"/>
          <w:color w:val="0000FF"/>
        </w:rPr>
        <w: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-111760</wp:posOffset>
            </wp:positionV>
            <wp:extent cx="5391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12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u w:val="single" w:color="auto"/>
          <w:color w:val="0000FF"/>
        </w:rPr>
        <w:t>“Unadjusted Benchmark Replacement” means the applicable Benchmark Replacement excluding the related Benchmark Replacement Adjustment.</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Uninsured Liabilities</w:t>
      </w:r>
      <w:r>
        <w:rPr>
          <w:rFonts w:ascii="Arial" w:cs="Arial" w:eastAsia="Arial" w:hAnsi="Arial"/>
          <w:sz w:val="17"/>
          <w:szCs w:val="17"/>
          <w:color w:val="auto"/>
        </w:rPr>
        <w:t>” shall mean any losses, damages, costs, expenses and/or, liabilities (including any losses, damages, costs, expenses or liabilities resulting from property damage or casualty, general liability, workers’ compensation claims and business interruption) incurred by the Borrower or any Subsidiary which are not covered by insurance, but with respect to which insurance coverage is commercially available in the ordinary course of business to Persons engaged in the same or similar business as the Borrower and its Subsidiaries.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Cash and Cash Equivalents</w:t>
      </w:r>
      <w:r>
        <w:rPr>
          <w:rFonts w:ascii="Arial" w:cs="Arial" w:eastAsia="Arial" w:hAnsi="Arial"/>
          <w:sz w:val="16"/>
          <w:szCs w:val="16"/>
          <w:color w:val="auto"/>
        </w:rPr>
        <w:t xml:space="preserve">” means, as of any date of determination, the sum of (a) 100% of all cash and Cash Equivalents held by the Borrower and its Subsidiaries in deposit accounts or securities accounts located within the United States and (b) </w:t>
      </w:r>
      <w:r>
        <w:rPr>
          <w:rFonts w:ascii="Arial" w:cs="Arial" w:eastAsia="Arial" w:hAnsi="Arial"/>
          <w:sz w:val="16"/>
          <w:szCs w:val="16"/>
          <w:color w:val="FF0000"/>
          <w:strike w:val="1"/>
        </w:rPr>
        <w:t>80</w:t>
      </w:r>
      <w:r>
        <w:rPr>
          <w:rFonts w:ascii="Arial" w:cs="Arial" w:eastAsia="Arial" w:hAnsi="Arial"/>
          <w:sz w:val="16"/>
          <w:szCs w:val="16"/>
          <w:u w:val="single" w:color="auto"/>
          <w:color w:val="0000FF"/>
        </w:rPr>
        <w:t>100</w:t>
      </w:r>
      <w:r>
        <w:rPr>
          <w:rFonts w:ascii="Arial" w:cs="Arial" w:eastAsia="Arial" w:hAnsi="Arial"/>
          <w:sz w:val="16"/>
          <w:szCs w:val="16"/>
          <w:color w:val="auto"/>
        </w:rPr>
        <w:t xml:space="preserve">% of all cash and Cash Equivalents held by the Borrower and its Subsidiaries in deposit accounts or securities accounts located outside of the United States, in each case that are unrestricted and not subject to any Lien (other than a Lien in favor of the Administrative Agent or a Lien permitted under </w:t>
      </w:r>
      <w:r>
        <w:rPr>
          <w:rFonts w:ascii="Arial" w:cs="Arial" w:eastAsia="Arial" w:hAnsi="Arial"/>
          <w:sz w:val="16"/>
          <w:szCs w:val="16"/>
          <w:u w:val="single" w:color="auto"/>
          <w:color w:val="auto"/>
        </w:rPr>
        <w:t>Section 9.1(l)</w:t>
      </w:r>
      <w:r>
        <w:rPr>
          <w:rFonts w:ascii="Arial" w:cs="Arial" w:eastAsia="Arial" w:hAnsi="Arial"/>
          <w:sz w:val="16"/>
          <w:szCs w:val="16"/>
          <w:color w:val="auto"/>
        </w:rPr>
        <w: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5.11(g)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ind w:right="3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w:t>
      </w:r>
      <w:r>
        <w:rPr>
          <w:rFonts w:ascii="Arial" w:cs="Arial" w:eastAsia="Arial" w:hAnsi="Arial"/>
          <w:sz w:val="17"/>
          <w:szCs w:val="17"/>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 to be owned by a Person other than the Borrower and/or one or more of its Wholly-Owned Subsidiaries).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Borrower and the Administrative Agent.</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490" w:right="459" w:bottom="1440" w:gutter="0" w:footer="0" w:header="0"/>
        </w:sectPr>
      </w:pPr>
    </w:p>
    <w:bookmarkStart w:id="95" w:name="page96"/>
    <w:bookmarkEnd w:id="95"/>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left="4" w:right="320" w:firstLine="440"/>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Other Definitions and Provisions</w:t>
      </w:r>
      <w:r>
        <w:rPr>
          <w:rFonts w:ascii="Arial" w:cs="Arial" w:eastAsia="Arial" w:hAnsi="Arial"/>
          <w:sz w:val="16"/>
          <w:szCs w:val="16"/>
          <w:color w:val="auto"/>
        </w:rPr>
        <w:t>. With reference to this Agreement and each other Loan Document, unless otherwise specified herein or in such other Loan Document: (a) the definitions of terms herein shall apply equally to the singular and plural forms of the terms defined,</w:t>
      </w:r>
    </w:p>
    <w:p>
      <w:pPr>
        <w:ind w:left="4" w:hanging="4"/>
        <w:spacing w:after="0" w:line="286" w:lineRule="auto"/>
        <w:tabs>
          <w:tab w:leader="none" w:pos="259"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117" w:lineRule="exact"/>
        <w:rPr>
          <w:sz w:val="20"/>
          <w:szCs w:val="20"/>
          <w:color w:val="auto"/>
        </w:rPr>
      </w:pPr>
    </w:p>
    <w:p>
      <w:pPr>
        <w:ind w:left="4" w:right="160" w:firstLine="436"/>
        <w:spacing w:after="0" w:line="272" w:lineRule="auto"/>
        <w:tabs>
          <w:tab w:leader="none" w:pos="67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69" w:lineRule="exact"/>
        <w:rPr>
          <w:rFonts w:ascii="Arial" w:cs="Arial" w:eastAsia="Arial" w:hAnsi="Arial"/>
          <w:sz w:val="17"/>
          <w:szCs w:val="17"/>
          <w:color w:val="auto"/>
        </w:rPr>
      </w:pPr>
    </w:p>
    <w:p>
      <w:pPr>
        <w:ind w:left="4" w:firstLine="436"/>
        <w:spacing w:after="0" w:line="269" w:lineRule="auto"/>
        <w:tabs>
          <w:tab w:leader="none" w:pos="69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t>
      </w:r>
      <w:r>
        <w:rPr>
          <w:rFonts w:ascii="Arial" w:cs="Arial" w:eastAsia="Arial" w:hAnsi="Arial"/>
          <w:sz w:val="17"/>
          <w:szCs w:val="17"/>
          <w:color w:val="FF0000"/>
          <w:strike w:val="1"/>
        </w:rPr>
        <w:t>any</w:t>
      </w:r>
      <w:r>
        <w:rPr>
          <w:rFonts w:ascii="Arial" w:cs="Arial" w:eastAsia="Arial" w:hAnsi="Arial"/>
          <w:sz w:val="17"/>
          <w:szCs w:val="17"/>
          <w:u w:val="single" w:color="auto"/>
          <w:color w:val="0000FF"/>
        </w:rPr>
        <w:t>(A) all</w:t>
      </w:r>
      <w:r>
        <w:rPr>
          <w:rFonts w:ascii="Arial" w:cs="Arial" w:eastAsia="Arial" w:hAnsi="Arial"/>
          <w:sz w:val="17"/>
          <w:szCs w:val="17"/>
          <w:color w:val="auto"/>
        </w:rPr>
        <w:t xml:space="preserve"> obligations of </w:t>
      </w:r>
      <w:r>
        <w:rPr>
          <w:rFonts w:ascii="Arial" w:cs="Arial" w:eastAsia="Arial" w:hAnsi="Arial"/>
          <w:sz w:val="17"/>
          <w:szCs w:val="17"/>
          <w:color w:val="FF0000"/>
          <w:strike w:val="1"/>
        </w:rPr>
        <w:t>a</w:t>
      </w:r>
      <w:r>
        <w:rPr>
          <w:rFonts w:ascii="Arial" w:cs="Arial" w:eastAsia="Arial" w:hAnsi="Arial"/>
          <w:sz w:val="17"/>
          <w:szCs w:val="17"/>
          <w:u w:val="single" w:color="auto"/>
          <w:color w:val="0000FF"/>
        </w:rPr>
        <w:t>any</w:t>
      </w:r>
      <w:r>
        <w:rPr>
          <w:rFonts w:ascii="Arial" w:cs="Arial" w:eastAsia="Arial" w:hAnsi="Arial"/>
          <w:sz w:val="17"/>
          <w:szCs w:val="17"/>
          <w:color w:val="auto"/>
        </w:rPr>
        <w:t xml:space="preserve"> Person </w:t>
      </w:r>
      <w:r>
        <w:rPr>
          <w:rFonts w:ascii="Arial" w:cs="Arial" w:eastAsia="Arial" w:hAnsi="Arial"/>
          <w:sz w:val="17"/>
          <w:szCs w:val="17"/>
          <w:color w:val="FF0000"/>
          <w:strike w:val="1"/>
        </w:rPr>
        <w:t>under a lease</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(whether existing on the Closing Date or entered into thereafter) that is not (or would not be) required to be classified and accounted for as a Capitalized Lease under GAAP </w:t>
      </w:r>
      <w:r>
        <w:rPr>
          <w:rFonts w:ascii="Arial" w:cs="Arial" w:eastAsia="Arial" w:hAnsi="Arial"/>
          <w:sz w:val="17"/>
          <w:szCs w:val="17"/>
          <w:color w:val="008000"/>
          <w:strike w:val="1"/>
        </w:rPr>
        <w:t>as in effect on the</w:t>
      </w:r>
      <w:r>
        <w:rPr>
          <w:rFonts w:ascii="Arial" w:cs="Arial" w:eastAsia="Arial" w:hAnsi="Arial"/>
          <w:sz w:val="17"/>
          <w:szCs w:val="17"/>
          <w:color w:val="FF0000"/>
          <w:strike w:val="1"/>
        </w:rPr>
        <w:t xml:space="preserve"> Closing Date shall not</w:t>
      </w:r>
      <w:r>
        <w:rPr>
          <w:rFonts w:ascii="Arial" w:cs="Arial" w:eastAsia="Arial" w:hAnsi="Arial"/>
          <w:sz w:val="17"/>
          <w:szCs w:val="17"/>
          <w:u w:val="single" w:color="auto"/>
          <w:color w:val="0000FF"/>
          <w:strike w:val="1"/>
        </w:rPr>
        <w:t>that are or would have been treated as operating leases for purposes of GAAP prior to the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effectiveness of FASB ASC 842 shall continue to be accounted for as operating leases for purposes of all financial definitions and calculations for purpose of this Agreement (whether or not such operating lease obligations were in effect</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4"/>
          </w:cols>
          <w:pgMar w:left="436" w:top="490" w:right="499" w:bottom="1440" w:gutter="0" w:footer="0" w:header="0"/>
        </w:sectPr>
      </w:pPr>
    </w:p>
    <w:bookmarkStart w:id="96" w:name="page97"/>
    <w:bookmarkEnd w:id="96"/>
    <w:p>
      <w:pPr>
        <w:ind w:right="60"/>
        <w:spacing w:after="0" w:line="296"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on such date) notwithstanding the fact that such obligations are required in accordance with FASB ASC 842 (on a prospective or retroactive basis or otherwise) to</w:t>
      </w:r>
      <w:r>
        <w:rPr>
          <w:rFonts w:ascii="Arial" w:cs="Arial" w:eastAsia="Arial" w:hAnsi="Arial"/>
          <w:sz w:val="16"/>
          <w:szCs w:val="16"/>
          <w:color w:val="0000FF"/>
        </w:rPr>
        <w:t xml:space="preserve"> </w:t>
      </w:r>
      <w:r>
        <w:rPr>
          <w:rFonts w:ascii="Arial" w:cs="Arial" w:eastAsia="Arial" w:hAnsi="Arial"/>
          <w:sz w:val="16"/>
          <w:szCs w:val="16"/>
          <w:color w:val="000000"/>
        </w:rPr>
        <w:t>be treated as</w:t>
      </w:r>
      <w:r>
        <w:rPr>
          <w:rFonts w:ascii="Arial" w:cs="Arial" w:eastAsia="Arial" w:hAnsi="Arial"/>
          <w:sz w:val="16"/>
          <w:szCs w:val="16"/>
          <w:color w:val="0000FF"/>
        </w:rPr>
        <w:t xml:space="preserve"> </w:t>
      </w:r>
      <w:r>
        <w:rPr>
          <w:rFonts w:ascii="Arial" w:cs="Arial" w:eastAsia="Arial" w:hAnsi="Arial"/>
          <w:sz w:val="16"/>
          <w:szCs w:val="16"/>
          <w:color w:val="FF0000"/>
          <w:strike w:val="1"/>
        </w:rPr>
        <w:t>a</w:t>
      </w:r>
      <w:r>
        <w:rPr>
          <w:rFonts w:ascii="Arial" w:cs="Arial" w:eastAsia="Arial" w:hAnsi="Arial"/>
          <w:sz w:val="16"/>
          <w:szCs w:val="16"/>
          <w:color w:val="0000FF"/>
        </w:rPr>
        <w:t xml:space="preserve"> </w:t>
      </w:r>
      <w:r>
        <w:rPr>
          <w:rFonts w:ascii="Arial" w:cs="Arial" w:eastAsia="Arial" w:hAnsi="Arial"/>
          <w:sz w:val="16"/>
          <w:szCs w:val="16"/>
          <w:color w:val="000000"/>
        </w:rPr>
        <w:t>Capitalized Lease</w:t>
      </w:r>
      <w:r>
        <w:rPr>
          <w:rFonts w:ascii="Arial" w:cs="Arial" w:eastAsia="Arial" w:hAnsi="Arial"/>
          <w:sz w:val="16"/>
          <w:szCs w:val="16"/>
          <w:u w:val="single" w:color="auto"/>
          <w:color w:val="0000FF"/>
        </w:rPr>
        <w:t>s</w:t>
      </w:r>
      <w:r>
        <w:rPr>
          <w:rFonts w:ascii="Arial" w:cs="Arial" w:eastAsia="Arial" w:hAnsi="Arial"/>
          <w:sz w:val="16"/>
          <w:szCs w:val="16"/>
          <w:color w:val="0000FF"/>
        </w:rPr>
        <w:t xml:space="preserve"> </w:t>
      </w:r>
      <w:r>
        <w:rPr>
          <w:rFonts w:ascii="Arial" w:cs="Arial" w:eastAsia="Arial" w:hAnsi="Arial"/>
          <w:sz w:val="16"/>
          <w:szCs w:val="16"/>
          <w:color w:val="FF0000"/>
          <w:strike w:val="1"/>
        </w:rPr>
        <w:t>solely as a result of changes in the application of GAAP that become effective after the Closing Date</w:t>
      </w:r>
      <w:r>
        <w:rPr>
          <w:rFonts w:ascii="Arial" w:cs="Arial" w:eastAsia="Arial" w:hAnsi="Arial"/>
          <w:sz w:val="16"/>
          <w:szCs w:val="16"/>
          <w:color w:val="0000FF"/>
        </w:rPr>
        <w:t xml:space="preserve"> </w:t>
      </w:r>
      <w:r>
        <w:rPr>
          <w:rFonts w:ascii="Arial" w:cs="Arial" w:eastAsia="Arial" w:hAnsi="Arial"/>
          <w:sz w:val="16"/>
          <w:szCs w:val="16"/>
          <w:color w:val="FF0000"/>
          <w:strike w:val="1"/>
        </w:rPr>
        <w:t>(including, without limitation, any such changes described in the Accounting Standards Update to Leases (Topic 842) issued in February 2016 by the Financial Accounting Standards Board).</w:t>
      </w:r>
      <w:r>
        <w:rPr>
          <w:rFonts w:ascii="Arial" w:cs="Arial" w:eastAsia="Arial" w:hAnsi="Arial"/>
          <w:sz w:val="16"/>
          <w:szCs w:val="16"/>
          <w:u w:val="single" w:color="auto"/>
          <w:color w:val="0000FF"/>
          <w:strike w:val="1"/>
        </w:rPr>
        <w:t>in the financial statements and (B) all financial statements delivered to the Administrative Agent hereunder shall</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contain a schedule showing the modifications necessary to reconcile the adjustments made pursuant to clause (A) above with such financial statements.</w:t>
      </w:r>
    </w:p>
    <w:p>
      <w:pPr>
        <w:spacing w:after="0" w:line="53" w:lineRule="exact"/>
        <w:rPr>
          <w:sz w:val="20"/>
          <w:szCs w:val="20"/>
          <w:color w:val="auto"/>
        </w:rPr>
      </w:pPr>
    </w:p>
    <w:p>
      <w:pPr>
        <w:jc w:val="both"/>
        <w:ind w:right="40" w:firstLine="436"/>
        <w:spacing w:after="0" w:line="259" w:lineRule="auto"/>
        <w:tabs>
          <w:tab w:leader="none" w:pos="68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78" w:lineRule="exact"/>
        <w:rPr>
          <w:rFonts w:ascii="Arial" w:cs="Arial" w:eastAsia="Arial" w:hAnsi="Arial"/>
          <w:sz w:val="18"/>
          <w:szCs w:val="18"/>
          <w:color w:val="auto"/>
        </w:rPr>
      </w:pPr>
    </w:p>
    <w:p>
      <w:pPr>
        <w:ind w:right="160" w:firstLine="436"/>
        <w:spacing w:after="0" w:line="263" w:lineRule="auto"/>
        <w:tabs>
          <w:tab w:leader="none" w:pos="695" w:val="left"/>
        </w:tabs>
        <w:numPr>
          <w:ilvl w:val="0"/>
          <w:numId w:val="60"/>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Leverage Ratio Increase</w:t>
      </w:r>
      <w:r>
        <w:rPr>
          <w:rFonts w:ascii="Arial" w:cs="Arial" w:eastAsia="Arial" w:hAnsi="Arial"/>
          <w:sz w:val="18"/>
          <w:szCs w:val="18"/>
          <w:color w:val="FF0000"/>
          <w:strike w:val="1"/>
        </w:rPr>
        <w:t>. Any provision of this Agreement that requires compliance on a pro forma basis with the Consolidated Net Leverage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Ratio set forth in </w:t>
      </w:r>
      <w:r>
        <w:rPr>
          <w:rFonts w:ascii="Arial" w:cs="Arial" w:eastAsia="Arial" w:hAnsi="Arial"/>
          <w:sz w:val="18"/>
          <w:szCs w:val="18"/>
          <w:u w:val="single" w:color="auto"/>
          <w:color w:val="FF0000"/>
          <w:strike w:val="1"/>
        </w:rPr>
        <w:t>Section 9.11</w:t>
      </w:r>
      <w:r>
        <w:rPr>
          <w:rFonts w:ascii="Arial" w:cs="Arial" w:eastAsia="Arial" w:hAnsi="Arial"/>
          <w:sz w:val="18"/>
          <w:szCs w:val="18"/>
          <w:color w:val="FF0000"/>
          <w:strike w:val="1"/>
        </w:rPr>
        <w:t xml:space="preserve">, including in connection with a Limited Condition Acquisition pursuant to </w:t>
      </w:r>
      <w:r>
        <w:rPr>
          <w:rFonts w:ascii="Arial" w:cs="Arial" w:eastAsia="Arial" w:hAnsi="Arial"/>
          <w:sz w:val="18"/>
          <w:szCs w:val="18"/>
          <w:u w:val="single" w:color="auto"/>
          <w:color w:val="FF0000"/>
          <w:strike w:val="1"/>
        </w:rPr>
        <w:t>Section 1.14</w:t>
      </w:r>
      <w:r>
        <w:rPr>
          <w:rFonts w:ascii="Arial" w:cs="Arial" w:eastAsia="Arial" w:hAnsi="Arial"/>
          <w:sz w:val="18"/>
          <w:szCs w:val="18"/>
          <w:color w:val="FF0000"/>
          <w:strike w:val="1"/>
        </w:rPr>
        <w:t xml:space="preserve">, shall be deemed to include any Leverage Ratio Increase then in effect pursuant to </w:t>
      </w:r>
      <w:r>
        <w:rPr>
          <w:rFonts w:ascii="Arial" w:cs="Arial" w:eastAsia="Arial" w:hAnsi="Arial"/>
          <w:sz w:val="18"/>
          <w:szCs w:val="18"/>
          <w:u w:val="single" w:color="auto"/>
          <w:color w:val="FF0000"/>
          <w:strike w:val="1"/>
        </w:rPr>
        <w:t>Section 9.11(b)</w:t>
      </w:r>
      <w:r>
        <w:rPr>
          <w:rFonts w:ascii="Arial" w:cs="Arial" w:eastAsia="Arial" w:hAnsi="Arial"/>
          <w:sz w:val="18"/>
          <w:szCs w:val="18"/>
          <w:color w:val="FF0000"/>
          <w:strike w:val="1"/>
        </w:rPr>
        <w:t>.</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UCC Terms</w:t>
      </w:r>
      <w:r>
        <w:rPr>
          <w:rFonts w:ascii="Arial" w:cs="Arial" w:eastAsia="Arial" w:hAnsi="Arial"/>
          <w:sz w:val="18"/>
          <w:szCs w:val="18"/>
          <w:color w:val="auto"/>
        </w:rPr>
        <w:t>.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Rounding</w:t>
      </w:r>
      <w:r>
        <w:rPr>
          <w:rFonts w:ascii="Arial" w:cs="Arial" w:eastAsia="Arial" w:hAnsi="Arial"/>
          <w:sz w:val="17"/>
          <w:szCs w:val="17"/>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6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References to Agreement and Laws</w:t>
      </w:r>
      <w:r>
        <w:rPr>
          <w:rFonts w:ascii="Arial" w:cs="Arial" w:eastAsia="Arial" w:hAnsi="Arial"/>
          <w:sz w:val="17"/>
          <w:szCs w:val="17"/>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Anti-Corruption Laws, Anti-Money Laundering Laws, the Bankruptcy Code, the Code, the Commodity Exchange Act, ERISA, the Exchange Act, the PATRIOT Act, the Securities Act, the UCC, the Investment Company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7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Unless otherwise specified, all references herein to the amount of a Letter of Credit at any time shall be deemed to mean the maximum face amount</w:t>
      </w:r>
      <w:r>
        <w:rPr>
          <w:rFonts w:ascii="Arial" w:cs="Arial" w:eastAsia="Arial" w:hAnsi="Arial"/>
          <w:sz w:val="17"/>
          <w:szCs w:val="17"/>
          <w:u w:val="single" w:color="auto"/>
          <w:color w:val="0000FF"/>
        </w:rPr>
        <w:t>, or the Dollar Equivalent of the maximum face amount, if applicable,</w:t>
      </w:r>
      <w:r>
        <w:rPr>
          <w:rFonts w:ascii="Arial" w:cs="Arial" w:eastAsia="Arial" w:hAnsi="Arial"/>
          <w:sz w:val="17"/>
          <w:szCs w:val="17"/>
          <w:color w:val="auto"/>
        </w:rPr>
        <w:t xml:space="preserve"> of such Letter of Credit after giving effect to all increases thereof contemplated by such Letter of Credit or the Letter of Credit </w:t>
      </w:r>
      <w:r>
        <w:rPr>
          <w:rFonts w:ascii="Arial" w:cs="Arial" w:eastAsia="Arial" w:hAnsi="Arial"/>
          <w:sz w:val="17"/>
          <w:szCs w:val="17"/>
          <w:color w:val="FF0000"/>
          <w:strike w:val="1"/>
        </w:rPr>
        <w:t>Application</w:t>
      </w:r>
      <w:r>
        <w:rPr>
          <w:rFonts w:ascii="Arial" w:cs="Arial" w:eastAsia="Arial" w:hAnsi="Arial"/>
          <w:sz w:val="17"/>
          <w:szCs w:val="17"/>
          <w:u w:val="single" w:color="auto"/>
          <w:color w:val="0000FF"/>
        </w:rPr>
        <w:t>Documents</w:t>
      </w:r>
      <w:r>
        <w:rPr>
          <w:rFonts w:ascii="Arial" w:cs="Arial" w:eastAsia="Arial" w:hAnsi="Arial"/>
          <w:sz w:val="17"/>
          <w:szCs w:val="17"/>
          <w:color w:val="auto"/>
        </w:rPr>
        <w:t xml:space="preserve"> therefor (at the time specified therefor in such applicable Letter of Credit or Letter of Credit </w:t>
      </w:r>
      <w:r>
        <w:rPr>
          <w:rFonts w:ascii="Arial" w:cs="Arial" w:eastAsia="Arial" w:hAnsi="Arial"/>
          <w:sz w:val="17"/>
          <w:szCs w:val="17"/>
          <w:color w:val="FF0000"/>
          <w:strike w:val="1"/>
        </w:rPr>
        <w:t>Application</w:t>
      </w:r>
      <w:r>
        <w:rPr>
          <w:rFonts w:ascii="Arial" w:cs="Arial" w:eastAsia="Arial" w:hAnsi="Arial"/>
          <w:sz w:val="17"/>
          <w:szCs w:val="17"/>
          <w:u w:val="single" w:color="auto"/>
          <w:color w:val="0000FF"/>
        </w:rPr>
        <w:t>Documents</w:t>
      </w:r>
      <w:r>
        <w:rPr>
          <w:rFonts w:ascii="Arial" w:cs="Arial" w:eastAsia="Arial" w:hAnsi="Arial"/>
          <w:sz w:val="17"/>
          <w:szCs w:val="17"/>
          <w:color w:val="auto"/>
        </w:rPr>
        <w:t xml:space="preserve"> and as such amount may be reduced by (a) any permanent reduction of such Letter of Credit or (b) any amount which is drawn, reimbursed and no longer available under such Letter of Credit).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490" w:right="439" w:bottom="1440" w:gutter="0" w:footer="0" w:header="0"/>
        </w:sectPr>
      </w:pPr>
    </w:p>
    <w:bookmarkStart w:id="97" w:name="page98"/>
    <w:bookmarkEnd w:id="9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1.9 </w:t>
      </w:r>
      <w:r>
        <w:rPr>
          <w:rFonts w:ascii="Arial" w:cs="Arial" w:eastAsia="Arial" w:hAnsi="Arial"/>
          <w:sz w:val="18"/>
          <w:szCs w:val="18"/>
          <w:u w:val="single" w:color="auto"/>
          <w:color w:val="auto"/>
        </w:rPr>
        <w:t>Guarantees/Earn Outs</w:t>
      </w:r>
      <w:r>
        <w:rPr>
          <w:rFonts w:ascii="Arial" w:cs="Arial" w:eastAsia="Arial" w:hAnsi="Arial"/>
          <w:sz w:val="18"/>
          <w:szCs w:val="18"/>
          <w:color w:val="auto"/>
        </w:rPr>
        <w:t>. 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spacing w:after="0" w:line="18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Covenant Compliance Generally</w:t>
      </w:r>
      <w:r>
        <w:rPr>
          <w:rFonts w:ascii="Arial" w:cs="Arial" w:eastAsia="Arial" w:hAnsi="Arial"/>
          <w:sz w:val="16"/>
          <w:szCs w:val="16"/>
          <w:color w:val="auto"/>
        </w:rPr>
        <w:t xml:space="preserve">. For purposes of determining compliance under </w:t>
      </w:r>
      <w:r>
        <w:rPr>
          <w:rFonts w:ascii="Arial" w:cs="Arial" w:eastAsia="Arial" w:hAnsi="Arial"/>
          <w:sz w:val="16"/>
          <w:szCs w:val="16"/>
          <w:u w:val="single" w:color="auto"/>
          <w:color w:val="auto"/>
        </w:rPr>
        <w:t>Sections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t>
      </w:r>
      <w:r>
        <w:rPr>
          <w:rFonts w:ascii="Arial" w:cs="Arial" w:eastAsia="Arial" w:hAnsi="Arial"/>
          <w:sz w:val="16"/>
          <w:szCs w:val="16"/>
          <w:u w:val="single" w:color="auto"/>
          <w:color w:val="auto"/>
        </w:rPr>
        <w:t>9.5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9.6</w:t>
      </w:r>
      <w:r>
        <w:rPr>
          <w:rFonts w:ascii="Arial" w:cs="Arial" w:eastAsia="Arial" w:hAnsi="Arial"/>
          <w:sz w:val="16"/>
          <w:szCs w:val="16"/>
          <w:color w:val="auto"/>
        </w:rPr>
        <w:t xml:space="preserve">, any amount in a currency other than Dollars will be converted to Dollars in a manner consistent with that used in calculating Consolidated Net Income in the most recent annual financial statements of the Borrower and its Subsidiaries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Notwithstanding the foregoing, for purposes of determining compliance with </w:t>
      </w:r>
      <w:r>
        <w:rPr>
          <w:rFonts w:ascii="Arial" w:cs="Arial" w:eastAsia="Arial" w:hAnsi="Arial"/>
          <w:sz w:val="16"/>
          <w:szCs w:val="16"/>
          <w:u w:val="single" w:color="auto"/>
          <w:color w:val="auto"/>
        </w:rPr>
        <w:t>Sections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shall otherwise apply to such Sections, including with respect to determining whether any Indebtedness or Investment may be incurred at any time under such Sections.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Exchange Rates; Currency Equivalents</w:t>
      </w:r>
      <w:r>
        <w:rPr>
          <w:rFonts w:ascii="Arial" w:cs="Arial" w:eastAsia="Arial" w:hAnsi="Arial"/>
          <w:sz w:val="18"/>
          <w:szCs w:val="18"/>
          <w:u w:val="single" w:color="auto"/>
          <w:color w:val="0000FF"/>
        </w:rPr>
        <w:t>; Daily Simple SONIA Loans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90" w:lineRule="auto"/>
        <w:tabs>
          <w:tab w:leader="none" w:pos="682"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Administrative Agent or the applicable Issuing Lender </w:t>
      </w:r>
      <w:r>
        <w:rPr>
          <w:rFonts w:ascii="Arial" w:cs="Arial" w:eastAsia="Arial" w:hAnsi="Arial"/>
          <w:sz w:val="16"/>
          <w:szCs w:val="16"/>
          <w:u w:val="single" w:color="auto"/>
          <w:color w:val="0000FF"/>
        </w:rPr>
        <w:t>(with notice thereof to the Administrative Agent), as applicable,</w:t>
      </w:r>
      <w:r>
        <w:rPr>
          <w:rFonts w:ascii="Arial" w:cs="Arial" w:eastAsia="Arial" w:hAnsi="Arial"/>
          <w:sz w:val="16"/>
          <w:szCs w:val="16"/>
          <w:color w:val="auto"/>
        </w:rPr>
        <w:t xml:space="preserve"> shall determine the </w:t>
      </w:r>
      <w:r>
        <w:rPr>
          <w:rFonts w:ascii="Arial" w:cs="Arial" w:eastAsia="Arial" w:hAnsi="Arial"/>
          <w:sz w:val="16"/>
          <w:szCs w:val="16"/>
          <w:color w:val="FF0000"/>
          <w:strike w:val="1"/>
        </w:rPr>
        <w:t>Spot Rates as of each Revaluation Date to be used for calculating</w:t>
      </w:r>
      <w:r>
        <w:rPr>
          <w:rFonts w:ascii="Arial" w:cs="Arial" w:eastAsia="Arial" w:hAnsi="Arial"/>
          <w:sz w:val="16"/>
          <w:szCs w:val="16"/>
          <w:color w:val="FF0000"/>
        </w:rPr>
        <w:t xml:space="preserve"> </w:t>
      </w:r>
      <w:r>
        <w:rPr>
          <w:rFonts w:ascii="Arial" w:cs="Arial" w:eastAsia="Arial" w:hAnsi="Arial"/>
          <w:sz w:val="16"/>
          <w:szCs w:val="16"/>
          <w:color w:val="000000"/>
        </w:rPr>
        <w:t>Dollar Equivalent amounts of Extensions of Credit</w:t>
      </w:r>
      <w:r>
        <w:rPr>
          <w:rFonts w:ascii="Arial" w:cs="Arial" w:eastAsia="Arial" w:hAnsi="Arial"/>
          <w:sz w:val="16"/>
          <w:szCs w:val="16"/>
          <w:color w:val="FF0000"/>
        </w:rPr>
        <w:t xml:space="preserve"> </w:t>
      </w:r>
      <w:r>
        <w:rPr>
          <w:rFonts w:ascii="Arial" w:cs="Arial" w:eastAsia="Arial" w:hAnsi="Arial"/>
          <w:sz w:val="16"/>
          <w:szCs w:val="16"/>
          <w:color w:val="FF0000"/>
          <w:strike w:val="1"/>
        </w:rPr>
        <w:t>and Revolving Credit Outstandings</w:t>
      </w:r>
      <w:r>
        <w:rPr>
          <w:rFonts w:ascii="Arial" w:cs="Arial" w:eastAsia="Arial" w:hAnsi="Arial"/>
          <w:sz w:val="16"/>
          <w:szCs w:val="16"/>
          <w:color w:val="FF0000"/>
        </w:rPr>
        <w:t xml:space="preserve"> </w:t>
      </w:r>
      <w:r>
        <w:rPr>
          <w:rFonts w:ascii="Arial" w:cs="Arial" w:eastAsia="Arial" w:hAnsi="Arial"/>
          <w:sz w:val="16"/>
          <w:szCs w:val="16"/>
          <w:color w:val="FF0000"/>
          <w:strike w:val="1"/>
        </w:rPr>
        <w:t>and Revolving Credit Exposure</w:t>
      </w:r>
      <w:r>
        <w:rPr>
          <w:rFonts w:ascii="Arial" w:cs="Arial" w:eastAsia="Arial" w:hAnsi="Arial"/>
          <w:sz w:val="16"/>
          <w:szCs w:val="16"/>
          <w:color w:val="FF0000"/>
        </w:rPr>
        <w:t xml:space="preserve"> </w:t>
      </w:r>
      <w:r>
        <w:rPr>
          <w:rFonts w:ascii="Arial" w:cs="Arial" w:eastAsia="Arial" w:hAnsi="Arial"/>
          <w:sz w:val="16"/>
          <w:szCs w:val="16"/>
          <w:color w:val="000000"/>
        </w:rPr>
        <w:t>denominated in Alternative Currencies</w:t>
      </w:r>
      <w:r>
        <w:rPr>
          <w:rFonts w:ascii="Arial" w:cs="Arial" w:eastAsia="Arial" w:hAnsi="Arial"/>
          <w:sz w:val="16"/>
          <w:szCs w:val="16"/>
          <w:color w:val="FF0000"/>
          <w:strike w:val="1"/>
        </w:rPr>
        <w:t>. Such Spot Rates</w:t>
      </w:r>
      <w:r>
        <w:rPr>
          <w:rFonts w:ascii="Arial" w:cs="Arial" w:eastAsia="Arial" w:hAnsi="Arial"/>
          <w:sz w:val="16"/>
          <w:szCs w:val="16"/>
          <w:color w:val="FF0000"/>
        </w:rPr>
        <w:t xml:space="preserve"> </w:t>
      </w:r>
      <w:r>
        <w:rPr>
          <w:rFonts w:ascii="Arial" w:cs="Arial" w:eastAsia="Arial" w:hAnsi="Arial"/>
          <w:sz w:val="16"/>
          <w:szCs w:val="16"/>
          <w:color w:val="0000FF"/>
        </w:rPr>
        <w:t>or Alternative L/C Currencies, as applicable. Such Dollar</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Equivalent</w:t>
      </w:r>
      <w:r>
        <w:rPr>
          <w:rFonts w:ascii="Arial" w:cs="Arial" w:eastAsia="Arial" w:hAnsi="Arial"/>
          <w:sz w:val="16"/>
          <w:szCs w:val="16"/>
          <w:color w:val="0000FF"/>
        </w:rPr>
        <w:t xml:space="preserve"> </w:t>
      </w:r>
      <w:r>
        <w:rPr>
          <w:rFonts w:ascii="Arial" w:cs="Arial" w:eastAsia="Arial" w:hAnsi="Arial"/>
          <w:sz w:val="16"/>
          <w:szCs w:val="16"/>
          <w:color w:val="000000"/>
        </w:rPr>
        <w:t>shall become effective as of such Revaluation Date and shall be the</w:t>
      </w:r>
      <w:r>
        <w:rPr>
          <w:rFonts w:ascii="Arial" w:cs="Arial" w:eastAsia="Arial" w:hAnsi="Arial"/>
          <w:sz w:val="16"/>
          <w:szCs w:val="16"/>
          <w:color w:val="0000FF"/>
        </w:rPr>
        <w:t xml:space="preserve"> </w:t>
      </w:r>
      <w:r>
        <w:rPr>
          <w:rFonts w:ascii="Arial" w:cs="Arial" w:eastAsia="Arial" w:hAnsi="Arial"/>
          <w:sz w:val="16"/>
          <w:szCs w:val="16"/>
          <w:color w:val="FF0000"/>
          <w:strike w:val="1"/>
        </w:rPr>
        <w:t>Spot Rates employed in converting any</w:t>
      </w:r>
      <w:r>
        <w:rPr>
          <w:rFonts w:ascii="Arial" w:cs="Arial" w:eastAsia="Arial" w:hAnsi="Arial"/>
          <w:sz w:val="16"/>
          <w:szCs w:val="16"/>
          <w:u w:val="single" w:color="auto"/>
          <w:color w:val="0000FF"/>
        </w:rPr>
        <w:t>Dollar Equivalent of such</w:t>
      </w:r>
      <w:r>
        <w:rPr>
          <w:rFonts w:ascii="Arial" w:cs="Arial" w:eastAsia="Arial" w:hAnsi="Arial"/>
          <w:sz w:val="16"/>
          <w:szCs w:val="16"/>
          <w:color w:val="0000FF"/>
        </w:rPr>
        <w:t xml:space="preserve"> </w:t>
      </w:r>
      <w:r>
        <w:rPr>
          <w:rFonts w:ascii="Arial" w:cs="Arial" w:eastAsia="Arial" w:hAnsi="Arial"/>
          <w:sz w:val="16"/>
          <w:szCs w:val="16"/>
          <w:color w:val="000000"/>
        </w:rPr>
        <w:t xml:space="preserve">amounts </w:t>
      </w:r>
      <w:r>
        <w:rPr>
          <w:rFonts w:ascii="Arial" w:cs="Arial" w:eastAsia="Arial" w:hAnsi="Arial"/>
          <w:sz w:val="16"/>
          <w:szCs w:val="16"/>
          <w:color w:val="FF0000"/>
          <w:strike w:val="1"/>
        </w:rPr>
        <w:t>between the applicable currencies</w:t>
      </w:r>
      <w:r>
        <w:rPr>
          <w:rFonts w:ascii="Arial" w:cs="Arial" w:eastAsia="Arial" w:hAnsi="Arial"/>
          <w:sz w:val="16"/>
          <w:szCs w:val="16"/>
          <w:color w:val="000000"/>
        </w:rPr>
        <w:t xml:space="preserve"> until the next Revaluation Date to occur. Except for purposes of financial statements delivered by </w:t>
      </w:r>
      <w:r>
        <w:rPr>
          <w:rFonts w:ascii="Arial" w:cs="Arial" w:eastAsia="Arial" w:hAnsi="Arial"/>
          <w:sz w:val="16"/>
          <w:szCs w:val="16"/>
          <w:color w:val="FF0000"/>
          <w:strike w:val="1"/>
        </w:rPr>
        <w:t>Credit</w:t>
      </w:r>
      <w:r>
        <w:rPr>
          <w:rFonts w:ascii="Arial" w:cs="Arial" w:eastAsia="Arial" w:hAnsi="Arial"/>
          <w:sz w:val="16"/>
          <w:szCs w:val="16"/>
          <w:color w:val="000000"/>
        </w:rPr>
        <w:t xml:space="preserve"> </w:t>
      </w:r>
      <w:r>
        <w:rPr>
          <w:rFonts w:ascii="Arial" w:cs="Arial" w:eastAsia="Arial" w:hAnsi="Arial"/>
          <w:sz w:val="16"/>
          <w:szCs w:val="16"/>
          <w:color w:val="FF0000"/>
          <w:strike w:val="1"/>
        </w:rPr>
        <w:t>Parties</w:t>
      </w:r>
      <w:r>
        <w:rPr>
          <w:rFonts w:ascii="Arial" w:cs="Arial" w:eastAsia="Arial" w:hAnsi="Arial"/>
          <w:sz w:val="16"/>
          <w:szCs w:val="16"/>
          <w:u w:val="single" w:color="auto"/>
          <w:color w:val="0000FF"/>
        </w:rPr>
        <w:t>the Borrower</w:t>
      </w:r>
      <w:r>
        <w:rPr>
          <w:rFonts w:ascii="Arial" w:cs="Arial" w:eastAsia="Arial" w:hAnsi="Arial"/>
          <w:sz w:val="16"/>
          <w:szCs w:val="16"/>
          <w:color w:val="FF0000"/>
        </w:rPr>
        <w:t xml:space="preserve"> </w:t>
      </w:r>
      <w:r>
        <w:rPr>
          <w:rFonts w:ascii="Arial" w:cs="Arial" w:eastAsia="Arial" w:hAnsi="Arial"/>
          <w:sz w:val="16"/>
          <w:szCs w:val="16"/>
          <w:color w:val="000000"/>
        </w:rPr>
        <w:t>hereunder or calculating financial covenants hereunder or except as otherwise provided herein</w:t>
      </w:r>
      <w:r>
        <w:rPr>
          <w:rFonts w:ascii="Arial" w:cs="Arial" w:eastAsia="Arial" w:hAnsi="Arial"/>
          <w:sz w:val="16"/>
          <w:szCs w:val="16"/>
          <w:color w:val="FF0000"/>
        </w:rPr>
        <w:t xml:space="preserve"> </w:t>
      </w:r>
      <w:r>
        <w:rPr>
          <w:rFonts w:ascii="Arial" w:cs="Arial" w:eastAsia="Arial" w:hAnsi="Arial"/>
          <w:sz w:val="16"/>
          <w:szCs w:val="16"/>
          <w:color w:val="FF0000"/>
          <w:strike w:val="1"/>
        </w:rPr>
        <w:t>(including, without limitation,</w:t>
      </w:r>
      <w:r>
        <w:rPr>
          <w:rFonts w:ascii="Arial" w:cs="Arial" w:eastAsia="Arial" w:hAnsi="Arial"/>
          <w:sz w:val="16"/>
          <w:szCs w:val="16"/>
          <w:color w:val="FF0000"/>
        </w:rPr>
        <w:t xml:space="preserve"> </w:t>
      </w:r>
      <w:r>
        <w:rPr>
          <w:rFonts w:ascii="Arial" w:cs="Arial" w:eastAsia="Arial" w:hAnsi="Arial"/>
          <w:sz w:val="16"/>
          <w:szCs w:val="16"/>
          <w:color w:val="FF0000"/>
          <w:strike w:val="1"/>
        </w:rPr>
        <w:t>Section 1.10)</w:t>
      </w:r>
      <w:r>
        <w:rPr>
          <w:rFonts w:ascii="Arial" w:cs="Arial" w:eastAsia="Arial" w:hAnsi="Arial"/>
          <w:sz w:val="16"/>
          <w:szCs w:val="16"/>
          <w:color w:val="000000"/>
        </w:rPr>
        <w:t>, the applicable amount of any</w:t>
      </w:r>
      <w:r>
        <w:rPr>
          <w:rFonts w:ascii="Arial" w:cs="Arial" w:eastAsia="Arial" w:hAnsi="Arial"/>
          <w:sz w:val="16"/>
          <w:szCs w:val="16"/>
          <w:color w:val="FF0000"/>
        </w:rPr>
        <w:t xml:space="preserve"> </w:t>
      </w:r>
      <w:r>
        <w:rPr>
          <w:rFonts w:ascii="Arial" w:cs="Arial" w:eastAsia="Arial" w:hAnsi="Arial"/>
          <w:sz w:val="16"/>
          <w:szCs w:val="16"/>
          <w:color w:val="FF0000"/>
          <w:strike w:val="1"/>
        </w:rPr>
        <w:t>c</w:t>
      </w:r>
      <w:r>
        <w:rPr>
          <w:rFonts w:ascii="Arial" w:cs="Arial" w:eastAsia="Arial" w:hAnsi="Arial"/>
          <w:sz w:val="16"/>
          <w:szCs w:val="16"/>
          <w:u w:val="single" w:color="auto"/>
          <w:color w:val="0000FF"/>
        </w:rPr>
        <w:t>C</w:t>
      </w:r>
      <w:r>
        <w:rPr>
          <w:rFonts w:ascii="Arial" w:cs="Arial" w:eastAsia="Arial" w:hAnsi="Arial"/>
          <w:sz w:val="16"/>
          <w:szCs w:val="16"/>
          <w:color w:val="000000"/>
        </w:rPr>
        <w:t>urrency (other than Dollars) for purposes of the Loan Documents shall be such Dollar Equivalent amount</w:t>
      </w:r>
      <w:r>
        <w:rPr>
          <w:rFonts w:ascii="Arial" w:cs="Arial" w:eastAsia="Arial" w:hAnsi="Arial"/>
          <w:sz w:val="16"/>
          <w:szCs w:val="16"/>
          <w:color w:val="FF0000"/>
        </w:rPr>
        <w:t xml:space="preserve"> </w:t>
      </w:r>
      <w:r>
        <w:rPr>
          <w:rFonts w:ascii="Arial" w:cs="Arial" w:eastAsia="Arial" w:hAnsi="Arial"/>
          <w:sz w:val="16"/>
          <w:szCs w:val="16"/>
          <w:color w:val="000000"/>
        </w:rPr>
        <w:t xml:space="preserve">as so determined by the Administrative Agent or the applicable Issuing Lender </w:t>
      </w:r>
      <w:r>
        <w:rPr>
          <w:rFonts w:ascii="Arial" w:cs="Arial" w:eastAsia="Arial" w:hAnsi="Arial"/>
          <w:sz w:val="16"/>
          <w:szCs w:val="16"/>
          <w:u w:val="single" w:color="auto"/>
          <w:color w:val="0000FF"/>
        </w:rPr>
        <w:t>(with notice thereof to the Administrative Agent), as applicable</w:t>
      </w:r>
      <w:r>
        <w:rPr>
          <w:rFonts w:ascii="Arial" w:cs="Arial" w:eastAsia="Arial" w:hAnsi="Arial"/>
          <w:sz w:val="16"/>
          <w:szCs w:val="16"/>
          <w:color w:val="000000"/>
        </w:rPr>
        <w:t>.</w:t>
      </w:r>
    </w:p>
    <w:p>
      <w:pPr>
        <w:spacing w:after="0" w:line="57" w:lineRule="exact"/>
        <w:rPr>
          <w:rFonts w:ascii="Arial" w:cs="Arial" w:eastAsia="Arial" w:hAnsi="Arial"/>
          <w:sz w:val="16"/>
          <w:szCs w:val="16"/>
          <w:color w:val="auto"/>
        </w:rPr>
      </w:pPr>
    </w:p>
    <w:p>
      <w:pPr>
        <w:ind w:right="20" w:firstLine="436"/>
        <w:spacing w:after="0" w:line="255" w:lineRule="auto"/>
        <w:tabs>
          <w:tab w:leader="none" w:pos="6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Wherever in this Agreement in connection with a borrowing, conversion, continuation or prepayment of </w:t>
      </w:r>
      <w:r>
        <w:rPr>
          <w:rFonts w:ascii="Arial" w:cs="Arial" w:eastAsia="Arial" w:hAnsi="Arial"/>
          <w:sz w:val="18"/>
          <w:szCs w:val="18"/>
          <w:u w:val="single" w:color="auto"/>
          <w:color w:val="0000FF"/>
        </w:rPr>
        <w:t>an RFR Loan or</w:t>
      </w:r>
      <w:r>
        <w:rPr>
          <w:rFonts w:ascii="Arial" w:cs="Arial" w:eastAsia="Arial" w:hAnsi="Arial"/>
          <w:sz w:val="18"/>
          <w:szCs w:val="18"/>
          <w:color w:val="auto"/>
        </w:rPr>
        <w:t xml:space="preserve"> a Eurocurrency Rate Loan or the issuance, amendment or extension of a Letter of Credit, an amount, such as a required minimum, a required maximum or multiple amount, is expressed in Dollars, but such </w:t>
      </w:r>
      <w:r>
        <w:rPr>
          <w:rFonts w:ascii="Arial" w:cs="Arial" w:eastAsia="Arial" w:hAnsi="Arial"/>
          <w:sz w:val="18"/>
          <w:szCs w:val="18"/>
          <w:u w:val="single" w:color="auto"/>
          <w:color w:val="0000FF"/>
        </w:rPr>
        <w:t>RFR Loan,</w:t>
      </w:r>
      <w:r>
        <w:rPr>
          <w:rFonts w:ascii="Arial" w:cs="Arial" w:eastAsia="Arial" w:hAnsi="Arial"/>
          <w:sz w:val="18"/>
          <w:szCs w:val="18"/>
          <w:color w:val="auto"/>
        </w:rPr>
        <w:t xml:space="preserve"> Eurocurrency Rate Loan or Letter of Credit is denominated in an Alternative Currency or an Alternative L/C Currency, such amount shall be the relevant Alternative Currency Equivalent of such Dollar amount (rounded to the nearest unit of such Alternative Currency </w:t>
      </w:r>
      <w:r>
        <w:rPr>
          <w:rFonts w:ascii="Arial" w:cs="Arial" w:eastAsia="Arial" w:hAnsi="Arial"/>
          <w:sz w:val="18"/>
          <w:szCs w:val="18"/>
          <w:color w:val="0000FF"/>
        </w:rPr>
        <w:t>or an Alternative L/C Currency</w:t>
      </w:r>
      <w:r>
        <w:rPr>
          <w:rFonts w:ascii="Arial" w:cs="Arial" w:eastAsia="Arial" w:hAnsi="Arial"/>
          <w:sz w:val="18"/>
          <w:szCs w:val="18"/>
          <w:color w:val="auto"/>
        </w:rPr>
        <w:t>, with 0.5 of a unit being rounded upward), as determined by the Administrative Agent or the applicable Issuing Lender, as applicable.</w:t>
      </w:r>
    </w:p>
    <w:p>
      <w:pPr>
        <w:spacing w:after="0" w:line="84" w:lineRule="exact"/>
        <w:rPr>
          <w:rFonts w:ascii="Arial" w:cs="Arial" w:eastAsia="Arial" w:hAnsi="Arial"/>
          <w:sz w:val="18"/>
          <w:szCs w:val="18"/>
          <w:color w:val="auto"/>
        </w:rPr>
      </w:pPr>
    </w:p>
    <w:p>
      <w:pPr>
        <w:ind w:right="220" w:firstLine="436"/>
        <w:spacing w:after="0" w:line="311" w:lineRule="auto"/>
        <w:tabs>
          <w:tab w:leader="none" w:pos="685" w:val="left"/>
        </w:tabs>
        <w:numPr>
          <w:ilvl w:val="0"/>
          <w:numId w:val="6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Notwithstanding the foregoing provisions of this Section 1.11 or</w:t>
      </w:r>
      <w:r>
        <w:rPr>
          <w:rFonts w:ascii="Arial" w:cs="Arial" w:eastAsia="Arial" w:hAnsi="Arial"/>
          <w:sz w:val="16"/>
          <w:szCs w:val="16"/>
          <w:color w:val="0000FF"/>
        </w:rPr>
        <w:t xml:space="preserve"> </w:t>
      </w:r>
      <w:r>
        <w:rPr>
          <w:rFonts w:ascii="Arial" w:cs="Arial" w:eastAsia="Arial" w:hAnsi="Arial"/>
          <w:sz w:val="16"/>
          <w:szCs w:val="16"/>
          <w:color w:val="008000"/>
        </w:rPr>
        <w:t>any other provision of this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Agreement, in connection with Daily Simple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SONIA Loans, the Spot Rate on each date of borrowing shall be the Spot Rate in effect as of the Revaluation Date applicable to the first borrowing of any such Daily Simple SONIA Loans (or, if applicable, any later Revaluation Date pursuant to clause (a)(iii) of the definition of “Revaluation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-2090420</wp:posOffset>
            </wp:positionV>
            <wp:extent cx="26485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-2115820</wp:posOffset>
            </wp:positionV>
            <wp:extent cx="26460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46045"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-650240</wp:posOffset>
            </wp:positionV>
            <wp:extent cx="1448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48435"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-675640</wp:posOffset>
            </wp:positionV>
            <wp:extent cx="14490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49070"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-307340</wp:posOffset>
            </wp:positionV>
            <wp:extent cx="125984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59840" cy="889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-332740</wp:posOffset>
            </wp:positionV>
            <wp:extent cx="12566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490" w:right="459" w:bottom="1440" w:gutter="0" w:footer="0" w:header="0"/>
        </w:sectPr>
      </w:pPr>
    </w:p>
    <w:bookmarkStart w:id="98" w:name="page99"/>
    <w:bookmarkEnd w:id="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1.12 </w:t>
      </w:r>
      <w:r>
        <w:rPr>
          <w:rFonts w:ascii="Arial" w:cs="Arial" w:eastAsia="Arial" w:hAnsi="Arial"/>
          <w:sz w:val="18"/>
          <w:szCs w:val="18"/>
          <w:u w:val="single" w:color="auto"/>
          <w:color w:val="auto"/>
        </w:rPr>
        <w:t>Change of Currency</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91" w:lineRule="auto"/>
        <w:tabs>
          <w:tab w:leader="none" w:pos="682"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w:t>
      </w:r>
      <w:r>
        <w:rPr>
          <w:rFonts w:ascii="Arial" w:cs="Arial" w:eastAsia="Arial" w:hAnsi="Arial"/>
          <w:sz w:val="16"/>
          <w:szCs w:val="16"/>
          <w:u w:val="single" w:color="auto"/>
          <w:color w:val="0000FF"/>
        </w:rPr>
        <w:t>or applicable offshore</w:t>
      </w:r>
      <w:r>
        <w:rPr>
          <w:rFonts w:ascii="Arial" w:cs="Arial" w:eastAsia="Arial" w:hAnsi="Arial"/>
          <w:sz w:val="16"/>
          <w:szCs w:val="16"/>
          <w:color w:val="auto"/>
        </w:rPr>
        <w:t xml:space="preserve">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58" w:lineRule="exact"/>
        <w:rPr>
          <w:rFonts w:ascii="Arial" w:cs="Arial" w:eastAsia="Arial" w:hAnsi="Arial"/>
          <w:sz w:val="16"/>
          <w:szCs w:val="16"/>
          <w:color w:val="auto"/>
        </w:rPr>
      </w:pPr>
    </w:p>
    <w:p>
      <w:pPr>
        <w:jc w:val="both"/>
        <w:ind w:right="260" w:firstLine="436"/>
        <w:spacing w:after="0" w:line="263"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75" w:lineRule="exact"/>
        <w:rPr>
          <w:rFonts w:ascii="Arial" w:cs="Arial" w:eastAsia="Arial" w:hAnsi="Arial"/>
          <w:sz w:val="18"/>
          <w:szCs w:val="18"/>
          <w:color w:val="auto"/>
        </w:rPr>
      </w:pPr>
    </w:p>
    <w:p>
      <w:pPr>
        <w:ind w:right="120" w:firstLine="436"/>
        <w:spacing w:after="0" w:line="263" w:lineRule="auto"/>
        <w:tabs>
          <w:tab w:leader="none" w:pos="6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Additional Alternative Currencies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9" w:lineRule="auto"/>
        <w:tabs>
          <w:tab w:leader="none" w:pos="682"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Borrower may from time to time request that (i)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Revolving Credit</w:t>
      </w:r>
      <w:r>
        <w:rPr>
          <w:rFonts w:ascii="Arial" w:cs="Arial" w:eastAsia="Arial" w:hAnsi="Arial"/>
          <w:sz w:val="17"/>
          <w:szCs w:val="17"/>
          <w:color w:val="auto"/>
        </w:rPr>
        <w:t xml:space="preserve"> Loans be made in a currency other than those specifically listed in the definition of “Alternative Currency” and/or (ii) Letters of Credit be issued in a currency other than those specifically listed in the definition of “Alternative L/C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requested currency is (A) a lawful currency (other than Dollars) that is readily available and freely transferable and convertible into Dollars (B) dealt with in the London </w:t>
      </w:r>
      <w:r>
        <w:rPr>
          <w:rFonts w:ascii="Arial" w:cs="Arial" w:eastAsia="Arial" w:hAnsi="Arial"/>
          <w:sz w:val="17"/>
          <w:szCs w:val="17"/>
          <w:u w:val="single" w:color="auto"/>
          <w:color w:val="0000FF"/>
        </w:rPr>
        <w:t>or other applicable offshore</w:t>
      </w:r>
      <w:r>
        <w:rPr>
          <w:rFonts w:ascii="Arial" w:cs="Arial" w:eastAsia="Arial" w:hAnsi="Arial"/>
          <w:sz w:val="17"/>
          <w:szCs w:val="17"/>
          <w:color w:val="auto"/>
        </w:rPr>
        <w:t xml:space="preserve"> interbank deposit market and (C) for which no central bank or other governmental authorization in the country of issue of such currency is required to give authorization for the use of such currency by any </w:t>
      </w:r>
      <w:r>
        <w:rPr>
          <w:rFonts w:ascii="Arial" w:cs="Arial" w:eastAsia="Arial" w:hAnsi="Arial"/>
          <w:sz w:val="17"/>
          <w:szCs w:val="17"/>
          <w:color w:val="FF0000"/>
          <w:strike w:val="1"/>
        </w:rPr>
        <w:t>Revolving Credit</w:t>
      </w:r>
      <w:r>
        <w:rPr>
          <w:rFonts w:ascii="Arial" w:cs="Arial" w:eastAsia="Arial" w:hAnsi="Arial"/>
          <w:sz w:val="17"/>
          <w:szCs w:val="17"/>
          <w:color w:val="auto"/>
        </w:rPr>
        <w:t xml:space="preserve"> Lender for making </w:t>
      </w:r>
      <w:r>
        <w:rPr>
          <w:rFonts w:ascii="Arial" w:cs="Arial" w:eastAsia="Arial" w:hAnsi="Arial"/>
          <w:sz w:val="17"/>
          <w:szCs w:val="17"/>
          <w:color w:val="FF0000"/>
          <w:strike w:val="1"/>
        </w:rPr>
        <w:t>Loans</w:t>
      </w:r>
      <w:r>
        <w:rPr>
          <w:rFonts w:ascii="Arial" w:cs="Arial" w:eastAsia="Arial" w:hAnsi="Arial"/>
          <w:sz w:val="17"/>
          <w:szCs w:val="17"/>
          <w:u w:val="single" w:color="auto"/>
          <w:color w:val="0000FF"/>
        </w:rPr>
        <w:t>Revolving Credit Loans or any Issuing Lender for issuing Letters of Credit, as applicable,</w:t>
      </w:r>
      <w:r>
        <w:rPr>
          <w:rFonts w:ascii="Arial" w:cs="Arial" w:eastAsia="Arial" w:hAnsi="Arial"/>
          <w:sz w:val="17"/>
          <w:szCs w:val="17"/>
          <w:color w:val="auto"/>
        </w:rPr>
        <w:t xml:space="preserve"> unless such authorization has been obtained and remains in full force and effect. In the case of any such request with respect to the making of </w:t>
      </w:r>
      <w:r>
        <w:rPr>
          <w:rFonts w:ascii="Arial" w:cs="Arial" w:eastAsia="Arial" w:hAnsi="Arial"/>
          <w:sz w:val="17"/>
          <w:szCs w:val="17"/>
          <w:color w:val="FF0000"/>
          <w:strike w:val="1"/>
        </w:rPr>
        <w:t>Eurocurrency Rate</w:t>
      </w:r>
      <w:r>
        <w:rPr>
          <w:rFonts w:ascii="Arial" w:cs="Arial" w:eastAsia="Arial" w:hAnsi="Arial"/>
          <w:sz w:val="17"/>
          <w:szCs w:val="17"/>
          <w:u w:val="single" w:color="auto"/>
          <w:color w:val="0000FF"/>
        </w:rPr>
        <w:t>Revolving Credit</w:t>
      </w:r>
      <w:r>
        <w:rPr>
          <w:rFonts w:ascii="Arial" w:cs="Arial" w:eastAsia="Arial" w:hAnsi="Arial"/>
          <w:sz w:val="17"/>
          <w:szCs w:val="17"/>
          <w:color w:val="FF0000"/>
        </w:rPr>
        <w:t xml:space="preserve"> </w:t>
      </w:r>
      <w:r>
        <w:rPr>
          <w:rFonts w:ascii="Arial" w:cs="Arial" w:eastAsia="Arial" w:hAnsi="Arial"/>
          <w:sz w:val="17"/>
          <w:szCs w:val="17"/>
          <w:color w:val="000000"/>
        </w:rPr>
        <w:t>Loans, such request shall be subject to the approval of the Administrative Agent and the Revolving Credit Lenders;</w:t>
      </w:r>
      <w:r>
        <w:rPr>
          <w:rFonts w:ascii="Arial" w:cs="Arial" w:eastAsia="Arial" w:hAnsi="Arial"/>
          <w:sz w:val="17"/>
          <w:szCs w:val="17"/>
          <w:color w:val="FF0000"/>
        </w:rPr>
        <w:t xml:space="preserve"> </w:t>
      </w:r>
      <w:r>
        <w:rPr>
          <w:rFonts w:ascii="Arial" w:cs="Arial" w:eastAsia="Arial" w:hAnsi="Arial"/>
          <w:sz w:val="17"/>
          <w:szCs w:val="17"/>
          <w:color w:val="000000"/>
        </w:rPr>
        <w:t>and in the case of any such request with respect to the issuance of Letters of Credit, such request shall be subject to the approval of the Administrative Agent, the Revolving Credit Lenders and the applicable Issuing Lender or Issuing Lenders.</w:t>
      </w:r>
    </w:p>
    <w:p>
      <w:pPr>
        <w:spacing w:after="0" w:line="77" w:lineRule="exact"/>
        <w:rPr>
          <w:rFonts w:ascii="Arial" w:cs="Arial" w:eastAsia="Arial" w:hAnsi="Arial"/>
          <w:sz w:val="17"/>
          <w:szCs w:val="17"/>
          <w:color w:val="auto"/>
        </w:rPr>
      </w:pPr>
    </w:p>
    <w:p>
      <w:pPr>
        <w:ind w:firstLine="436"/>
        <w:spacing w:after="0" w:line="290" w:lineRule="auto"/>
        <w:tabs>
          <w:tab w:leader="none" w:pos="6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such request shall be made to the Administrative Agent not later than 11:00 a.m., (i) with respect to a request for an additional Alternative Currency, 20 Business Days prior to the date of the desired Extension of Credit (or such other time or date as may be agreed by the Administrative Agent in its sole discretion) or (ii) with respect to a request for an additional Alternative L/C Currency, 5 Business Days prior to the date of the desired Letter of Credit (or such other time or date as may be agreed by the applicable Issuing Lender</w:t>
      </w:r>
      <w:r>
        <w:rPr>
          <w:rFonts w:ascii="Arial" w:cs="Arial" w:eastAsia="Arial" w:hAnsi="Arial"/>
          <w:sz w:val="16"/>
          <w:szCs w:val="16"/>
          <w:u w:val="single" w:color="auto"/>
          <w:color w:val="0000FF"/>
        </w:rPr>
        <w:t>(s)</w:t>
      </w:r>
      <w:r>
        <w:rPr>
          <w:rFonts w:ascii="Arial" w:cs="Arial" w:eastAsia="Arial" w:hAnsi="Arial"/>
          <w:sz w:val="16"/>
          <w:szCs w:val="16"/>
          <w:color w:val="auto"/>
        </w:rPr>
        <w:t xml:space="preserve">, in its </w:t>
      </w:r>
      <w:r>
        <w:rPr>
          <w:rFonts w:ascii="Arial" w:cs="Arial" w:eastAsia="Arial" w:hAnsi="Arial"/>
          <w:sz w:val="16"/>
          <w:szCs w:val="16"/>
          <w:u w:val="single" w:color="auto"/>
          <w:color w:val="0000FF"/>
        </w:rPr>
        <w:t>(their)</w:t>
      </w:r>
      <w:r>
        <w:rPr>
          <w:rFonts w:ascii="Arial" w:cs="Arial" w:eastAsia="Arial" w:hAnsi="Arial"/>
          <w:sz w:val="16"/>
          <w:szCs w:val="16"/>
          <w:color w:val="auto"/>
        </w:rPr>
        <w:t xml:space="preserve"> sole discretion</w:t>
      </w:r>
      <w:r>
        <w:rPr>
          <w:rFonts w:ascii="Arial" w:cs="Arial" w:eastAsia="Arial" w:hAnsi="Arial"/>
          <w:sz w:val="16"/>
          <w:szCs w:val="16"/>
          <w:color w:val="FF0000"/>
          <w:strike w:val="1"/>
        </w:rPr>
        <w:t>)</w:t>
      </w:r>
      <w:r>
        <w:rPr>
          <w:rFonts w:ascii="Arial" w:cs="Arial" w:eastAsia="Arial" w:hAnsi="Arial"/>
          <w:sz w:val="16"/>
          <w:szCs w:val="16"/>
          <w:u w:val="single" w:color="auto"/>
          <w:color w:val="0000FF"/>
        </w:rPr>
        <w:t>, with notice to the Administrative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Agent). Each such request shall also identify the applicable benchmark rate that is to apply to Obligations, interest, fees, commissions or other amounts denominated in, or calculated with respect to, such requested additional Alternative Currency</w:t>
      </w:r>
      <w:r>
        <w:rPr>
          <w:rFonts w:ascii="Arial" w:cs="Arial" w:eastAsia="Arial" w:hAnsi="Arial"/>
          <w:sz w:val="16"/>
          <w:szCs w:val="16"/>
          <w:color w:val="000000"/>
        </w:rPr>
        <w:t>. In the case of any such request pertaining to</w:t>
      </w:r>
      <w:r>
        <w:rPr>
          <w:rFonts w:ascii="Arial" w:cs="Arial" w:eastAsia="Arial" w:hAnsi="Arial"/>
          <w:sz w:val="16"/>
          <w:szCs w:val="16"/>
          <w:color w:val="0000FF"/>
        </w:rPr>
        <w:t xml:space="preserve"> </w:t>
      </w:r>
      <w:r>
        <w:rPr>
          <w:rFonts w:ascii="Arial" w:cs="Arial" w:eastAsia="Arial" w:hAnsi="Arial"/>
          <w:sz w:val="16"/>
          <w:szCs w:val="16"/>
          <w:color w:val="FF0000"/>
          <w:strike w:val="1"/>
        </w:rPr>
        <w:t>Eurocurrency</w:t>
      </w:r>
      <w:r>
        <w:rPr>
          <w:rFonts w:ascii="Arial" w:cs="Arial" w:eastAsia="Arial" w:hAnsi="Arial"/>
          <w:sz w:val="16"/>
          <w:szCs w:val="16"/>
          <w:color w:val="0000FF"/>
        </w:rPr>
        <w:t xml:space="preserve"> </w:t>
      </w:r>
      <w:r>
        <w:rPr>
          <w:rFonts w:ascii="Arial" w:cs="Arial" w:eastAsia="Arial" w:hAnsi="Arial"/>
          <w:sz w:val="16"/>
          <w:szCs w:val="16"/>
          <w:color w:val="FF0000"/>
          <w:strike w:val="1"/>
        </w:rPr>
        <w:t>Rate</w:t>
      </w:r>
      <w:r>
        <w:rPr>
          <w:rFonts w:ascii="Arial" w:cs="Arial" w:eastAsia="Arial" w:hAnsi="Arial"/>
          <w:sz w:val="16"/>
          <w:szCs w:val="16"/>
          <w:u w:val="single" w:color="auto"/>
          <w:color w:val="0000FF"/>
        </w:rPr>
        <w:t>Revolving Credit</w:t>
      </w:r>
      <w:r>
        <w:rPr>
          <w:rFonts w:ascii="Arial" w:cs="Arial" w:eastAsia="Arial" w:hAnsi="Arial"/>
          <w:sz w:val="16"/>
          <w:szCs w:val="16"/>
          <w:color w:val="FF0000"/>
        </w:rPr>
        <w:t xml:space="preserve"> </w:t>
      </w:r>
      <w:r>
        <w:rPr>
          <w:rFonts w:ascii="Arial" w:cs="Arial" w:eastAsia="Arial" w:hAnsi="Arial"/>
          <w:sz w:val="16"/>
          <w:szCs w:val="16"/>
          <w:color w:val="000000"/>
        </w:rPr>
        <w:t>Loans, the Administrative Agent shall promptly notify each Revolving Credit Lender thereof; and in the case of any such request</w:t>
      </w:r>
      <w:r>
        <w:rPr>
          <w:rFonts w:ascii="Arial" w:cs="Arial" w:eastAsia="Arial" w:hAnsi="Arial"/>
          <w:sz w:val="16"/>
          <w:szCs w:val="16"/>
          <w:color w:val="FF0000"/>
        </w:rPr>
        <w:t xml:space="preserve"> </w:t>
      </w:r>
      <w:r>
        <w:rPr>
          <w:rFonts w:ascii="Arial" w:cs="Arial" w:eastAsia="Arial" w:hAnsi="Arial"/>
          <w:sz w:val="16"/>
          <w:szCs w:val="16"/>
          <w:color w:val="000000"/>
        </w:rPr>
        <w:t xml:space="preserve">pertaining to Letters of Credit, the Administrative Agent shall promptly notify the </w:t>
      </w:r>
      <w:r>
        <w:rPr>
          <w:rFonts w:ascii="Arial" w:cs="Arial" w:eastAsia="Arial" w:hAnsi="Arial"/>
          <w:sz w:val="16"/>
          <w:szCs w:val="16"/>
          <w:u w:val="single" w:color="auto"/>
          <w:color w:val="0000FF"/>
        </w:rPr>
        <w:t>applicable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490" w:right="459" w:bottom="1440" w:gutter="0" w:footer="0" w:header="0"/>
        </w:sectPr>
      </w:pPr>
    </w:p>
    <w:bookmarkStart w:id="99" w:name="page100"/>
    <w:bookmarkEnd w:id="9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Issuing Lender</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thereof. Each Revolving Credit Lender (in the case of any such request pertaining to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Revolving Credit</w:t>
      </w:r>
      <w:r>
        <w:rPr>
          <w:rFonts w:ascii="Arial" w:cs="Arial" w:eastAsia="Arial" w:hAnsi="Arial"/>
          <w:sz w:val="18"/>
          <w:szCs w:val="18"/>
          <w:color w:val="auto"/>
        </w:rPr>
        <w:t xml:space="preserve"> Loans) shall notify the Administrative Agent, not later than 11:00 a.m., ten Business Days after receipt of such request whether it consents, in its sole discretion, to the making of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Revolving Credit</w:t>
      </w:r>
      <w:r>
        <w:rPr>
          <w:rFonts w:ascii="Arial" w:cs="Arial" w:eastAsia="Arial" w:hAnsi="Arial"/>
          <w:sz w:val="18"/>
          <w:szCs w:val="18"/>
          <w:color w:val="auto"/>
        </w:rPr>
        <w:t xml:space="preserve"> Loans in such requested currency </w:t>
      </w:r>
      <w:r>
        <w:rPr>
          <w:rFonts w:ascii="Arial" w:cs="Arial" w:eastAsia="Arial" w:hAnsi="Arial"/>
          <w:sz w:val="18"/>
          <w:szCs w:val="18"/>
          <w:u w:val="single" w:color="auto"/>
          <w:color w:val="0000FF"/>
        </w:rPr>
        <w:t>and the usage of such benchmark rate</w:t>
      </w:r>
      <w:r>
        <w:rPr>
          <w:rFonts w:ascii="Arial" w:cs="Arial" w:eastAsia="Arial" w:hAnsi="Arial"/>
          <w:sz w:val="18"/>
          <w:szCs w:val="18"/>
          <w:color w:val="auto"/>
        </w:rPr>
        <w:t>. The applicable Issuing Lender</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(in the case of a request pertaining to Letters of Credit) shall notify the Administrative Agent, not later than 11:00 a.m., three Business Days after receipt of such request whether it consents, in its sole discretion, to the issuance of Letters of Credit in such requested currency </w:t>
      </w:r>
      <w:r>
        <w:rPr>
          <w:rFonts w:ascii="Arial" w:cs="Arial" w:eastAsia="Arial" w:hAnsi="Arial"/>
          <w:sz w:val="18"/>
          <w:szCs w:val="18"/>
          <w:color w:val="0000FF"/>
        </w:rPr>
        <w:t>and the usage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such benchmark rate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-442595</wp:posOffset>
            </wp:positionV>
            <wp:extent cx="17481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48155"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-142240</wp:posOffset>
            </wp:positionV>
            <wp:extent cx="7715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-168275</wp:posOffset>
            </wp:positionV>
            <wp:extent cx="7740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64" w:lineRule="exact"/>
        <w:rPr>
          <w:sz w:val="20"/>
          <w:szCs w:val="20"/>
          <w:color w:val="auto"/>
        </w:rPr>
      </w:pPr>
    </w:p>
    <w:p>
      <w:pPr>
        <w:ind w:right="40" w:firstLine="436"/>
        <w:spacing w:after="0" w:line="287" w:lineRule="auto"/>
        <w:tabs>
          <w:tab w:leader="none" w:pos="67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failure by a Revolving Credit Lender or the applicable Issuing Lender</w:t>
      </w:r>
      <w:r>
        <w:rPr>
          <w:rFonts w:ascii="Arial" w:cs="Arial" w:eastAsia="Arial" w:hAnsi="Arial"/>
          <w:sz w:val="16"/>
          <w:szCs w:val="16"/>
          <w:u w:val="single" w:color="auto"/>
          <w:color w:val="0000FF"/>
        </w:rPr>
        <w:t>(s)</w:t>
      </w:r>
      <w:r>
        <w:rPr>
          <w:rFonts w:ascii="Arial" w:cs="Arial" w:eastAsia="Arial" w:hAnsi="Arial"/>
          <w:sz w:val="16"/>
          <w:szCs w:val="16"/>
          <w:color w:val="auto"/>
        </w:rPr>
        <w:t>, as the case may be, to respond to such request within the time period specified in the preceding sentence shall be deemed to be a refusal by such Lender or the applicable Issuing Lender</w:t>
      </w:r>
      <w:r>
        <w:rPr>
          <w:rFonts w:ascii="Arial" w:cs="Arial" w:eastAsia="Arial" w:hAnsi="Arial"/>
          <w:sz w:val="16"/>
          <w:szCs w:val="16"/>
          <w:u w:val="single" w:color="auto"/>
          <w:color w:val="0000FF"/>
        </w:rPr>
        <w:t>(s)</w:t>
      </w:r>
      <w:r>
        <w:rPr>
          <w:rFonts w:ascii="Arial" w:cs="Arial" w:eastAsia="Arial" w:hAnsi="Arial"/>
          <w:sz w:val="16"/>
          <w:szCs w:val="16"/>
          <w:color w:val="auto"/>
        </w:rPr>
        <w:t xml:space="preserve">, as the case may be, to permit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Revolving Credit</w:t>
      </w:r>
      <w:r>
        <w:rPr>
          <w:rFonts w:ascii="Arial" w:cs="Arial" w:eastAsia="Arial" w:hAnsi="Arial"/>
          <w:sz w:val="16"/>
          <w:szCs w:val="16"/>
          <w:color w:val="auto"/>
        </w:rPr>
        <w:t xml:space="preserve"> Loans to be made or Letters of Credit to be issued in such requested currency </w:t>
      </w:r>
      <w:r>
        <w:rPr>
          <w:rFonts w:ascii="Arial" w:cs="Arial" w:eastAsia="Arial" w:hAnsi="Arial"/>
          <w:sz w:val="16"/>
          <w:szCs w:val="16"/>
          <w:color w:val="0000FF"/>
        </w:rPr>
        <w:t>and such benchmark rate to be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used</w:t>
      </w:r>
      <w:r>
        <w:rPr>
          <w:rFonts w:ascii="Arial" w:cs="Arial" w:eastAsia="Arial" w:hAnsi="Arial"/>
          <w:sz w:val="16"/>
          <w:szCs w:val="16"/>
          <w:color w:val="000000"/>
        </w:rPr>
        <w:t>. If the Administrative Agent and all the Revolving Credit Lenders consent to making</w:t>
      </w:r>
      <w:r>
        <w:rPr>
          <w:rFonts w:ascii="Arial" w:cs="Arial" w:eastAsia="Arial" w:hAnsi="Arial"/>
          <w:sz w:val="16"/>
          <w:szCs w:val="16"/>
          <w:color w:val="0000FF"/>
        </w:rPr>
        <w:t xml:space="preserv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Revolving Credit</w:t>
      </w:r>
      <w:r>
        <w:rPr>
          <w:rFonts w:ascii="Arial" w:cs="Arial" w:eastAsia="Arial" w:hAnsi="Arial"/>
          <w:sz w:val="16"/>
          <w:szCs w:val="16"/>
          <w:color w:val="0000FF"/>
        </w:rPr>
        <w:t xml:space="preserve"> </w:t>
      </w:r>
      <w:r>
        <w:rPr>
          <w:rFonts w:ascii="Arial" w:cs="Arial" w:eastAsia="Arial" w:hAnsi="Arial"/>
          <w:sz w:val="16"/>
          <w:szCs w:val="16"/>
          <w:color w:val="000000"/>
        </w:rPr>
        <w:t>Loans in such requested</w:t>
      </w:r>
      <w:r>
        <w:rPr>
          <w:rFonts w:ascii="Arial" w:cs="Arial" w:eastAsia="Arial" w:hAnsi="Arial"/>
          <w:sz w:val="16"/>
          <w:szCs w:val="16"/>
          <w:color w:val="0000FF"/>
        </w:rPr>
        <w:t xml:space="preserve"> </w:t>
      </w:r>
      <w:r>
        <w:rPr>
          <w:rFonts w:ascii="Arial" w:cs="Arial" w:eastAsia="Arial" w:hAnsi="Arial"/>
          <w:sz w:val="16"/>
          <w:szCs w:val="16"/>
          <w:color w:val="000000"/>
        </w:rPr>
        <w:t xml:space="preserve">currency </w:t>
      </w:r>
      <w:r>
        <w:rPr>
          <w:rFonts w:ascii="Arial" w:cs="Arial" w:eastAsia="Arial" w:hAnsi="Arial"/>
          <w:sz w:val="16"/>
          <w:szCs w:val="16"/>
          <w:color w:val="0000FF"/>
        </w:rPr>
        <w:t>and using such benchmark rate</w:t>
      </w:r>
      <w:r>
        <w:rPr>
          <w:rFonts w:ascii="Arial" w:cs="Arial" w:eastAsia="Arial" w:hAnsi="Arial"/>
          <w:sz w:val="16"/>
          <w:szCs w:val="16"/>
          <w:color w:val="000000"/>
        </w:rPr>
        <w:t xml:space="preserve">, the Administrative Agent shall so notify the Borrower and such currency shall thereupon be deemed for all purposes to be an Alternative Currency hereunder for purposes of any borrowings of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Revolving Credit</w:t>
      </w:r>
      <w:r>
        <w:rPr>
          <w:rFonts w:ascii="Arial" w:cs="Arial" w:eastAsia="Arial" w:hAnsi="Arial"/>
          <w:sz w:val="16"/>
          <w:szCs w:val="16"/>
          <w:color w:val="000000"/>
        </w:rPr>
        <w:t xml:space="preserve"> Loans; and if the Administrative Agent, all the Revolving Credit Lenders and the applicable Issuing Lender</w:t>
      </w:r>
      <w:r>
        <w:rPr>
          <w:rFonts w:ascii="Arial" w:cs="Arial" w:eastAsia="Arial" w:hAnsi="Arial"/>
          <w:sz w:val="16"/>
          <w:szCs w:val="16"/>
          <w:u w:val="single" w:color="auto"/>
          <w:color w:val="0000FF"/>
        </w:rPr>
        <w:t>(s)</w:t>
      </w:r>
      <w:r>
        <w:rPr>
          <w:rFonts w:ascii="Arial" w:cs="Arial" w:eastAsia="Arial" w:hAnsi="Arial"/>
          <w:sz w:val="16"/>
          <w:szCs w:val="16"/>
          <w:color w:val="000000"/>
        </w:rPr>
        <w:t xml:space="preserve"> consent to the issuance of Letters of Credit in such requested currency, the Administrative Agent shall so notify the Borrower and such currency shall thereupon be deemed for all purposes to be an Alternative L/C Currency hereunder for purposes of any Letter of Credit issuances by such Issuing Lender</w:t>
      </w:r>
      <w:r>
        <w:rPr>
          <w:rFonts w:ascii="Arial" w:cs="Arial" w:eastAsia="Arial" w:hAnsi="Arial"/>
          <w:sz w:val="16"/>
          <w:szCs w:val="16"/>
          <w:u w:val="single" w:color="auto"/>
          <w:color w:val="0000FF"/>
        </w:rPr>
        <w:t>(s)</w:t>
      </w:r>
      <w:r>
        <w:rPr>
          <w:rFonts w:ascii="Arial" w:cs="Arial" w:eastAsia="Arial" w:hAnsi="Arial"/>
          <w:sz w:val="16"/>
          <w:szCs w:val="16"/>
          <w:color w:val="000000"/>
        </w:rPr>
        <w:t xml:space="preserve">. If the Administrative Agent shall fail to obtain consent to any request for an additional currency under this </w:t>
      </w:r>
      <w:r>
        <w:rPr>
          <w:rFonts w:ascii="Arial" w:cs="Arial" w:eastAsia="Arial" w:hAnsi="Arial"/>
          <w:sz w:val="16"/>
          <w:szCs w:val="16"/>
          <w:u w:val="single" w:color="auto"/>
          <w:color w:val="000000"/>
        </w:rPr>
        <w:t>Section 1.13</w:t>
      </w:r>
      <w:r>
        <w:rPr>
          <w:rFonts w:ascii="Arial" w:cs="Arial" w:eastAsia="Arial" w:hAnsi="Arial"/>
          <w:sz w:val="16"/>
          <w:szCs w:val="16"/>
          <w:color w:val="000000"/>
        </w:rPr>
        <w:t>, the Administrative Agent shall promptly so notify the Borrower. Any specified currency of an Existing Letter of Credit that is neither Dollars nor one of the Alternative L/C Currencies specifically listed in the definition of “Alternative L/C Currency” shall be deemed an Alternative L/C Currency with respect to such Existing Letter of Credit only.</w:t>
      </w:r>
    </w:p>
    <w:p>
      <w:pPr>
        <w:spacing w:after="0" w:line="59" w:lineRule="exact"/>
        <w:rPr>
          <w:rFonts w:ascii="Arial" w:cs="Arial" w:eastAsia="Arial" w:hAnsi="Arial"/>
          <w:sz w:val="16"/>
          <w:szCs w:val="16"/>
          <w:color w:val="auto"/>
        </w:rPr>
      </w:pPr>
    </w:p>
    <w:p>
      <w:pPr>
        <w:ind w:right="20" w:firstLine="436"/>
        <w:spacing w:after="0" w:line="255" w:lineRule="auto"/>
        <w:tabs>
          <w:tab w:leader="none" w:pos="695" w:val="left"/>
        </w:tabs>
        <w:numPr>
          <w:ilvl w:val="0"/>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In connection with any approved request for an Alternative Currency or an Alternative L/C Currency, the Administrative Agent will have the right to make any technical, administrative or operational changes that the Administrative Agent decides may be appropriate to reflect the inclusion of such Alternative Currency or such Alternative L/C Currency, as applicable, and the adoption and implementation of the benchmark rate applicable thereto and to permit the administration thereof by the Administrative Agent from time to time and, </w:t>
      </w:r>
      <w:r>
        <w:rPr>
          <w:rFonts w:ascii="Arial" w:cs="Arial" w:eastAsia="Arial" w:hAnsi="Arial"/>
          <w:sz w:val="18"/>
          <w:szCs w:val="18"/>
          <w:u w:val="single" w:color="auto"/>
          <w:color w:val="008000"/>
        </w:rPr>
        <w:t>notwithstanding anything to the contrary herein</w:t>
      </w:r>
      <w:r>
        <w:rPr>
          <w:rFonts w:ascii="Arial" w:cs="Arial" w:eastAsia="Arial" w:hAnsi="Arial"/>
          <w:sz w:val="18"/>
          <w:szCs w:val="18"/>
          <w:u w:val="single" w:color="auto"/>
          <w:color w:val="0000FF"/>
        </w:rPr>
        <w:t xml:space="preserve"> or in any other Loan Document, any amendments implementing such changes will </w:t>
      </w:r>
      <w:r>
        <w:rPr>
          <w:rFonts w:ascii="Arial" w:cs="Arial" w:eastAsia="Arial" w:hAnsi="Arial"/>
          <w:sz w:val="18"/>
          <w:szCs w:val="18"/>
          <w:u w:val="single" w:color="auto"/>
          <w:color w:val="008000"/>
        </w:rPr>
        <w:t>become effective without any further action or consent of any other party</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to this Agreement </w:t>
      </w:r>
      <w:r>
        <w:rPr>
          <w:rFonts w:ascii="Arial" w:cs="Arial" w:eastAsia="Arial" w:hAnsi="Arial"/>
          <w:sz w:val="18"/>
          <w:szCs w:val="18"/>
          <w:u w:val="single" w:color="auto"/>
          <w:color w:val="0000FF"/>
        </w:rPr>
        <w:t>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-2131060</wp:posOffset>
            </wp:positionV>
            <wp:extent cx="14230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-2157095</wp:posOffset>
            </wp:positionV>
            <wp:extent cx="14211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2113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-1856740</wp:posOffset>
            </wp:positionV>
            <wp:extent cx="1440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396875</wp:posOffset>
            </wp:positionH>
            <wp:positionV relativeFrom="paragraph">
              <wp:posOffset>-1882775</wp:posOffset>
            </wp:positionV>
            <wp:extent cx="14433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43355" cy="8890"/>
                    </a:xfrm>
                    <a:prstGeom prst="rect">
                      <a:avLst/>
                    </a:prstGeom>
                    <a:noFill/>
                  </pic:spPr>
                </pic:pic>
              </a:graphicData>
            </a:graphic>
          </wp:anchor>
        </w:drawing>
      </w:r>
    </w:p>
    <w:p>
      <w:pPr>
        <w:spacing w:after="0" w:line="17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Limited Condition Acquisitions</w:t>
      </w:r>
      <w:r>
        <w:rPr>
          <w:rFonts w:ascii="Arial" w:cs="Arial" w:eastAsia="Arial" w:hAnsi="Arial"/>
          <w:sz w:val="18"/>
          <w:szCs w:val="18"/>
          <w:color w:val="auto"/>
        </w:rPr>
        <w:t>. In the event that the Borrower notifies the Administrative Agent in writing that any proposed Acquisition is a Limited Condition Acquisition and that the Borrower wishes to test the conditions to such Acquisition and the incurrence and availability of the Indebtedness (other than a Revolving Credit Loan, Swingline Loan or Letter of Credit) that is to be used to finance such Acquisition in accordance with this Section, then the following provisions shall apply notwithstanding anything to the contrary in this Agreement or any other Loan Documents:</w:t>
      </w:r>
    </w:p>
    <w:p>
      <w:pPr>
        <w:spacing w:after="0" w:line="80" w:lineRule="exact"/>
        <w:rPr>
          <w:sz w:val="20"/>
          <w:szCs w:val="20"/>
          <w:color w:val="auto"/>
        </w:rPr>
      </w:pPr>
    </w:p>
    <w:p>
      <w:pPr>
        <w:ind w:right="100" w:firstLine="436"/>
        <w:spacing w:after="0" w:line="255"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any condition to such Acquisition or the incurrence or availability of such Indebtedness that requires that no Default or Event of Default shall have occurred and be continuing at the time of such Acquisition or the incurrence or initial availability of such Indebtedness, shall be satisfied if (i) no Default or Event of Default shall have occurred and be continuing at the time of the execution of the definitive purchase agreement, merger agreement or other acquisition agreement governing such Acquisition and (ii) no Event of Default under any of </w:t>
      </w:r>
      <w:r>
        <w:rPr>
          <w:rFonts w:ascii="Arial" w:cs="Arial" w:eastAsia="Arial" w:hAnsi="Arial"/>
          <w:sz w:val="18"/>
          <w:szCs w:val="18"/>
          <w:u w:val="single" w:color="auto"/>
          <w:color w:val="auto"/>
        </w:rPr>
        <w:t>Sections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10.1(f)</w:t>
      </w:r>
      <w:r>
        <w:rPr>
          <w:rFonts w:ascii="Arial" w:cs="Arial" w:eastAsia="Arial" w:hAnsi="Arial"/>
          <w:sz w:val="18"/>
          <w:szCs w:val="18"/>
          <w:color w:val="auto"/>
        </w:rPr>
        <w:t xml:space="preserve"> shall have occurred and be continuing both before and after giving effect to such Acquisition and any Indebtedness incurred in connection therewith (including such additional Indebtedness);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490" w:right="459" w:bottom="1440" w:gutter="0" w:footer="0" w:header="0"/>
        </w:sectPr>
      </w:pPr>
    </w:p>
    <w:bookmarkStart w:id="100" w:name="page101"/>
    <w:bookmarkEnd w:id="100"/>
    <w:p>
      <w:pPr>
        <w:ind w:left="4" w:right="20" w:firstLine="436"/>
        <w:spacing w:after="0" w:line="269" w:lineRule="auto"/>
        <w:tabs>
          <w:tab w:leader="none" w:pos="699" w:val="left"/>
        </w:tabs>
        <w:numPr>
          <w:ilvl w:val="0"/>
          <w:numId w:val="66"/>
        </w:numPr>
        <w:rPr>
          <w:rFonts w:ascii="Arial" w:cs="Arial" w:eastAsia="Arial" w:hAnsi="Arial"/>
          <w:sz w:val="17"/>
          <w:szCs w:val="17"/>
          <w:color w:val="FF0000"/>
          <w:strike w:val="1"/>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any condition to such Acquisition or the incurrence and availability of such Indebtedness that the representations and warranties in </w:t>
      </w:r>
      <w:r>
        <w:rPr>
          <w:rFonts w:ascii="Arial" w:cs="Arial" w:eastAsia="Arial" w:hAnsi="Arial"/>
          <w:sz w:val="17"/>
          <w:szCs w:val="17"/>
          <w:color w:val="008000"/>
          <w:strike w:val="1"/>
        </w:rPr>
        <w:t>this</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Agreement and the other Loan Documents </w:t>
      </w:r>
      <w:r>
        <w:rPr>
          <w:rFonts w:ascii="Arial" w:cs="Arial" w:eastAsia="Arial" w:hAnsi="Arial"/>
          <w:sz w:val="17"/>
          <w:szCs w:val="17"/>
          <w:color w:val="FF0000"/>
          <w:strike w:val="1"/>
        </w:rPr>
        <w:t>shall be true and correct at the time of such Acquisition or the incurrence or initial availability of such</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 xml:space="preserve">Indebtedness shall be subject to customary “SunGard” or other customary applicable “certain funds” conditionality provisions (including, without limitation, a condition that the representations and warranties under the relevant agreements relating to such Limited Condition Acquisition as are material to the lenders providing such Indebtedness shall be true and correct, but only to the extent that the Borrower or its applicable Subsidiary has the right to terminate its obligations under such agreement as a result of a breach of such representations and warranties or the failure of those representations and warranties to be true and correct) as determined, with respect to any Incremental Term Loan to finance such Limited Condition Acquisition, by the Lenders providing any Incremental Term Loan, so long, in each case, as all representations and warranties in </w:t>
      </w:r>
      <w:r>
        <w:rPr>
          <w:rFonts w:ascii="Arial" w:cs="Arial" w:eastAsia="Arial" w:hAnsi="Arial"/>
          <w:sz w:val="17"/>
          <w:szCs w:val="17"/>
          <w:color w:val="008000"/>
          <w:strike w:val="1"/>
        </w:rPr>
        <w:t>this Agreement and the</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other Loan Documents </w:t>
      </w:r>
      <w:r>
        <w:rPr>
          <w:rFonts w:ascii="Arial" w:cs="Arial" w:eastAsia="Arial" w:hAnsi="Arial"/>
          <w:sz w:val="17"/>
          <w:szCs w:val="17"/>
          <w:color w:val="FF0000"/>
          <w:strike w:val="1"/>
        </w:rPr>
        <w:t>are true and correct at the time of execution of the definitive purchase agreement, merger agreement or other acquisition</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agreement governing such Acquisition;</w:t>
      </w:r>
    </w:p>
    <w:p>
      <w:pPr>
        <w:spacing w:after="0" w:line="77" w:lineRule="exact"/>
        <w:rPr>
          <w:sz w:val="20"/>
          <w:szCs w:val="20"/>
          <w:color w:val="auto"/>
        </w:rPr>
      </w:pPr>
    </w:p>
    <w:p>
      <w:pPr>
        <w:ind w:left="704" w:hanging="264"/>
        <w:spacing w:after="0"/>
        <w:tabs>
          <w:tab w:leader="none" w:pos="704" w:val="left"/>
        </w:tabs>
        <w:numPr>
          <w:ilvl w:val="0"/>
          <w:numId w:val="6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4" w:firstLine="436"/>
        <w:spacing w:after="0" w:line="273" w:lineRule="auto"/>
        <w:tabs>
          <w:tab w:leader="none" w:pos="689"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any financial ratio test or condition, may upon the written election of the Borrower delivered to the Administrative Agent prior to the execution of the definitive agreement for such Acquisition, be tested either (i) upon the execution of the definitive agreement with respect to such Limited Condition Acquisition or (ii) upon the consummation of the Limited Condition Acquisition and related incurrence of Indebtedness, in each case, after giving effect to the relevant Limited Condition Acquisition and related incurrence of Indebtedness, on a pro forma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deliver a notice under this </w:t>
      </w:r>
      <w:r>
        <w:rPr>
          <w:rFonts w:ascii="Arial" w:cs="Arial" w:eastAsia="Arial" w:hAnsi="Arial"/>
          <w:sz w:val="17"/>
          <w:szCs w:val="17"/>
          <w:u w:val="single" w:color="auto"/>
          <w:color w:val="auto"/>
        </w:rPr>
        <w:t>Section 1.14(c)</w:t>
      </w:r>
      <w:r>
        <w:rPr>
          <w:rFonts w:ascii="Arial" w:cs="Arial" w:eastAsia="Arial" w:hAnsi="Arial"/>
          <w:sz w:val="17"/>
          <w:szCs w:val="17"/>
          <w:color w:val="auto"/>
        </w:rPr>
        <w:t xml:space="preserve"> prior to the date of execution of the definitive agreement for such Limited Condition Acquisition shall be deemed an election to test the applicable financial ratio under subclause (ii) of this </w:t>
      </w:r>
      <w:r>
        <w:rPr>
          <w:rFonts w:ascii="Arial" w:cs="Arial" w:eastAsia="Arial" w:hAnsi="Arial"/>
          <w:sz w:val="17"/>
          <w:szCs w:val="17"/>
          <w:u w:val="single" w:color="auto"/>
          <w:color w:val="auto"/>
        </w:rPr>
        <w:t>Section 1.14(c)</w:t>
      </w:r>
      <w:r>
        <w:rPr>
          <w:rFonts w:ascii="Arial" w:cs="Arial" w:eastAsia="Arial" w:hAnsi="Arial"/>
          <w:sz w:val="17"/>
          <w:szCs w:val="17"/>
          <w:color w:val="auto"/>
        </w:rPr>
        <w:t>; and</w:t>
      </w:r>
    </w:p>
    <w:p>
      <w:pPr>
        <w:spacing w:after="0" w:line="69" w:lineRule="exact"/>
        <w:rPr>
          <w:rFonts w:ascii="Arial" w:cs="Arial" w:eastAsia="Arial" w:hAnsi="Arial"/>
          <w:sz w:val="17"/>
          <w:szCs w:val="17"/>
          <w:color w:val="auto"/>
        </w:rPr>
      </w:pPr>
    </w:p>
    <w:p>
      <w:pPr>
        <w:ind w:left="4" w:right="80" w:firstLine="436"/>
        <w:spacing w:after="0" w:line="287" w:lineRule="auto"/>
        <w:tabs>
          <w:tab w:leader="none" w:pos="699"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if the Borrower has made an election with respect to any Limited Condition Acquisition to test a financial ratio test or condition at the time specified in clause (c)(i) of this Section, then, except as provided in the next sentence, in connection with any subsequent calculation of any ratio or basket on or following the relevant date of execution of the definitive agreement with respect to such Limited Condition Acquisition and prior to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required to be satisfied (x) on a pro forma basis assuming such Limited Condition Acquisition and other transactions in connection therewith (including the incurrence or assumption of Indebtedness) have been consummated and (y) assuming such Limited Condition Acquisition and other transactions in connection therewith (including the incurrence or assumption of Indebtedness) have not been consummated. Notwithstanding the foregoing, any calculation of a ratio in connection with determining the Applicable Margin and determining whether or not the Borrower is in compliance with the requirements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shall, in each case be calculated assuming such Limited Condition Acquisition and other transactions in connection therewith (including the incurrence or assumption of Indebtedness) have not been consummated.</w:t>
      </w:r>
    </w:p>
    <w:p>
      <w:pPr>
        <w:spacing w:after="0" w:line="172"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The foregoing provisions shall apply with similar effect during the pendency of multiple Limited Condition Acquisitions such that each of the possible scenarios is separately tested.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Rates</w:t>
      </w:r>
      <w:r>
        <w:rPr>
          <w:rFonts w:ascii="Arial" w:cs="Arial" w:eastAsia="Arial" w:hAnsi="Arial"/>
          <w:sz w:val="16"/>
          <w:szCs w:val="16"/>
          <w:color w:val="auto"/>
        </w:rPr>
        <w:t xml:space="preserve">. The Administrative Agent does not warrant or accept </w:t>
      </w:r>
      <w:r>
        <w:rPr>
          <w:rFonts w:ascii="Arial" w:cs="Arial" w:eastAsia="Arial" w:hAnsi="Arial"/>
          <w:sz w:val="16"/>
          <w:szCs w:val="16"/>
          <w:u w:val="single" w:color="auto"/>
          <w:color w:val="0000FF"/>
        </w:rPr>
        <w:t>any</w:t>
      </w:r>
      <w:r>
        <w:rPr>
          <w:rFonts w:ascii="Arial" w:cs="Arial" w:eastAsia="Arial" w:hAnsi="Arial"/>
          <w:sz w:val="16"/>
          <w:szCs w:val="16"/>
          <w:color w:val="auto"/>
        </w:rPr>
        <w:t xml:space="preserve"> responsibility for, and shall not have any liability with respect to,</w:t>
      </w:r>
    </w:p>
    <w:p>
      <w:pPr>
        <w:spacing w:after="0" w:line="46" w:lineRule="exact"/>
        <w:rPr>
          <w:sz w:val="20"/>
          <w:szCs w:val="20"/>
          <w:color w:val="auto"/>
        </w:rPr>
      </w:pPr>
    </w:p>
    <w:p>
      <w:pPr>
        <w:ind w:left="4" w:right="600" w:hanging="4"/>
        <w:spacing w:after="0" w:line="290" w:lineRule="auto"/>
        <w:tabs>
          <w:tab w:leader="none" w:pos="249" w:val="left"/>
        </w:tabs>
        <w:numPr>
          <w:ilvl w:val="0"/>
          <w:numId w:val="68"/>
        </w:numPr>
        <w:rPr>
          <w:rFonts w:ascii="Arial" w:cs="Arial" w:eastAsia="Arial" w:hAnsi="Arial"/>
          <w:sz w:val="17"/>
          <w:szCs w:val="17"/>
          <w:u w:val="single" w:color="auto"/>
          <w:color w:val="0000FF"/>
        </w:rPr>
      </w:pPr>
      <w:r>
        <w:rPr>
          <w:rFonts w:ascii="Arial" w:cs="Arial" w:eastAsia="Arial" w:hAnsi="Arial"/>
          <w:sz w:val="17"/>
          <w:szCs w:val="17"/>
          <w:color w:val="auto"/>
        </w:rPr>
        <w:t xml:space="preserve">the </w:t>
      </w:r>
      <w:r>
        <w:rPr>
          <w:rFonts w:ascii="Arial" w:cs="Arial" w:eastAsia="Arial" w:hAnsi="Arial"/>
          <w:sz w:val="17"/>
          <w:szCs w:val="17"/>
          <w:u w:val="single" w:color="auto"/>
          <w:color w:val="0000FF"/>
        </w:rPr>
        <w:t>continuation of,</w:t>
      </w:r>
      <w:r>
        <w:rPr>
          <w:rFonts w:ascii="Arial" w:cs="Arial" w:eastAsia="Arial" w:hAnsi="Arial"/>
          <w:sz w:val="17"/>
          <w:szCs w:val="17"/>
          <w:color w:val="auto"/>
        </w:rPr>
        <w:t xml:space="preserve"> administration </w:t>
      </w:r>
      <w:r>
        <w:rPr>
          <w:rFonts w:ascii="Arial" w:cs="Arial" w:eastAsia="Arial" w:hAnsi="Arial"/>
          <w:sz w:val="17"/>
          <w:szCs w:val="17"/>
          <w:color w:val="0000FF"/>
        </w:rPr>
        <w:t>of</w:t>
      </w:r>
      <w:r>
        <w:rPr>
          <w:rFonts w:ascii="Arial" w:cs="Arial" w:eastAsia="Arial" w:hAnsi="Arial"/>
          <w:sz w:val="17"/>
          <w:szCs w:val="17"/>
          <w:color w:val="auto"/>
        </w:rPr>
        <w:t xml:space="preserve">, submission </w:t>
      </w:r>
      <w:r>
        <w:rPr>
          <w:rFonts w:ascii="Arial" w:cs="Arial" w:eastAsia="Arial" w:hAnsi="Arial"/>
          <w:sz w:val="17"/>
          <w:szCs w:val="17"/>
          <w:u w:val="single" w:color="auto"/>
          <w:color w:val="0000FF"/>
        </w:rPr>
        <w:t>of, calculation of</w:t>
      </w:r>
      <w:r>
        <w:rPr>
          <w:rFonts w:ascii="Arial" w:cs="Arial" w:eastAsia="Arial" w:hAnsi="Arial"/>
          <w:sz w:val="17"/>
          <w:szCs w:val="17"/>
          <w:color w:val="auto"/>
        </w:rPr>
        <w:t xml:space="preserve"> or any other matter related to the </w:t>
      </w:r>
      <w:r>
        <w:rPr>
          <w:rFonts w:ascii="Arial" w:cs="Arial" w:eastAsia="Arial" w:hAnsi="Arial"/>
          <w:sz w:val="17"/>
          <w:szCs w:val="17"/>
          <w:color w:val="FF0000"/>
          <w:strike w:val="1"/>
        </w:rPr>
        <w:t>rates</w:t>
      </w:r>
      <w:r>
        <w:rPr>
          <w:rFonts w:ascii="Arial" w:cs="Arial" w:eastAsia="Arial" w:hAnsi="Arial"/>
          <w:sz w:val="17"/>
          <w:szCs w:val="17"/>
          <w:color w:val="auto"/>
        </w:rPr>
        <w:t xml:space="preserve"> </w:t>
      </w:r>
      <w:r>
        <w:rPr>
          <w:rFonts w:ascii="Arial" w:cs="Arial" w:eastAsia="Arial" w:hAnsi="Arial"/>
          <w:sz w:val="17"/>
          <w:szCs w:val="17"/>
          <w:color w:val="008000"/>
          <w:strike w:val="1"/>
        </w:rPr>
        <w:t>in the definition of “Eurocurrency</w:t>
      </w:r>
      <w:r>
        <w:rPr>
          <w:rFonts w:ascii="Arial" w:cs="Arial" w:eastAsia="Arial" w:hAnsi="Arial"/>
          <w:sz w:val="17"/>
          <w:szCs w:val="17"/>
          <w:color w:val="auto"/>
        </w:rPr>
        <w:t xml:space="preserve"> </w:t>
      </w:r>
      <w:r>
        <w:rPr>
          <w:rFonts w:ascii="Arial" w:cs="Arial" w:eastAsia="Arial" w:hAnsi="Arial"/>
          <w:sz w:val="17"/>
          <w:szCs w:val="17"/>
          <w:color w:val="008000"/>
          <w:strike w:val="1"/>
        </w:rPr>
        <w:t>Rate”.</w:t>
      </w:r>
      <w:r>
        <w:rPr>
          <w:rFonts w:ascii="Arial" w:cs="Arial" w:eastAsia="Arial" w:hAnsi="Arial"/>
          <w:sz w:val="17"/>
          <w:szCs w:val="17"/>
          <w:u w:val="single" w:color="auto"/>
          <w:color w:val="0000FF"/>
          <w:strike w:val="1"/>
        </w:rPr>
        <w:t>Term SOFR Reference Rate, Adjusted Term SOFR, Term SOFR, Adjusted Daily Simple SONIA, Daily Simple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-161925</wp:posOffset>
            </wp:positionV>
            <wp:extent cx="12890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-187960</wp:posOffset>
            </wp:positionV>
            <wp:extent cx="1238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7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4"/>
          </w:cols>
          <w:pgMar w:left="436" w:top="490" w:right="479" w:bottom="1440" w:gutter="0" w:footer="0" w:header="0"/>
        </w:sectPr>
      </w:pPr>
    </w:p>
    <w:bookmarkStart w:id="101" w:name="page102"/>
    <w:bookmarkEnd w:id="101"/>
    <w:p>
      <w:pPr>
        <w:spacing w:after="0" w:line="286"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SONIA,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5.8(c), will be similar to, or produce the same value or economic equivalence of, or have the same volume or liquidity as, the Term SOFR Reference Rate, Adjusted Term SOFR, Term SOFR, Adjusted Daily Simple SONIA, Daily Simple SONIA, the Eurocurrency Rate, the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REVOLVING CREDIT FACILITY</w:t>
      </w:r>
    </w:p>
    <w:p>
      <w:pPr>
        <w:spacing w:after="0" w:line="225"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Revolving Credit Loans</w:t>
      </w:r>
      <w:r>
        <w:rPr>
          <w:rFonts w:ascii="Arial" w:cs="Arial" w:eastAsia="Arial" w:hAnsi="Arial"/>
          <w:sz w:val="17"/>
          <w:szCs w:val="17"/>
          <w:color w:val="auto"/>
        </w:rPr>
        <w:t xml:space="preserve">. Subject to the terms and conditions of this Agreement, each Revolving Credit Lender severally agrees to make Revolving Credit Loans to the Borrower in Dollars or one or more Alternative Currencies from time to time from the Closing Date to, but not including, the Revolving Credit Maturity Date as requested by the Borrower in accordance with the terms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Revolving Credit Outstandings shall not exceed the Revolving Credit Commitment, (b) the Revolving Credit Exposure of any Revolving Credit Lender shall not at any time exceed such Revolving Credit Lender’s Revolving Credit Commitment</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color w:val="0000FF"/>
        </w:rPr>
        <w:t>and</w:t>
      </w:r>
      <w:r>
        <w:rPr>
          <w:rFonts w:ascii="Arial" w:cs="Arial" w:eastAsia="Arial" w:hAnsi="Arial"/>
          <w:sz w:val="17"/>
          <w:szCs w:val="17"/>
          <w:color w:val="auto"/>
        </w:rPr>
        <w:t xml:space="preserve"> (c) the aggregate principal amount of all outstanding Revolving Credit Loans denominated in Alternative Currencies and Letters of Credit denominated in Alternative L/C Currencies shall not exceed the Alternative Currency Sublimit </w:t>
      </w:r>
      <w:r>
        <w:rPr>
          <w:rFonts w:ascii="Arial" w:cs="Arial" w:eastAsia="Arial" w:hAnsi="Arial"/>
          <w:sz w:val="17"/>
          <w:szCs w:val="17"/>
          <w:color w:val="FF0000"/>
        </w:rPr>
        <w:t>and (d)</w:t>
      </w:r>
      <w:r>
        <w:rPr>
          <w:rFonts w:ascii="Arial" w:cs="Arial" w:eastAsia="Arial" w:hAnsi="Arial"/>
          <w:sz w:val="17"/>
          <w:szCs w:val="17"/>
          <w:color w:val="auto"/>
        </w:rPr>
        <w:t xml:space="preserve"> </w:t>
      </w:r>
      <w:r>
        <w:rPr>
          <w:rFonts w:ascii="Arial" w:cs="Arial" w:eastAsia="Arial" w:hAnsi="Arial"/>
          <w:sz w:val="17"/>
          <w:szCs w:val="17"/>
          <w:color w:val="008000"/>
          <w:strike w:val="1"/>
        </w:rPr>
        <w:t>notwithstanding anything to the contrary herein</w:t>
      </w:r>
      <w:r>
        <w:rPr>
          <w:rFonts w:ascii="Arial" w:cs="Arial" w:eastAsia="Arial" w:hAnsi="Arial"/>
          <w:sz w:val="17"/>
          <w:szCs w:val="17"/>
          <w:color w:val="FF0000"/>
          <w:strike w:val="1"/>
        </w:rPr>
        <w:t>, the Revolving Credit Lenders shall not be required to make any</w:t>
      </w:r>
      <w:r>
        <w:rPr>
          <w:rFonts w:ascii="Arial" w:cs="Arial" w:eastAsia="Arial" w:hAnsi="Arial"/>
          <w:sz w:val="17"/>
          <w:szCs w:val="17"/>
          <w:color w:val="auto"/>
        </w:rPr>
        <w:t xml:space="preserve"> </w:t>
      </w:r>
      <w:r>
        <w:rPr>
          <w:rFonts w:ascii="Arial" w:cs="Arial" w:eastAsia="Arial" w:hAnsi="Arial"/>
          <w:sz w:val="17"/>
          <w:szCs w:val="17"/>
          <w:color w:val="FF0000"/>
          <w:strike w:val="1"/>
        </w:rPr>
        <w:t>Revolving Credit Loans during the Limited Waiver Period</w:t>
      </w:r>
      <w:r>
        <w:rPr>
          <w:rFonts w:ascii="Arial" w:cs="Arial" w:eastAsia="Arial" w:hAnsi="Arial"/>
          <w:sz w:val="17"/>
          <w:szCs w:val="17"/>
          <w:color w:val="000000"/>
        </w:rPr>
        <w:t>. Each Revolving Credit Loan by a Revolving Credit Lender shall be in a principal amount</w:t>
      </w:r>
      <w:r>
        <w:rPr>
          <w:rFonts w:ascii="Arial" w:cs="Arial" w:eastAsia="Arial" w:hAnsi="Arial"/>
          <w:sz w:val="17"/>
          <w:szCs w:val="17"/>
          <w:color w:val="FF0000"/>
        </w:rPr>
        <w:t xml:space="preserve"> </w:t>
      </w:r>
      <w:r>
        <w:rPr>
          <w:rFonts w:ascii="Arial" w:cs="Arial" w:eastAsia="Arial" w:hAnsi="Arial"/>
          <w:sz w:val="17"/>
          <w:szCs w:val="17"/>
          <w:color w:val="000000"/>
        </w:rPr>
        <w:t>equal to such Revolving Credit Lender’s Revolving Credit Commitment Percentage of the aggregate principal amount of Revolving Credit Loans requested on such occasion. Subject to the terms and conditions hereof, the Borrower may borrow, repay and reborrow Revolving Credit Loans hereunder until the Revolving Credit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-835025</wp:posOffset>
            </wp:positionV>
            <wp:extent cx="1885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4237990</wp:posOffset>
            </wp:positionH>
            <wp:positionV relativeFrom="paragraph">
              <wp:posOffset>-860425</wp:posOffset>
            </wp:positionV>
            <wp:extent cx="1936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1387475</wp:posOffset>
            </wp:positionH>
            <wp:positionV relativeFrom="paragraph">
              <wp:posOffset>-637540</wp:posOffset>
            </wp:positionV>
            <wp:extent cx="3841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4175" cy="8890"/>
                    </a:xfrm>
                    <a:prstGeom prst="rect">
                      <a:avLst/>
                    </a:prstGeom>
                    <a:noFill/>
                  </pic:spPr>
                </pic:pic>
              </a:graphicData>
            </a:graphic>
          </wp:anchor>
        </w:drawing>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40" w:top="490" w:right="499" w:bottom="1440" w:gutter="0" w:footer="0" w:header="0"/>
        </w:sectPr>
      </w:pPr>
    </w:p>
    <w:bookmarkStart w:id="102" w:name="page103"/>
    <w:bookmarkEnd w:id="1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2.2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57" w:lineRule="auto"/>
        <w:tabs>
          <w:tab w:leader="none" w:pos="67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of this Agreement, including, without limitation,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this Agreement, the Swingline Lender may, in its sole discretion, make Swingline Loans in Dollars to the Borrower from time to time from the Closing Date to, but not including,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Refunding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9" w:lineRule="auto"/>
        <w:tabs>
          <w:tab w:leader="none" w:pos="1075"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The Swingline Lender, at any time and from time to time in its sole and absolute discretion may, on behalf of the Borrower (which hereby irrevocably directs the Swingline Lender to act on its behalf), by written notice given no later than 11:00 a.m. on any Business Day request each Revolving Credit Lender to make, and each Revolving Credit Lender hereby agrees to make, a Revolving Credit Loan </w:t>
      </w:r>
      <w:r>
        <w:rPr>
          <w:rFonts w:ascii="Arial" w:cs="Arial" w:eastAsia="Arial" w:hAnsi="Arial"/>
          <w:sz w:val="17"/>
          <w:szCs w:val="17"/>
          <w:u w:val="single" w:color="auto"/>
          <w:color w:val="0000FF"/>
        </w:rPr>
        <w:t>in Dollars</w:t>
      </w:r>
      <w:r>
        <w:rPr>
          <w:rFonts w:ascii="Arial" w:cs="Arial" w:eastAsia="Arial" w:hAnsi="Arial"/>
          <w:sz w:val="17"/>
          <w:szCs w:val="17"/>
          <w:color w:val="auto"/>
        </w:rPr>
        <w:t xml:space="preserve"> as a Base Rate Loan in an amount equal to such Revolving Credit Lender’s Revolving Credit Commitment Percentage of the aggregate amount of the Swingline Loans outstanding on the date of such notice, to repay the Swingline Lender. Each Revolving Credit Lender shall make the amount of such Revolving Credit Loan available to the Administrative Agent in immediately available funds at the Administrative Agent’s Office not later than 1:00 p.m. on the day specified in such notice. The proceeds of such Revolving Credit Loans shall be immediately made available by the Administrative Agent to the Swingline Lender for application by the Swingline Lender to the repayment of the Swingline Loans.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70" w:lineRule="exact"/>
        <w:rPr>
          <w:rFonts w:ascii="Arial" w:cs="Arial" w:eastAsia="Arial" w:hAnsi="Arial"/>
          <w:sz w:val="17"/>
          <w:szCs w:val="17"/>
          <w:color w:val="auto"/>
        </w:rPr>
      </w:pPr>
    </w:p>
    <w:p>
      <w:pPr>
        <w:ind w:left="440" w:firstLine="419"/>
        <w:spacing w:after="0" w:line="253" w:lineRule="auto"/>
        <w:tabs>
          <w:tab w:leader="none" w:pos="1125"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Borrower shall pay to the Swingline Lender on demand, and in any event on the Revolving Credit Maturity Date, in </w:t>
      </w:r>
      <w:r>
        <w:rPr>
          <w:rFonts w:ascii="Arial" w:cs="Arial" w:eastAsia="Arial" w:hAnsi="Arial"/>
          <w:sz w:val="18"/>
          <w:szCs w:val="18"/>
          <w:color w:val="FF0000"/>
          <w:strike w:val="1"/>
        </w:rPr>
        <w:t>immediately</w:t>
      </w:r>
      <w:r>
        <w:rPr>
          <w:rFonts w:ascii="Arial" w:cs="Arial" w:eastAsia="Arial" w:hAnsi="Arial"/>
          <w:sz w:val="18"/>
          <w:szCs w:val="18"/>
          <w:color w:val="auto"/>
        </w:rPr>
        <w:t xml:space="preserve"> </w:t>
      </w:r>
      <w:r>
        <w:rPr>
          <w:rFonts w:ascii="Arial" w:cs="Arial" w:eastAsia="Arial" w:hAnsi="Arial"/>
          <w:sz w:val="18"/>
          <w:szCs w:val="18"/>
          <w:color w:val="FF0000"/>
          <w:strike w:val="1"/>
        </w:rPr>
        <w:t>available</w:t>
      </w:r>
      <w:r>
        <w:rPr>
          <w:rFonts w:ascii="Arial" w:cs="Arial" w:eastAsia="Arial" w:hAnsi="Arial"/>
          <w:sz w:val="18"/>
          <w:szCs w:val="18"/>
          <w:u w:val="single" w:color="auto"/>
          <w:color w:val="0000FF"/>
        </w:rPr>
        <w:t>Same Day</w:t>
      </w:r>
      <w:r>
        <w:rPr>
          <w:rFonts w:ascii="Arial" w:cs="Arial" w:eastAsia="Arial" w:hAnsi="Arial"/>
          <w:sz w:val="18"/>
          <w:szCs w:val="18"/>
          <w:color w:val="FF0000"/>
        </w:rPr>
        <w:t xml:space="preserve"> f</w:t>
      </w:r>
      <w:r>
        <w:rPr>
          <w:rFonts w:ascii="Arial" w:cs="Arial" w:eastAsia="Arial" w:hAnsi="Arial"/>
          <w:sz w:val="18"/>
          <w:szCs w:val="18"/>
          <w:u w:val="single" w:color="auto"/>
          <w:color w:val="0000FF"/>
        </w:rPr>
        <w:t>F</w:t>
      </w:r>
      <w:r>
        <w:rPr>
          <w:rFonts w:ascii="Arial" w:cs="Arial" w:eastAsia="Arial" w:hAnsi="Arial"/>
          <w:sz w:val="18"/>
          <w:szCs w:val="18"/>
          <w:color w:val="000000"/>
        </w:rPr>
        <w:t>unds the amount of such Swingline Loans to the extent amounts received from the Revolving Credit Lenders are not</w:t>
      </w:r>
      <w:r>
        <w:rPr>
          <w:rFonts w:ascii="Arial" w:cs="Arial" w:eastAsia="Arial" w:hAnsi="Arial"/>
          <w:sz w:val="18"/>
          <w:szCs w:val="18"/>
          <w:color w:val="FF0000"/>
        </w:rPr>
        <w:t xml:space="preserve"> </w:t>
      </w:r>
      <w:r>
        <w:rPr>
          <w:rFonts w:ascii="Arial" w:cs="Arial" w:eastAsia="Arial" w:hAnsi="Arial"/>
          <w:sz w:val="18"/>
          <w:szCs w:val="18"/>
          <w:color w:val="000000"/>
        </w:rPr>
        <w:t>sufficient to repay in full the outstanding Swingline Loans requested or required to be refunded. In addition, the Borrower irrevocably authorizes the Administrative Agent to charge any account maintained by the Borrower with the Swingline Lender (up to the amount available therein) in order to immediately pay the Swingline Lender the amount of such Swingline Loans to the extent amounts received from the Revolving Credit Lenders are not sufficient to repay in full the outstanding Swingline Loans requested or required to be refunded. If any portion of any such amount paid to the Swingline Lender shall be recovered by or on behalf of the Borrower from the Swingline Lender in bankruptcy or otherwise, the loss of the amount so recovered shall be ratably shared among all the Revolving Credit Lenders in accordance with their respective Revolving Credit Commitment Percentages.</w:t>
      </w:r>
    </w:p>
    <w:p>
      <w:pPr>
        <w:spacing w:after="0" w:line="88" w:lineRule="exact"/>
        <w:rPr>
          <w:rFonts w:ascii="Arial" w:cs="Arial" w:eastAsia="Arial" w:hAnsi="Arial"/>
          <w:sz w:val="18"/>
          <w:szCs w:val="18"/>
          <w:color w:val="auto"/>
        </w:rPr>
      </w:pPr>
    </w:p>
    <w:p>
      <w:pPr>
        <w:ind w:left="440" w:right="60" w:firstLine="419"/>
        <w:spacing w:after="0" w:line="257" w:lineRule="auto"/>
        <w:tabs>
          <w:tab w:leader="none" w:pos="1178"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If for any reason any Swingline Loan cannot be refinanced with a Revolving Credit Loan pursuant to </w:t>
      </w:r>
      <w:r>
        <w:rPr>
          <w:rFonts w:ascii="Arial" w:cs="Arial" w:eastAsia="Arial" w:hAnsi="Arial"/>
          <w:sz w:val="18"/>
          <w:szCs w:val="18"/>
          <w:u w:val="single" w:color="auto"/>
          <w:color w:val="auto"/>
        </w:rPr>
        <w:t>Section 2.2(b)(i)</w:t>
      </w:r>
      <w:r>
        <w:rPr>
          <w:rFonts w:ascii="Arial" w:cs="Arial" w:eastAsia="Arial" w:hAnsi="Arial"/>
          <w:sz w:val="18"/>
          <w:szCs w:val="18"/>
          <w:color w:val="auto"/>
        </w:rPr>
        <w:t xml:space="preserve">, each Revolving Credit Lender shall, on the date such Revolving Credit Loan was to have been made pursuant to the notice referred to in </w:t>
      </w:r>
      <w:r>
        <w:rPr>
          <w:rFonts w:ascii="Arial" w:cs="Arial" w:eastAsia="Arial" w:hAnsi="Arial"/>
          <w:sz w:val="18"/>
          <w:szCs w:val="18"/>
          <w:u w:val="single" w:color="auto"/>
          <w:color w:val="auto"/>
        </w:rPr>
        <w:t>Section 2.2(b)(i)</w:t>
      </w:r>
      <w:r>
        <w:rPr>
          <w:rFonts w:ascii="Arial" w:cs="Arial" w:eastAsia="Arial" w:hAnsi="Arial"/>
          <w:sz w:val="18"/>
          <w:szCs w:val="18"/>
          <w:color w:val="auto"/>
        </w:rPr>
        <w:t>, purchase for cash an undivided participating interest in the then outstanding Swingline Loans by paying to the Swingline Lender an amount (the “</w:t>
      </w:r>
      <w:r>
        <w:rPr>
          <w:rFonts w:ascii="Arial" w:cs="Arial" w:eastAsia="Arial" w:hAnsi="Arial"/>
          <w:sz w:val="18"/>
          <w:szCs w:val="18"/>
          <w:u w:val="single" w:color="auto"/>
          <w:color w:val="auto"/>
        </w:rPr>
        <w:t>Swingline Participation Amount</w:t>
      </w:r>
      <w:r>
        <w:rPr>
          <w:rFonts w:ascii="Arial" w:cs="Arial" w:eastAsia="Arial" w:hAnsi="Arial"/>
          <w:sz w:val="18"/>
          <w:szCs w:val="18"/>
          <w:color w:val="auto"/>
        </w:rPr>
        <w:t xml:space="preserve">”) equal to such Revolving </w:t>
      </w:r>
      <w:r>
        <w:rPr>
          <w:rFonts w:ascii="Arial" w:cs="Arial" w:eastAsia="Arial" w:hAnsi="Arial"/>
          <w:sz w:val="18"/>
          <w:szCs w:val="18"/>
          <w:u w:val="single" w:color="auto"/>
          <w:color w:val="0000FF"/>
        </w:rPr>
        <w:t>Credit</w:t>
      </w:r>
      <w:r>
        <w:rPr>
          <w:rFonts w:ascii="Arial" w:cs="Arial" w:eastAsia="Arial" w:hAnsi="Arial"/>
          <w:sz w:val="18"/>
          <w:szCs w:val="18"/>
          <w:color w:val="auto"/>
        </w:rPr>
        <w:t xml:space="preserve"> Lender’s Revolving Credit Commitment Percentage of the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-1799590</wp:posOffset>
            </wp:positionV>
            <wp:extent cx="666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490" w:right="459" w:bottom="1440" w:gutter="0" w:footer="0" w:header="0"/>
        </w:sectPr>
      </w:pPr>
    </w:p>
    <w:bookmarkStart w:id="103" w:name="page104"/>
    <w:bookmarkEnd w:id="103"/>
    <w:p>
      <w:pPr>
        <w:ind w:left="44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Swingline Loans then outstanding. Each Revolving Credit Lender will immediately transfer to the Swingline Lender, in </w:t>
      </w:r>
      <w:r>
        <w:rPr>
          <w:rFonts w:ascii="Arial" w:cs="Arial" w:eastAsia="Arial" w:hAnsi="Arial"/>
          <w:sz w:val="17"/>
          <w:szCs w:val="17"/>
          <w:color w:val="FF0000"/>
          <w:strike w:val="1"/>
        </w:rPr>
        <w:t>immediately</w:t>
      </w:r>
      <w:r>
        <w:rPr>
          <w:rFonts w:ascii="Arial" w:cs="Arial" w:eastAsia="Arial" w:hAnsi="Arial"/>
          <w:sz w:val="17"/>
          <w:szCs w:val="17"/>
          <w:color w:val="auto"/>
        </w:rPr>
        <w:t xml:space="preserve"> </w:t>
      </w:r>
      <w:r>
        <w:rPr>
          <w:rFonts w:ascii="Arial" w:cs="Arial" w:eastAsia="Arial" w:hAnsi="Arial"/>
          <w:sz w:val="17"/>
          <w:szCs w:val="17"/>
          <w:color w:val="FF0000"/>
          <w:strike w:val="1"/>
        </w:rPr>
        <w:t>available</w:t>
      </w:r>
      <w:r>
        <w:rPr>
          <w:rFonts w:ascii="Arial" w:cs="Arial" w:eastAsia="Arial" w:hAnsi="Arial"/>
          <w:sz w:val="17"/>
          <w:szCs w:val="17"/>
          <w:u w:val="single" w:color="auto"/>
          <w:color w:val="0000FF"/>
        </w:rPr>
        <w:t>Same Day</w:t>
      </w:r>
      <w:r>
        <w:rPr>
          <w:rFonts w:ascii="Arial" w:cs="Arial" w:eastAsia="Arial" w:hAnsi="Arial"/>
          <w:sz w:val="17"/>
          <w:szCs w:val="17"/>
          <w:color w:val="FF0000"/>
        </w:rPr>
        <w:t xml:space="preserve"> f</w:t>
      </w:r>
      <w:r>
        <w:rPr>
          <w:rFonts w:ascii="Arial" w:cs="Arial" w:eastAsia="Arial" w:hAnsi="Arial"/>
          <w:sz w:val="17"/>
          <w:szCs w:val="17"/>
          <w:u w:val="single" w:color="auto"/>
          <w:color w:val="0000FF"/>
        </w:rPr>
        <w:t>F</w:t>
      </w:r>
      <w:r>
        <w:rPr>
          <w:rFonts w:ascii="Arial" w:cs="Arial" w:eastAsia="Arial" w:hAnsi="Arial"/>
          <w:sz w:val="17"/>
          <w:szCs w:val="17"/>
          <w:color w:val="000000"/>
        </w:rPr>
        <w:t>unds, the amount of its Swingline Participation Amount. Whenever, at any time after the Swingline Lender has received</w:t>
      </w:r>
      <w:r>
        <w:rPr>
          <w:rFonts w:ascii="Arial" w:cs="Arial" w:eastAsia="Arial" w:hAnsi="Arial"/>
          <w:sz w:val="17"/>
          <w:szCs w:val="17"/>
          <w:color w:val="FF0000"/>
        </w:rPr>
        <w:t xml:space="preserve"> </w:t>
      </w:r>
      <w:r>
        <w:rPr>
          <w:rFonts w:ascii="Arial" w:cs="Arial" w:eastAsia="Arial" w:hAnsi="Arial"/>
          <w:sz w:val="17"/>
          <w:szCs w:val="17"/>
          <w:color w:val="000000"/>
        </w:rPr>
        <w:t xml:space="preserve">from any Revolving Credit Lender such Revolving Credit Lender’s Swingline Participation Amount, the Swingline Lender receives any payment on account of the Swingline Loans, the Swingline Lender will distribute to such Revolving Credit Lender its Swingline Participation Amount (appropriately adjusted, in the case of interest payments, to reflect the period of time during which such Lender’s participating interest was outstanding and funded and, in the case of principal and interest payments, to reflect such Revolving Credit Lender’s pro rata portion of such payment if such payment is not sufficient to pay the principal of and interest on all Swingline Loans then due);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in the event that such payment received by the Swingline Lender is required to be returned, such Revolving Credit Lender will return to the Swingline Lender any portion thereof previously distributed to it by the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-1049655</wp:posOffset>
            </wp:positionV>
            <wp:extent cx="666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53" w:lineRule="exact"/>
        <w:rPr>
          <w:sz w:val="20"/>
          <w:szCs w:val="20"/>
          <w:color w:val="auto"/>
        </w:rPr>
      </w:pPr>
    </w:p>
    <w:p>
      <w:pPr>
        <w:ind w:left="444" w:right="120" w:firstLine="419"/>
        <w:spacing w:after="0" w:line="291" w:lineRule="auto"/>
        <w:tabs>
          <w:tab w:leader="none" w:pos="1172"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the Revolving Credit Loans referred to in </w:t>
      </w:r>
      <w:r>
        <w:rPr>
          <w:rFonts w:ascii="Arial" w:cs="Arial" w:eastAsia="Arial" w:hAnsi="Arial"/>
          <w:sz w:val="16"/>
          <w:szCs w:val="16"/>
          <w:u w:val="single" w:color="auto"/>
          <w:color w:val="auto"/>
        </w:rPr>
        <w:t>Section 2.2(b)(i)</w:t>
      </w:r>
      <w:r>
        <w:rPr>
          <w:rFonts w:ascii="Arial" w:cs="Arial" w:eastAsia="Arial" w:hAnsi="Arial"/>
          <w:sz w:val="16"/>
          <w:szCs w:val="16"/>
          <w:color w:val="auto"/>
        </w:rPr>
        <w:t xml:space="preserve"> and to purchase participating interests pursuant to </w:t>
      </w:r>
      <w:r>
        <w:rPr>
          <w:rFonts w:ascii="Arial" w:cs="Arial" w:eastAsia="Arial" w:hAnsi="Arial"/>
          <w:sz w:val="16"/>
          <w:szCs w:val="16"/>
          <w:u w:val="single" w:color="auto"/>
          <w:color w:val="auto"/>
        </w:rPr>
        <w:t>Section 2.2(b)(iii)</w:t>
      </w:r>
      <w:r>
        <w:rPr>
          <w:rFonts w:ascii="Arial" w:cs="Arial" w:eastAsia="Arial" w:hAnsi="Arial"/>
          <w:sz w:val="16"/>
          <w:szCs w:val="16"/>
          <w:color w:val="auto"/>
        </w:rPr>
        <w:t xml:space="preserve"> shall be absolute and unconditional and shall not be affected by any circumstance, including</w:t>
      </w:r>
    </w:p>
    <w:p>
      <w:pPr>
        <w:ind w:left="444" w:right="20" w:hanging="4"/>
        <w:spacing w:after="0" w:line="271" w:lineRule="auto"/>
        <w:tabs>
          <w:tab w:leader="none" w:pos="739"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any setoff, counterclaim, recoupment, defense or other right that such Revolving Credit Lender or the Borrower may have against the Swingline Lender, the Borrower or any other Person for any reason whatsoever, (B) the occurrence or continuance of a Default or an Event of Default or the failure to satisfy any of the other conditions specified in </w:t>
      </w:r>
      <w:r>
        <w:rPr>
          <w:rFonts w:ascii="Arial" w:cs="Arial" w:eastAsia="Arial" w:hAnsi="Arial"/>
          <w:sz w:val="17"/>
          <w:szCs w:val="17"/>
          <w:u w:val="single" w:color="auto"/>
          <w:color w:val="auto"/>
        </w:rPr>
        <w:t>Article VI</w:t>
      </w:r>
      <w:r>
        <w:rPr>
          <w:rFonts w:ascii="Arial" w:cs="Arial" w:eastAsia="Arial" w:hAnsi="Arial"/>
          <w:sz w:val="17"/>
          <w:szCs w:val="17"/>
          <w:color w:val="auto"/>
        </w:rPr>
        <w:t>, (C) any adverse change in the condition (financial or otherwise) of the Borrower, (D) any breach of this Agreement or any other Loan Document by the Borrower, any other Credit Party or any other Revolving Credit Lender or (E) any other circumstance, happening or event whatsoever, whether or not similar to any of the foregoing.</w:t>
      </w:r>
    </w:p>
    <w:p>
      <w:pPr>
        <w:spacing w:after="0" w:line="70" w:lineRule="exact"/>
        <w:rPr>
          <w:rFonts w:ascii="Arial" w:cs="Arial" w:eastAsia="Arial" w:hAnsi="Arial"/>
          <w:sz w:val="17"/>
          <w:szCs w:val="17"/>
          <w:color w:val="auto"/>
        </w:rPr>
      </w:pPr>
    </w:p>
    <w:p>
      <w:pPr>
        <w:ind w:left="444" w:right="40" w:firstLine="419"/>
        <w:spacing w:after="0" w:line="253" w:lineRule="auto"/>
        <w:tabs>
          <w:tab w:leader="none" w:pos="1122"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If any Revolving Credit Lender fails to make available to the Administrative Agent for the account of the Swingline Lender any amount required to be paid by such Revolving Credit Lender pursuant to the foregoing provisions of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2.2(b)(i)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2.2(b)(iii)</w:t>
      </w:r>
      <w:r>
        <w:rPr>
          <w:rFonts w:ascii="Arial" w:cs="Arial" w:eastAsia="Arial" w:hAnsi="Arial"/>
          <w:sz w:val="18"/>
          <w:szCs w:val="18"/>
          <w:color w:val="auto"/>
        </w:rPr>
        <w:t xml:space="preserve">, as applicable, the Swingline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Swingline Lender at a rate per annum equal to the </w:t>
      </w:r>
      <w:r>
        <w:rPr>
          <w:rFonts w:ascii="Arial" w:cs="Arial" w:eastAsia="Arial" w:hAnsi="Arial"/>
          <w:sz w:val="18"/>
          <w:szCs w:val="18"/>
          <w:color w:val="FF0000"/>
          <w:strike w:val="1"/>
        </w:rPr>
        <w:t>applicable Federal Funds</w:t>
      </w:r>
      <w:r>
        <w:rPr>
          <w:rFonts w:ascii="Arial" w:cs="Arial" w:eastAsia="Arial" w:hAnsi="Arial"/>
          <w:sz w:val="18"/>
          <w:szCs w:val="18"/>
          <w:u w:val="single" w:color="auto"/>
          <w:color w:val="0000FF"/>
        </w:rPr>
        <w:t>Overnight</w:t>
      </w:r>
      <w:r>
        <w:rPr>
          <w:rFonts w:ascii="Arial" w:cs="Arial" w:eastAsia="Arial" w:hAnsi="Arial"/>
          <w:sz w:val="18"/>
          <w:szCs w:val="18"/>
          <w:color w:val="auto"/>
        </w:rPr>
        <w:t xml:space="preserve"> Rate, plus any administrative, processing or similar fees customarily charged by the Swingline Lender in connection with the foregoing. If such Revolving Credit Lender pays such amount (with interest and fees as aforesaid), the amount so paid shall constitute such Revolving Credit Lender’s Revolving Credit Loan or Swingline Participation Amount, as the case may be. A certificate of the Swingline Lender submitted to any Revolving Credit Lender (through the Administrative Agent) with respect to any amounts owing under this clause (iii) shall be conclusive absent manifest error.</w:t>
      </w:r>
    </w:p>
    <w:p>
      <w:pPr>
        <w:spacing w:after="0" w:line="86" w:lineRule="exact"/>
        <w:rPr>
          <w:sz w:val="20"/>
          <w:szCs w:val="20"/>
          <w:color w:val="auto"/>
        </w:rPr>
      </w:pPr>
    </w:p>
    <w:p>
      <w:pPr>
        <w:ind w:left="4" w:right="220" w:firstLine="436"/>
        <w:spacing w:after="0" w:line="277" w:lineRule="auto"/>
        <w:tabs>
          <w:tab w:leader="none" w:pos="68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 for Advances of Revolving Credit Loans and Swingline Loans</w:t>
      </w:r>
      <w:r>
        <w:rPr>
          <w:rFonts w:ascii="Arial" w:cs="Arial" w:eastAsia="Arial" w:hAnsi="Arial"/>
          <w:sz w:val="18"/>
          <w:szCs w:val="18"/>
          <w:color w:val="auto"/>
        </w:rPr>
        <w:t>.</w:t>
      </w:r>
    </w:p>
    <w:p>
      <w:pPr>
        <w:spacing w:after="0" w:line="117" w:lineRule="exact"/>
        <w:rPr>
          <w:sz w:val="20"/>
          <w:szCs w:val="20"/>
          <w:color w:val="auto"/>
        </w:rPr>
      </w:pPr>
    </w:p>
    <w:p>
      <w:pPr>
        <w:ind w:left="4" w:right="140" w:firstLine="436"/>
        <w:spacing w:after="0" w:line="291" w:lineRule="auto"/>
        <w:tabs>
          <w:tab w:leader="none" w:pos="689"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Requests for Borrowing</w:t>
      </w:r>
      <w:r>
        <w:rPr>
          <w:rFonts w:ascii="Arial" w:cs="Arial" w:eastAsia="Arial" w:hAnsi="Arial"/>
          <w:sz w:val="16"/>
          <w:szCs w:val="16"/>
          <w:color w:val="auto"/>
        </w:rPr>
        <w:t xml:space="preserve">. The Borrower shall give the Administrative Agent irrevocable prior written notice substantially in the form of </w:t>
      </w:r>
      <w:r>
        <w:rPr>
          <w:rFonts w:ascii="Arial" w:cs="Arial" w:eastAsia="Arial" w:hAnsi="Arial"/>
          <w:sz w:val="16"/>
          <w:szCs w:val="16"/>
          <w:b w:val="1"/>
          <w:bCs w:val="1"/>
          <w:i w:val="1"/>
          <w:iCs w:val="1"/>
          <w:color w:val="auto"/>
        </w:rPr>
        <w:t xml:space="preserve">Exhibit B </w:t>
      </w:r>
      <w:r>
        <w:rPr>
          <w:rFonts w:ascii="Arial" w:cs="Arial" w:eastAsia="Arial" w:hAnsi="Arial"/>
          <w:sz w:val="16"/>
          <w:szCs w:val="16"/>
          <w:color w:val="auto"/>
        </w:rPr>
        <w:t>(a “</w:t>
      </w:r>
      <w:r>
        <w:rPr>
          <w:rFonts w:ascii="Arial" w:cs="Arial" w:eastAsia="Arial" w:hAnsi="Arial"/>
          <w:sz w:val="16"/>
          <w:szCs w:val="16"/>
          <w:u w:val="single" w:color="auto"/>
          <w:color w:val="0000FF"/>
        </w:rPr>
        <w:t>Notice of Borrowing</w:t>
      </w:r>
      <w:r>
        <w:rPr>
          <w:rFonts w:ascii="Arial" w:cs="Arial" w:eastAsia="Arial" w:hAnsi="Arial"/>
          <w:sz w:val="16"/>
          <w:szCs w:val="16"/>
          <w:color w:val="auto"/>
        </w:rPr>
        <w:t>”) not later than 11:00 a.m. (i) on the same Business Day as each Base Rate Loan and each Swingline Loan</w:t>
      </w:r>
      <w:r>
        <w:rPr>
          <w:rFonts w:ascii="Arial" w:cs="Arial" w:eastAsia="Arial" w:hAnsi="Arial"/>
          <w:sz w:val="16"/>
          <w:szCs w:val="16"/>
          <w:color w:val="FF0000"/>
          <w:strike w:val="1"/>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0000FF"/>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(ii)</w:t>
      </w:r>
    </w:p>
    <w:p>
      <w:pPr>
        <w:ind w:left="4" w:right="560" w:hanging="4"/>
        <w:spacing w:after="0" w:line="260" w:lineRule="auto"/>
        <w:tabs>
          <w:tab w:leader="none" w:pos="299" w:val="left"/>
        </w:tabs>
        <w:numPr>
          <w:ilvl w:val="0"/>
          <w:numId w:val="7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a Term SOFR Loan,</w:t>
      </w:r>
      <w:r>
        <w:rPr>
          <w:rFonts w:ascii="Arial" w:cs="Arial" w:eastAsia="Arial" w:hAnsi="Arial"/>
          <w:sz w:val="18"/>
          <w:szCs w:val="18"/>
          <w:color w:val="0000FF"/>
        </w:rPr>
        <w:t xml:space="preserve"> </w:t>
      </w:r>
      <w:r>
        <w:rPr>
          <w:rFonts w:ascii="Arial" w:cs="Arial" w:eastAsia="Arial" w:hAnsi="Arial"/>
          <w:sz w:val="18"/>
          <w:szCs w:val="18"/>
          <w:color w:val="000000"/>
        </w:rPr>
        <w:t>at least three (3)</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RFR</w:t>
      </w:r>
      <w:r>
        <w:rPr>
          <w:rFonts w:ascii="Arial" w:cs="Arial" w:eastAsia="Arial" w:hAnsi="Arial"/>
          <w:sz w:val="18"/>
          <w:szCs w:val="18"/>
          <w:color w:val="0000FF"/>
        </w:rPr>
        <w:t xml:space="preserve"> </w:t>
      </w:r>
      <w:r>
        <w:rPr>
          <w:rFonts w:ascii="Arial" w:cs="Arial" w:eastAsia="Arial" w:hAnsi="Arial"/>
          <w:sz w:val="18"/>
          <w:szCs w:val="18"/>
          <w:color w:val="000000"/>
        </w:rPr>
        <w:t>Business Days before</w:t>
      </w:r>
      <w:r>
        <w:rPr>
          <w:rFonts w:ascii="Arial" w:cs="Arial" w:eastAsia="Arial" w:hAnsi="Arial"/>
          <w:sz w:val="18"/>
          <w:szCs w:val="18"/>
          <w:color w:val="0000FF"/>
        </w:rPr>
        <w:t xml:space="preserve"> </w:t>
      </w:r>
      <w:r>
        <w:rPr>
          <w:rFonts w:ascii="Arial" w:cs="Arial" w:eastAsia="Arial" w:hAnsi="Arial"/>
          <w:sz w:val="18"/>
          <w:szCs w:val="18"/>
          <w:color w:val="FF0000"/>
          <w:strike w:val="1"/>
        </w:rPr>
        <w:t>each</w:t>
      </w:r>
      <w:r>
        <w:rPr>
          <w:rFonts w:ascii="Arial" w:cs="Arial" w:eastAsia="Arial" w:hAnsi="Arial"/>
          <w:sz w:val="18"/>
          <w:szCs w:val="18"/>
          <w:u w:val="single" w:color="auto"/>
          <w:color w:val="0000FF"/>
        </w:rPr>
        <w:t>such Term SOFR Loan, (B) in the case of a Daily Simple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SONIA Loan, at least five (5) RFR Business Days before such Daily Simple SONIA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6523355</wp:posOffset>
            </wp:positionH>
            <wp:positionV relativeFrom="paragraph">
              <wp:posOffset>-283845</wp:posOffset>
            </wp:positionV>
            <wp:extent cx="1974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-309880</wp:posOffset>
            </wp:positionV>
            <wp:extent cx="1936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4"/>
          </w:cols>
          <w:pgMar w:left="436" w:top="490" w:right="479" w:bottom="1440" w:gutter="0" w:footer="0" w:header="0"/>
        </w:sectPr>
      </w:pPr>
    </w:p>
    <w:bookmarkStart w:id="104" w:name="page105"/>
    <w:bookmarkEnd w:id="104"/>
    <w:p>
      <w:pPr>
        <w:ind w:right="20"/>
        <w:spacing w:after="0" w:line="285"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Loan, and (C) in the case of a</w:t>
      </w:r>
      <w:r>
        <w:rPr>
          <w:rFonts w:ascii="Arial" w:cs="Arial" w:eastAsia="Arial" w:hAnsi="Arial"/>
          <w:sz w:val="16"/>
          <w:szCs w:val="16"/>
          <w:color w:val="0000FF"/>
        </w:rPr>
        <w:t xml:space="preserve"> </w:t>
      </w:r>
      <w:r>
        <w:rPr>
          <w:rFonts w:ascii="Arial" w:cs="Arial" w:eastAsia="Arial" w:hAnsi="Arial"/>
          <w:sz w:val="16"/>
          <w:szCs w:val="16"/>
          <w:color w:val="000000"/>
        </w:rPr>
        <w:t>Eurocurrency Rate Loan denominated in</w:t>
      </w:r>
      <w:r>
        <w:rPr>
          <w:rFonts w:ascii="Arial" w:cs="Arial" w:eastAsia="Arial" w:hAnsi="Arial"/>
          <w:sz w:val="16"/>
          <w:szCs w:val="16"/>
          <w:color w:val="0000FF"/>
        </w:rPr>
        <w:t xml:space="preserve"> </w:t>
      </w:r>
      <w:r>
        <w:rPr>
          <w:rFonts w:ascii="Arial" w:cs="Arial" w:eastAsia="Arial" w:hAnsi="Arial"/>
          <w:sz w:val="16"/>
          <w:szCs w:val="16"/>
          <w:color w:val="FF0000"/>
          <w:strike w:val="1"/>
        </w:rPr>
        <w:t>Dollars</w:t>
      </w:r>
      <w:r>
        <w:rPr>
          <w:rFonts w:ascii="Arial" w:cs="Arial" w:eastAsia="Arial" w:hAnsi="Arial"/>
          <w:sz w:val="16"/>
          <w:szCs w:val="16"/>
          <w:color w:val="0000FF"/>
        </w:rPr>
        <w:t xml:space="preserve"> </w:t>
      </w:r>
      <w:r>
        <w:rPr>
          <w:rFonts w:ascii="Arial" w:cs="Arial" w:eastAsia="Arial" w:hAnsi="Arial"/>
          <w:sz w:val="16"/>
          <w:szCs w:val="16"/>
          <w:color w:val="000000"/>
        </w:rPr>
        <w:t>an</w:t>
      </w:r>
      <w:r>
        <w:rPr>
          <w:rFonts w:ascii="Arial" w:cs="Arial" w:eastAsia="Arial" w:hAnsi="Arial"/>
          <w:sz w:val="16"/>
          <w:szCs w:val="16"/>
          <w:color w:val="FF0000"/>
          <w:strike w:val="1"/>
        </w:rPr>
        <w:t>d</w:t>
      </w:r>
      <w:r>
        <w:rPr>
          <w:rFonts w:ascii="Arial" w:cs="Arial" w:eastAsia="Arial" w:hAnsi="Arial"/>
          <w:sz w:val="16"/>
          <w:szCs w:val="16"/>
          <w:u w:val="single" w:color="auto"/>
          <w:color w:val="0000FF"/>
        </w:rPr>
        <w:t>y</w:t>
      </w:r>
      <w:r>
        <w:rPr>
          <w:rFonts w:ascii="Arial" w:cs="Arial" w:eastAsia="Arial" w:hAnsi="Arial"/>
          <w:sz w:val="16"/>
          <w:szCs w:val="16"/>
          <w:color w:val="0000FF"/>
        </w:rPr>
        <w:t xml:space="preserve"> </w:t>
      </w:r>
      <w:r>
        <w:rPr>
          <w:rFonts w:ascii="Arial" w:cs="Arial" w:eastAsia="Arial" w:hAnsi="Arial"/>
          <w:sz w:val="16"/>
          <w:szCs w:val="16"/>
          <w:color w:val="FF0000"/>
        </w:rPr>
        <w:t>(iii)</w:t>
      </w:r>
      <w:r>
        <w:rPr>
          <w:rFonts w:ascii="Arial" w:cs="Arial" w:eastAsia="Arial" w:hAnsi="Arial"/>
          <w:sz w:val="16"/>
          <w:szCs w:val="16"/>
          <w:u w:val="single" w:color="auto"/>
          <w:color w:val="0000FF"/>
        </w:rPr>
        <w:t>Alternative Currency,</w:t>
      </w:r>
      <w:r>
        <w:rPr>
          <w:rFonts w:ascii="Arial" w:cs="Arial" w:eastAsia="Arial" w:hAnsi="Arial"/>
          <w:sz w:val="16"/>
          <w:szCs w:val="16"/>
          <w:color w:val="0000FF"/>
        </w:rPr>
        <w:t xml:space="preserve"> </w:t>
      </w:r>
      <w:r>
        <w:rPr>
          <w:rFonts w:ascii="Arial" w:cs="Arial" w:eastAsia="Arial" w:hAnsi="Arial"/>
          <w:sz w:val="16"/>
          <w:szCs w:val="16"/>
          <w:color w:val="000000"/>
        </w:rPr>
        <w:t>at least four (4)</w:t>
      </w:r>
      <w:r>
        <w:rPr>
          <w:rFonts w:ascii="Arial" w:cs="Arial" w:eastAsia="Arial" w:hAnsi="Arial"/>
          <w:sz w:val="16"/>
          <w:szCs w:val="16"/>
          <w:color w:val="0000FF"/>
        </w:rPr>
        <w:t xml:space="preserve"> </w:t>
      </w:r>
      <w:r>
        <w:rPr>
          <w:rFonts w:ascii="Arial" w:cs="Arial" w:eastAsia="Arial" w:hAnsi="Arial"/>
          <w:sz w:val="16"/>
          <w:szCs w:val="16"/>
          <w:color w:val="FF0000"/>
          <w:strike w:val="1"/>
        </w:rPr>
        <w:t>Business</w:t>
      </w:r>
      <w:r>
        <w:rPr>
          <w:rFonts w:ascii="Arial" w:cs="Arial" w:eastAsia="Arial" w:hAnsi="Arial"/>
          <w:sz w:val="16"/>
          <w:szCs w:val="16"/>
          <w:u w:val="single" w:color="auto"/>
          <w:color w:val="0000FF"/>
        </w:rPr>
        <w:t>Eurocurrency</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Banking</w:t>
      </w:r>
      <w:r>
        <w:rPr>
          <w:rFonts w:ascii="Arial" w:cs="Arial" w:eastAsia="Arial" w:hAnsi="Arial"/>
          <w:sz w:val="16"/>
          <w:szCs w:val="16"/>
          <w:color w:val="0000FF"/>
        </w:rPr>
        <w:t xml:space="preserve"> </w:t>
      </w:r>
      <w:r>
        <w:rPr>
          <w:rFonts w:ascii="Arial" w:cs="Arial" w:eastAsia="Arial" w:hAnsi="Arial"/>
          <w:sz w:val="16"/>
          <w:szCs w:val="16"/>
          <w:color w:val="000000"/>
        </w:rPr>
        <w:t>Days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before such Eurocurrency Rate Loan</w:t>
      </w:r>
      <w:r>
        <w:rPr>
          <w:rFonts w:ascii="Arial" w:cs="Arial" w:eastAsia="Arial" w:hAnsi="Arial"/>
          <w:sz w:val="16"/>
          <w:szCs w:val="16"/>
          <w:color w:val="0000FF"/>
        </w:rPr>
        <w:t xml:space="preserve"> </w:t>
      </w:r>
      <w:r>
        <w:rPr>
          <w:rFonts w:ascii="Arial" w:cs="Arial" w:eastAsia="Arial" w:hAnsi="Arial"/>
          <w:sz w:val="16"/>
          <w:szCs w:val="16"/>
          <w:color w:val="000000"/>
        </w:rPr>
        <w:t>(or five (5)</w:t>
      </w:r>
      <w:r>
        <w:rPr>
          <w:rFonts w:ascii="Arial" w:cs="Arial" w:eastAsia="Arial" w:hAnsi="Arial"/>
          <w:sz w:val="16"/>
          <w:szCs w:val="16"/>
          <w:color w:val="0000FF"/>
        </w:rPr>
        <w:t xml:space="preserve"> </w:t>
      </w:r>
      <w:r>
        <w:rPr>
          <w:rFonts w:ascii="Arial" w:cs="Arial" w:eastAsia="Arial" w:hAnsi="Arial"/>
          <w:sz w:val="16"/>
          <w:szCs w:val="16"/>
          <w:color w:val="FF0000"/>
          <w:strike w:val="1"/>
        </w:rPr>
        <w:t>Business</w:t>
      </w:r>
      <w:r>
        <w:rPr>
          <w:rFonts w:ascii="Arial" w:cs="Arial" w:eastAsia="Arial" w:hAnsi="Arial"/>
          <w:sz w:val="16"/>
          <w:szCs w:val="16"/>
          <w:u w:val="single" w:color="auto"/>
          <w:color w:val="0000FF"/>
        </w:rPr>
        <w:t>Eurocurrency Banking</w:t>
      </w:r>
      <w:r>
        <w:rPr>
          <w:rFonts w:ascii="Arial" w:cs="Arial" w:eastAsia="Arial" w:hAnsi="Arial"/>
          <w:sz w:val="16"/>
          <w:szCs w:val="16"/>
          <w:color w:val="0000FF"/>
        </w:rPr>
        <w:t xml:space="preserve"> </w:t>
      </w:r>
      <w:r>
        <w:rPr>
          <w:rFonts w:ascii="Arial" w:cs="Arial" w:eastAsia="Arial" w:hAnsi="Arial"/>
          <w:sz w:val="16"/>
          <w:szCs w:val="16"/>
          <w:color w:val="000000"/>
        </w:rPr>
        <w:t>Days in the case of a Special Notice Currency)</w:t>
      </w:r>
      <w:r>
        <w:rPr>
          <w:rFonts w:ascii="Arial" w:cs="Arial" w:eastAsia="Arial" w:hAnsi="Arial"/>
          <w:sz w:val="16"/>
          <w:szCs w:val="16"/>
          <w:color w:val="0000FF"/>
        </w:rPr>
        <w:t xml:space="preserve"> </w:t>
      </w:r>
      <w:r>
        <w:rPr>
          <w:rFonts w:ascii="Arial" w:cs="Arial" w:eastAsia="Arial" w:hAnsi="Arial"/>
          <w:sz w:val="16"/>
          <w:szCs w:val="16"/>
          <w:color w:val="FF0000"/>
          <w:strike w:val="1"/>
        </w:rPr>
        <w:t>before</w:t>
      </w:r>
      <w:r>
        <w:rPr>
          <w:rFonts w:ascii="Arial" w:cs="Arial" w:eastAsia="Arial" w:hAnsi="Arial"/>
          <w:sz w:val="16"/>
          <w:szCs w:val="16"/>
          <w:color w:val="0000FF"/>
        </w:rPr>
        <w:t xml:space="preserve"> </w:t>
      </w:r>
      <w:r>
        <w:rPr>
          <w:rFonts w:ascii="Arial" w:cs="Arial" w:eastAsia="Arial" w:hAnsi="Arial"/>
          <w:sz w:val="16"/>
          <w:szCs w:val="16"/>
          <w:color w:val="FF0000"/>
          <w:strike w:val="1"/>
        </w:rPr>
        <w:t>each Eurocurrency Rate Loan denominated in an Alternative Currency</w:t>
      </w:r>
      <w:r>
        <w:rPr>
          <w:rFonts w:ascii="Arial" w:cs="Arial" w:eastAsia="Arial" w:hAnsi="Arial"/>
          <w:sz w:val="16"/>
          <w:szCs w:val="16"/>
          <w:color w:val="000000"/>
        </w:rPr>
        <w:t>, of its intention to borrow,</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in each case,</w:t>
      </w:r>
      <w:r>
        <w:rPr>
          <w:rFonts w:ascii="Arial" w:cs="Arial" w:eastAsia="Arial" w:hAnsi="Arial"/>
          <w:sz w:val="16"/>
          <w:szCs w:val="16"/>
          <w:color w:val="FF0000"/>
        </w:rPr>
        <w:t xml:space="preserve"> </w:t>
      </w:r>
      <w:r>
        <w:rPr>
          <w:rFonts w:ascii="Arial" w:cs="Arial" w:eastAsia="Arial" w:hAnsi="Arial"/>
          <w:sz w:val="16"/>
          <w:szCs w:val="16"/>
          <w:color w:val="000000"/>
        </w:rPr>
        <w:t>specifying (</w:t>
      </w:r>
      <w:r>
        <w:rPr>
          <w:rFonts w:ascii="Arial" w:cs="Arial" w:eastAsia="Arial" w:hAnsi="Arial"/>
          <w:sz w:val="16"/>
          <w:szCs w:val="16"/>
          <w:color w:val="FF0000"/>
          <w:strike w:val="1"/>
        </w:rPr>
        <w:t>A</w:t>
      </w:r>
      <w:r>
        <w:rPr>
          <w:rFonts w:ascii="Arial" w:cs="Arial" w:eastAsia="Arial" w:hAnsi="Arial"/>
          <w:sz w:val="16"/>
          <w:szCs w:val="16"/>
          <w:u w:val="single" w:color="auto"/>
          <w:color w:val="0000FF"/>
        </w:rPr>
        <w:t>1</w:t>
      </w:r>
      <w:r>
        <w:rPr>
          <w:rFonts w:ascii="Arial" w:cs="Arial" w:eastAsia="Arial" w:hAnsi="Arial"/>
          <w:sz w:val="16"/>
          <w:szCs w:val="16"/>
          <w:color w:val="000000"/>
        </w:rPr>
        <w:t>) the date of such</w:t>
      </w:r>
      <w:r>
        <w:rPr>
          <w:rFonts w:ascii="Arial" w:cs="Arial" w:eastAsia="Arial" w:hAnsi="Arial"/>
          <w:sz w:val="16"/>
          <w:szCs w:val="16"/>
          <w:color w:val="FF0000"/>
        </w:rPr>
        <w:t xml:space="preserve"> </w:t>
      </w:r>
      <w:r>
        <w:rPr>
          <w:rFonts w:ascii="Arial" w:cs="Arial" w:eastAsia="Arial" w:hAnsi="Arial"/>
          <w:sz w:val="16"/>
          <w:szCs w:val="16"/>
          <w:color w:val="000000"/>
        </w:rPr>
        <w:t>borrowing, which shall be a Business Day, (</w:t>
      </w:r>
      <w:r>
        <w:rPr>
          <w:rFonts w:ascii="Arial" w:cs="Arial" w:eastAsia="Arial" w:hAnsi="Arial"/>
          <w:sz w:val="16"/>
          <w:szCs w:val="16"/>
          <w:color w:val="FF0000"/>
          <w:strike w:val="1"/>
        </w:rPr>
        <w:t>B)</w:t>
      </w:r>
      <w:r>
        <w:rPr>
          <w:rFonts w:ascii="Arial" w:cs="Arial" w:eastAsia="Arial" w:hAnsi="Arial"/>
          <w:sz w:val="16"/>
          <w:szCs w:val="16"/>
          <w:u w:val="single" w:color="auto"/>
          <w:color w:val="0000FF"/>
        </w:rPr>
        <w:t>2) the Currency of such borrowing, (3)</w:t>
      </w:r>
      <w:r>
        <w:rPr>
          <w:rFonts w:ascii="Arial" w:cs="Arial" w:eastAsia="Arial" w:hAnsi="Arial"/>
          <w:sz w:val="16"/>
          <w:szCs w:val="16"/>
          <w:color w:val="000000"/>
        </w:rPr>
        <w:t xml:space="preserve"> the amount of such borrowing, which shall be, (x) with respect to Base Rate Loans (other than Swingline Loans) in an aggregate principal amount of $500,000 or a whole multiple of $100,000 in excess thereof, (y) with respect to Eurocurrency Rate Loans</w:t>
      </w:r>
      <w:r>
        <w:rPr>
          <w:rFonts w:ascii="Arial" w:cs="Arial" w:eastAsia="Arial" w:hAnsi="Arial"/>
          <w:sz w:val="16"/>
          <w:szCs w:val="16"/>
          <w:u w:val="single" w:color="auto"/>
          <w:color w:val="0000FF"/>
        </w:rPr>
        <w:t>, Term SOFR Loans and Daily Simple SONIA Loans</w:t>
      </w:r>
      <w:r>
        <w:rPr>
          <w:rFonts w:ascii="Arial" w:cs="Arial" w:eastAsia="Arial" w:hAnsi="Arial"/>
          <w:sz w:val="16"/>
          <w:szCs w:val="16"/>
          <w:color w:val="000000"/>
        </w:rPr>
        <w:t xml:space="preserve"> in an aggregate principal amount of $</w:t>
      </w:r>
      <w:r>
        <w:rPr>
          <w:rFonts w:ascii="Arial" w:cs="Arial" w:eastAsia="Arial" w:hAnsi="Arial"/>
          <w:sz w:val="16"/>
          <w:szCs w:val="16"/>
          <w:color w:val="FF0000"/>
          <w:strike w:val="1"/>
        </w:rPr>
        <w:t>5</w:t>
      </w:r>
      <w:r>
        <w:rPr>
          <w:rFonts w:ascii="Arial" w:cs="Arial" w:eastAsia="Arial" w:hAnsi="Arial"/>
          <w:sz w:val="16"/>
          <w:szCs w:val="16"/>
          <w:u w:val="single" w:color="auto"/>
          <w:color w:val="0000FF"/>
        </w:rPr>
        <w:t>2</w:t>
      </w:r>
      <w:r>
        <w:rPr>
          <w:rFonts w:ascii="Arial" w:cs="Arial" w:eastAsia="Arial" w:hAnsi="Arial"/>
          <w:sz w:val="16"/>
          <w:szCs w:val="16"/>
          <w:color w:val="000000"/>
        </w:rPr>
        <w:t xml:space="preserve">,000,000 or a whole multiple of $1,000,000 in excess thereof and (z) with respect to Swingline Loans in an aggregate principal amount of $100,000 or a whole multiple of $100,000 in excess thereof </w:t>
      </w:r>
      <w:r>
        <w:rPr>
          <w:rFonts w:ascii="Arial" w:cs="Arial" w:eastAsia="Arial" w:hAnsi="Arial"/>
          <w:sz w:val="16"/>
          <w:szCs w:val="16"/>
          <w:color w:val="0000FF"/>
        </w:rPr>
        <w:t>(or, in each case, the remaining amount of the Revolving Credit Commitment or the Swingline Commitment, as applicable)</w:t>
      </w:r>
      <w:r>
        <w:rPr>
          <w:rFonts w:ascii="Arial" w:cs="Arial" w:eastAsia="Arial" w:hAnsi="Arial"/>
          <w:sz w:val="16"/>
          <w:szCs w:val="16"/>
          <w:color w:val="000000"/>
        </w:rPr>
        <w:t>, (</w:t>
      </w:r>
      <w:r>
        <w:rPr>
          <w:rFonts w:ascii="Arial" w:cs="Arial" w:eastAsia="Arial" w:hAnsi="Arial"/>
          <w:sz w:val="16"/>
          <w:szCs w:val="16"/>
          <w:color w:val="FF0000"/>
          <w:strike w:val="1"/>
        </w:rPr>
        <w:t>C</w:t>
      </w:r>
      <w:r>
        <w:rPr>
          <w:rFonts w:ascii="Arial" w:cs="Arial" w:eastAsia="Arial" w:hAnsi="Arial"/>
          <w:sz w:val="16"/>
          <w:szCs w:val="16"/>
          <w:u w:val="single" w:color="auto"/>
          <w:color w:val="0000FF"/>
        </w:rPr>
        <w:t>4</w:t>
      </w:r>
      <w:r>
        <w:rPr>
          <w:rFonts w:ascii="Arial" w:cs="Arial" w:eastAsia="Arial" w:hAnsi="Arial"/>
          <w:sz w:val="16"/>
          <w:szCs w:val="16"/>
          <w:color w:val="000000"/>
        </w:rPr>
        <w:t xml:space="preserve">) whether such Loan </w:t>
      </w:r>
      <w:r>
        <w:rPr>
          <w:rFonts w:ascii="Arial" w:cs="Arial" w:eastAsia="Arial" w:hAnsi="Arial"/>
          <w:sz w:val="16"/>
          <w:szCs w:val="16"/>
          <w:color w:val="FF0000"/>
          <w:strike w:val="1"/>
        </w:rPr>
        <w:t>denominated in Dollars</w:t>
      </w:r>
      <w:r>
        <w:rPr>
          <w:rFonts w:ascii="Arial" w:cs="Arial" w:eastAsia="Arial" w:hAnsi="Arial"/>
          <w:sz w:val="16"/>
          <w:szCs w:val="16"/>
          <w:color w:val="000000"/>
        </w:rPr>
        <w:t xml:space="preserve"> is to be a Revolving Credit Loan or Swingline Loan, (</w:t>
      </w:r>
      <w:r>
        <w:rPr>
          <w:rFonts w:ascii="Arial" w:cs="Arial" w:eastAsia="Arial" w:hAnsi="Arial"/>
          <w:sz w:val="16"/>
          <w:szCs w:val="16"/>
          <w:color w:val="FF0000"/>
          <w:strike w:val="1"/>
        </w:rPr>
        <w:t>D</w:t>
      </w:r>
      <w:r>
        <w:rPr>
          <w:rFonts w:ascii="Arial" w:cs="Arial" w:eastAsia="Arial" w:hAnsi="Arial"/>
          <w:sz w:val="16"/>
          <w:szCs w:val="16"/>
          <w:u w:val="single" w:color="auto"/>
          <w:color w:val="0000FF"/>
        </w:rPr>
        <w:t>5</w:t>
      </w:r>
      <w:r>
        <w:rPr>
          <w:rFonts w:ascii="Arial" w:cs="Arial" w:eastAsia="Arial" w:hAnsi="Arial"/>
          <w:sz w:val="16"/>
          <w:szCs w:val="16"/>
          <w:color w:val="000000"/>
        </w:rPr>
        <w:t>) in the case of a Revolving Credit Loan</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whether such Revolving Credit Loan is to be a Eurocurrency Rate Loan </w:t>
      </w:r>
      <w:r>
        <w:rPr>
          <w:rFonts w:ascii="Arial" w:cs="Arial" w:eastAsia="Arial" w:hAnsi="Arial"/>
          <w:sz w:val="16"/>
          <w:szCs w:val="16"/>
          <w:color w:val="FF0000"/>
        </w:rPr>
        <w:t>or</w:t>
      </w:r>
      <w:r>
        <w:rPr>
          <w:rFonts w:ascii="Arial" w:cs="Arial" w:eastAsia="Arial" w:hAnsi="Arial"/>
          <w:sz w:val="16"/>
          <w:szCs w:val="16"/>
          <w:u w:val="single" w:color="auto"/>
          <w:color w:val="0000FF"/>
        </w:rPr>
        <w:t>, a Daily Simple SONIA Loan, a Term SOFR Loan or a</w:t>
      </w:r>
      <w:r>
        <w:rPr>
          <w:rFonts w:ascii="Arial" w:cs="Arial" w:eastAsia="Arial" w:hAnsi="Arial"/>
          <w:sz w:val="16"/>
          <w:szCs w:val="16"/>
          <w:color w:val="000000"/>
        </w:rPr>
        <w:t xml:space="preserve"> Base Rate Loan, </w:t>
      </w:r>
      <w:r>
        <w:rPr>
          <w:rFonts w:ascii="Arial" w:cs="Arial" w:eastAsia="Arial" w:hAnsi="Arial"/>
          <w:sz w:val="16"/>
          <w:szCs w:val="16"/>
          <w:u w:val="single" w:color="auto"/>
          <w:color w:val="0000FF"/>
        </w:rPr>
        <w:t>and</w:t>
      </w:r>
      <w:r>
        <w:rPr>
          <w:rFonts w:ascii="Arial" w:cs="Arial" w:eastAsia="Arial" w:hAnsi="Arial"/>
          <w:sz w:val="16"/>
          <w:szCs w:val="16"/>
          <w:color w:val="000000"/>
        </w:rPr>
        <w:t xml:space="preserve"> (</w:t>
      </w:r>
      <w:r>
        <w:rPr>
          <w:rFonts w:ascii="Arial" w:cs="Arial" w:eastAsia="Arial" w:hAnsi="Arial"/>
          <w:sz w:val="16"/>
          <w:szCs w:val="16"/>
          <w:color w:val="FF0000"/>
          <w:strike w:val="1"/>
        </w:rPr>
        <w:t>E</w:t>
      </w:r>
      <w:r>
        <w:rPr>
          <w:rFonts w:ascii="Arial" w:cs="Arial" w:eastAsia="Arial" w:hAnsi="Arial"/>
          <w:sz w:val="16"/>
          <w:szCs w:val="16"/>
          <w:u w:val="single" w:color="auto"/>
          <w:color w:val="0000FF"/>
        </w:rPr>
        <w:t>6</w:t>
      </w:r>
      <w:r>
        <w:rPr>
          <w:rFonts w:ascii="Arial" w:cs="Arial" w:eastAsia="Arial" w:hAnsi="Arial"/>
          <w:sz w:val="16"/>
          <w:szCs w:val="16"/>
          <w:color w:val="000000"/>
        </w:rPr>
        <w:t xml:space="preserve">) in the case of a Eurocurrency Rate Loan </w:t>
      </w:r>
      <w:r>
        <w:rPr>
          <w:rFonts w:ascii="Arial" w:cs="Arial" w:eastAsia="Arial" w:hAnsi="Arial"/>
          <w:sz w:val="16"/>
          <w:szCs w:val="16"/>
          <w:color w:val="0000FF"/>
        </w:rPr>
        <w:t>or a Term SOFR Loan</w:t>
      </w:r>
      <w:r>
        <w:rPr>
          <w:rFonts w:ascii="Arial" w:cs="Arial" w:eastAsia="Arial" w:hAnsi="Arial"/>
          <w:sz w:val="16"/>
          <w:szCs w:val="16"/>
          <w:color w:val="000000"/>
        </w:rPr>
        <w:t xml:space="preserve">, the duration of the Interest Period applicable thereto </w:t>
      </w:r>
      <w:r>
        <w:rPr>
          <w:rFonts w:ascii="Arial" w:cs="Arial" w:eastAsia="Arial" w:hAnsi="Arial"/>
          <w:sz w:val="16"/>
          <w:szCs w:val="16"/>
          <w:color w:val="FF0000"/>
        </w:rPr>
        <w:t>and (F) in the</w:t>
      </w:r>
      <w:r>
        <w:rPr>
          <w:rFonts w:ascii="Arial" w:cs="Arial" w:eastAsia="Arial" w:hAnsi="Arial"/>
          <w:sz w:val="16"/>
          <w:szCs w:val="16"/>
          <w:color w:val="000000"/>
        </w:rPr>
        <w:t xml:space="preserve"> </w:t>
      </w:r>
      <w:r>
        <w:rPr>
          <w:rFonts w:ascii="Arial" w:cs="Arial" w:eastAsia="Arial" w:hAnsi="Arial"/>
          <w:sz w:val="16"/>
          <w:szCs w:val="16"/>
          <w:color w:val="008000"/>
          <w:strike w:val="1"/>
        </w:rPr>
        <w:t>case of a</w:t>
      </w:r>
      <w:r>
        <w:rPr>
          <w:rFonts w:ascii="Arial" w:cs="Arial" w:eastAsia="Arial" w:hAnsi="Arial"/>
          <w:sz w:val="16"/>
          <w:szCs w:val="16"/>
          <w:color w:val="000000"/>
        </w:rPr>
        <w:t xml:space="preserve"> </w:t>
      </w:r>
      <w:r>
        <w:rPr>
          <w:rFonts w:ascii="Arial" w:cs="Arial" w:eastAsia="Arial" w:hAnsi="Arial"/>
          <w:sz w:val="16"/>
          <w:szCs w:val="16"/>
          <w:color w:val="008000"/>
          <w:strike w:val="1"/>
        </w:rPr>
        <w:t>Eurocurrency Rate Loan, the</w:t>
      </w:r>
      <w:r>
        <w:rPr>
          <w:rFonts w:ascii="Arial" w:cs="Arial" w:eastAsia="Arial" w:hAnsi="Arial"/>
          <w:sz w:val="16"/>
          <w:szCs w:val="16"/>
          <w:color w:val="008000"/>
        </w:rPr>
        <w:t xml:space="preserve"> </w:t>
      </w:r>
      <w:r>
        <w:rPr>
          <w:rFonts w:ascii="Arial" w:cs="Arial" w:eastAsia="Arial" w:hAnsi="Arial"/>
          <w:sz w:val="16"/>
          <w:szCs w:val="16"/>
          <w:color w:val="FF0000"/>
          <w:strike w:val="1"/>
        </w:rPr>
        <w:t>applicable currency in which such Revolving Credit Loan is to be denominated</w:t>
      </w:r>
      <w:r>
        <w:rPr>
          <w:rFonts w:ascii="Arial" w:cs="Arial" w:eastAsia="Arial" w:hAnsi="Arial"/>
          <w:sz w:val="16"/>
          <w:szCs w:val="16"/>
          <w:color w:val="000000"/>
        </w:rPr>
        <w:t>. If the Borrower fails to specify</w:t>
      </w:r>
      <w:r>
        <w:rPr>
          <w:rFonts w:ascii="Arial" w:cs="Arial" w:eastAsia="Arial" w:hAnsi="Arial"/>
          <w:sz w:val="16"/>
          <w:szCs w:val="16"/>
          <w:color w:val="008000"/>
        </w:rPr>
        <w:t xml:space="preserve"> </w:t>
      </w:r>
      <w:r>
        <w:rPr>
          <w:rFonts w:ascii="Arial" w:cs="Arial" w:eastAsia="Arial" w:hAnsi="Arial"/>
          <w:sz w:val="16"/>
          <w:szCs w:val="16"/>
          <w:color w:val="FF0000"/>
          <w:strike w:val="1"/>
        </w:rPr>
        <w:t>a type of</w:t>
      </w:r>
      <w:r>
        <w:rPr>
          <w:rFonts w:ascii="Arial" w:cs="Arial" w:eastAsia="Arial" w:hAnsi="Arial"/>
          <w:sz w:val="16"/>
          <w:szCs w:val="16"/>
          <w:color w:val="008000"/>
        </w:rPr>
        <w:t xml:space="preserve"> </w:t>
      </w:r>
      <w:r>
        <w:rPr>
          <w:rFonts w:ascii="Arial" w:cs="Arial" w:eastAsia="Arial" w:hAnsi="Arial"/>
          <w:sz w:val="16"/>
          <w:szCs w:val="16"/>
          <w:color w:val="FF0000"/>
          <w:strike w:val="1"/>
        </w:rPr>
        <w:t>Revolving Credit</w:t>
      </w:r>
      <w:r>
        <w:rPr>
          <w:rFonts w:ascii="Arial" w:cs="Arial" w:eastAsia="Arial" w:hAnsi="Arial"/>
          <w:sz w:val="16"/>
          <w:szCs w:val="16"/>
          <w:u w:val="single" w:color="auto"/>
          <w:color w:val="0000FF"/>
        </w:rPr>
        <w:t>the Currency of a</w:t>
      </w:r>
      <w:r>
        <w:rPr>
          <w:rFonts w:ascii="Arial" w:cs="Arial" w:eastAsia="Arial" w:hAnsi="Arial"/>
          <w:sz w:val="16"/>
          <w:szCs w:val="16"/>
          <w:color w:val="FF0000"/>
        </w:rPr>
        <w:t xml:space="preserve"> </w:t>
      </w:r>
      <w:r>
        <w:rPr>
          <w:rFonts w:ascii="Arial" w:cs="Arial" w:eastAsia="Arial" w:hAnsi="Arial"/>
          <w:sz w:val="16"/>
          <w:szCs w:val="16"/>
          <w:color w:val="000000"/>
        </w:rPr>
        <w:t>Loan in a Notice of Borrowing, then the applicable</w:t>
      </w:r>
      <w:r>
        <w:rPr>
          <w:rFonts w:ascii="Arial" w:cs="Arial" w:eastAsia="Arial" w:hAnsi="Arial"/>
          <w:sz w:val="16"/>
          <w:szCs w:val="16"/>
          <w:color w:val="FF0000"/>
        </w:rPr>
        <w:t xml:space="preserve"> </w:t>
      </w:r>
      <w:r>
        <w:rPr>
          <w:rFonts w:ascii="Arial" w:cs="Arial" w:eastAsia="Arial" w:hAnsi="Arial"/>
          <w:sz w:val="16"/>
          <w:szCs w:val="16"/>
          <w:color w:val="FF0000"/>
          <w:strike w:val="1"/>
        </w:rPr>
        <w:t>Revolving Credit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Loans</w:t>
      </w:r>
      <w:r>
        <w:rPr>
          <w:rFonts w:ascii="Arial" w:cs="Arial" w:eastAsia="Arial" w:hAnsi="Arial"/>
          <w:sz w:val="16"/>
          <w:szCs w:val="16"/>
          <w:color w:val="FF0000"/>
        </w:rPr>
        <w:t xml:space="preserve"> </w:t>
      </w:r>
      <w:r>
        <w:rPr>
          <w:rFonts w:ascii="Arial" w:cs="Arial" w:eastAsia="Arial" w:hAnsi="Arial"/>
          <w:sz w:val="16"/>
          <w:szCs w:val="16"/>
          <w:u w:val="single" w:color="auto"/>
          <w:color w:val="008000"/>
        </w:rPr>
        <w:t>shall be made in Dollars</w:t>
      </w:r>
      <w:r>
        <w:rPr>
          <w:rFonts w:ascii="Arial" w:cs="Arial" w:eastAsia="Arial" w:hAnsi="Arial"/>
          <w:sz w:val="16"/>
          <w:szCs w:val="16"/>
          <w:u w:val="single" w:color="auto"/>
          <w:color w:val="0000FF"/>
        </w:rPr>
        <w:t>. If the Borrower</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fails to specify a type of Loan denominated in Dollars</w:t>
      </w:r>
      <w:r>
        <w:rPr>
          <w:rFonts w:ascii="Arial" w:cs="Arial" w:eastAsia="Arial" w:hAnsi="Arial"/>
          <w:sz w:val="16"/>
          <w:szCs w:val="16"/>
          <w:color w:val="0000FF"/>
        </w:rPr>
        <w:t xml:space="preserve"> </w:t>
      </w:r>
      <w:r>
        <w:rPr>
          <w:rFonts w:ascii="Arial" w:cs="Arial" w:eastAsia="Arial" w:hAnsi="Arial"/>
          <w:sz w:val="16"/>
          <w:szCs w:val="16"/>
          <w:color w:val="008000"/>
        </w:rPr>
        <w:t>in a Notice of Borrowing</w:t>
      </w:r>
      <w:r>
        <w:rPr>
          <w:rFonts w:ascii="Arial" w:cs="Arial" w:eastAsia="Arial" w:hAnsi="Arial"/>
          <w:sz w:val="16"/>
          <w:szCs w:val="16"/>
          <w:u w:val="single" w:color="auto"/>
          <w:color w:val="0000FF"/>
        </w:rPr>
        <w:t>, then the applicable</w:t>
      </w:r>
      <w:r>
        <w:rPr>
          <w:rFonts w:ascii="Arial" w:cs="Arial" w:eastAsia="Arial" w:hAnsi="Arial"/>
          <w:sz w:val="16"/>
          <w:szCs w:val="16"/>
          <w:color w:val="0000FF"/>
        </w:rPr>
        <w:t xml:space="preserve"> </w:t>
      </w:r>
      <w:r>
        <w:rPr>
          <w:rFonts w:ascii="Arial" w:cs="Arial" w:eastAsia="Arial" w:hAnsi="Arial"/>
          <w:sz w:val="16"/>
          <w:szCs w:val="16"/>
          <w:color w:val="000000"/>
        </w:rPr>
        <w:t>Loans shall be made as Base Rate Loans. If the</w:t>
      </w:r>
      <w:r>
        <w:rPr>
          <w:rFonts w:ascii="Arial" w:cs="Arial" w:eastAsia="Arial" w:hAnsi="Arial"/>
          <w:sz w:val="16"/>
          <w:szCs w:val="16"/>
          <w:color w:val="0000FF"/>
        </w:rPr>
        <w:t xml:space="preserve"> </w:t>
      </w:r>
      <w:r>
        <w:rPr>
          <w:rFonts w:ascii="Arial" w:cs="Arial" w:eastAsia="Arial" w:hAnsi="Arial"/>
          <w:sz w:val="16"/>
          <w:szCs w:val="16"/>
          <w:color w:val="000000"/>
        </w:rPr>
        <w:t xml:space="preserve">Borrower </w:t>
      </w:r>
      <w:r>
        <w:rPr>
          <w:rFonts w:ascii="Arial" w:cs="Arial" w:eastAsia="Arial" w:hAnsi="Arial"/>
          <w:sz w:val="16"/>
          <w:szCs w:val="16"/>
          <w:color w:val="FF0000"/>
          <w:strike w:val="1"/>
        </w:rPr>
        <w:t>fails to specify a currency</w:t>
      </w:r>
      <w:r>
        <w:rPr>
          <w:rFonts w:ascii="Arial" w:cs="Arial" w:eastAsia="Arial" w:hAnsi="Arial"/>
          <w:sz w:val="16"/>
          <w:szCs w:val="16"/>
          <w:color w:val="000000"/>
        </w:rPr>
        <w:t xml:space="preserve"> </w:t>
      </w:r>
      <w:r>
        <w:rPr>
          <w:rFonts w:ascii="Arial" w:cs="Arial" w:eastAsia="Arial" w:hAnsi="Arial"/>
          <w:sz w:val="16"/>
          <w:szCs w:val="16"/>
          <w:color w:val="008000"/>
          <w:strike w:val="1"/>
        </w:rPr>
        <w:t>in a Notice of Borrowing</w:t>
      </w:r>
      <w:r>
        <w:rPr>
          <w:rFonts w:ascii="Arial" w:cs="Arial" w:eastAsia="Arial" w:hAnsi="Arial"/>
          <w:sz w:val="16"/>
          <w:szCs w:val="16"/>
          <w:color w:val="000000"/>
        </w:rPr>
        <w:t xml:space="preserve"> </w:t>
      </w:r>
      <w:r>
        <w:rPr>
          <w:rFonts w:ascii="Arial" w:cs="Arial" w:eastAsia="Arial" w:hAnsi="Arial"/>
          <w:sz w:val="16"/>
          <w:szCs w:val="16"/>
          <w:color w:val="FF0000"/>
          <w:strike w:val="1"/>
        </w:rPr>
        <w:t>requesting</w:t>
      </w:r>
      <w:r>
        <w:rPr>
          <w:rFonts w:ascii="Arial" w:cs="Arial" w:eastAsia="Arial" w:hAnsi="Arial"/>
          <w:sz w:val="16"/>
          <w:szCs w:val="16"/>
          <w:u w:val="single" w:color="auto"/>
          <w:color w:val="0000FF"/>
        </w:rPr>
        <w:t>requests a borrowing of</w:t>
      </w:r>
      <w:r>
        <w:rPr>
          <w:rFonts w:ascii="Arial" w:cs="Arial" w:eastAsia="Arial" w:hAnsi="Arial"/>
          <w:sz w:val="16"/>
          <w:szCs w:val="16"/>
          <w:color w:val="000000"/>
        </w:rPr>
        <w:t xml:space="preserve"> a Eurocurrency Rate Loan</w:t>
      </w:r>
      <w:r>
        <w:rPr>
          <w:rFonts w:ascii="Arial" w:cs="Arial" w:eastAsia="Arial" w:hAnsi="Arial"/>
          <w:sz w:val="16"/>
          <w:szCs w:val="16"/>
          <w:color w:val="FF0000"/>
          <w:strike w:val="1"/>
        </w:rPr>
        <w:t>, then the Eurocurrency Rate</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Loan so requested </w:t>
      </w:r>
      <w:r>
        <w:rPr>
          <w:rFonts w:ascii="Arial" w:cs="Arial" w:eastAsia="Arial" w:hAnsi="Arial"/>
          <w:sz w:val="16"/>
          <w:szCs w:val="16"/>
          <w:color w:val="008000"/>
          <w:strike w:val="1"/>
        </w:rPr>
        <w:t>shall be made in Dollars</w:t>
      </w:r>
      <w:r>
        <w:rPr>
          <w:rFonts w:ascii="Arial" w:cs="Arial" w:eastAsia="Arial" w:hAnsi="Arial"/>
          <w:sz w:val="16"/>
          <w:szCs w:val="16"/>
          <w:u w:val="single" w:color="auto"/>
          <w:color w:val="0000FF"/>
          <w:strike w:val="1"/>
        </w:rPr>
        <w:t>or a Term SOFR Loan in any such Notice of Borrowing, but fails to specify an Interest Period, it will be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deemed to have specified</w:t>
      </w:r>
      <w:r>
        <w:rPr>
          <w:rFonts w:ascii="Arial" w:cs="Arial" w:eastAsia="Arial" w:hAnsi="Arial"/>
          <w:sz w:val="16"/>
          <w:szCs w:val="16"/>
          <w:color w:val="0000FF"/>
          <w:strike w:val="1"/>
        </w:rPr>
        <w:t xml:space="preserve"> </w:t>
      </w:r>
      <w:r>
        <w:rPr>
          <w:rFonts w:ascii="Arial" w:cs="Arial" w:eastAsia="Arial" w:hAnsi="Arial"/>
          <w:sz w:val="16"/>
          <w:szCs w:val="16"/>
          <w:color w:val="008000"/>
          <w:strike w:val="1"/>
        </w:rPr>
        <w:t>an Interest Period of one month</w:t>
      </w:r>
      <w:r>
        <w:rPr>
          <w:rFonts w:ascii="Arial" w:cs="Arial" w:eastAsia="Arial" w:hAnsi="Arial"/>
          <w:sz w:val="16"/>
          <w:szCs w:val="16"/>
          <w:color w:val="000000"/>
          <w:strike w:val="1"/>
        </w:rPr>
        <w:t>. A Notice of Borrowing received after 11:00 a.m. shall be deemed received on the next</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Business Day</w:t>
      </w:r>
      <w:r>
        <w:rPr>
          <w:rFonts w:ascii="Arial" w:cs="Arial" w:eastAsia="Arial" w:hAnsi="Arial"/>
          <w:sz w:val="16"/>
          <w:szCs w:val="16"/>
          <w:u w:val="single" w:color="auto"/>
          <w:color w:val="0000FF"/>
          <w:strike w:val="1"/>
        </w:rPr>
        <w:t>, RFR Business Day or Eurocurrency Banking Day, as applicable</w:t>
      </w:r>
      <w:r>
        <w:rPr>
          <w:rFonts w:ascii="Arial" w:cs="Arial" w:eastAsia="Arial" w:hAnsi="Arial"/>
          <w:sz w:val="16"/>
          <w:szCs w:val="16"/>
          <w:color w:val="000000"/>
          <w:strike w:val="1"/>
        </w:rPr>
        <w:t>. The Administrative Agent shall promptly notify the Revolving Credit Lenders of each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-2427605</wp:posOffset>
            </wp:positionV>
            <wp:extent cx="2000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-1390015</wp:posOffset>
            </wp:positionV>
            <wp:extent cx="56749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-1416050</wp:posOffset>
            </wp:positionV>
            <wp:extent cx="56718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71820" cy="8255"/>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-1193165</wp:posOffset>
            </wp:positionV>
            <wp:extent cx="1193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938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-978535</wp:posOffset>
            </wp:positionV>
            <wp:extent cx="10458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-1004570</wp:posOffset>
            </wp:positionV>
            <wp:extent cx="10464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46480" cy="825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-1056005</wp:posOffset>
            </wp:positionV>
            <wp:extent cx="6756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5640" cy="825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-567055</wp:posOffset>
            </wp:positionV>
            <wp:extent cx="11741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-593090</wp:posOffset>
            </wp:positionV>
            <wp:extent cx="11772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772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-155575</wp:posOffset>
            </wp:positionV>
            <wp:extent cx="1474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-181610</wp:posOffset>
            </wp:positionV>
            <wp:extent cx="14725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59" w:lineRule="exact"/>
        <w:rPr>
          <w:sz w:val="20"/>
          <w:szCs w:val="20"/>
          <w:color w:val="auto"/>
        </w:rPr>
      </w:pPr>
    </w:p>
    <w:p>
      <w:pPr>
        <w:ind w:firstLine="436"/>
        <w:spacing w:after="0" w:line="268" w:lineRule="auto"/>
        <w:tabs>
          <w:tab w:leader="none" w:pos="69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Disbursement of Revolving Credit and Swingline Loans</w:t>
      </w:r>
      <w:r>
        <w:rPr>
          <w:rFonts w:ascii="Arial" w:cs="Arial" w:eastAsia="Arial" w:hAnsi="Arial"/>
          <w:sz w:val="17"/>
          <w:szCs w:val="17"/>
          <w:color w:val="auto"/>
        </w:rPr>
        <w:t>. Not later than 1:00 p.m.</w:t>
      </w:r>
      <w:r>
        <w:rPr>
          <w:rFonts w:ascii="Arial" w:cs="Arial" w:eastAsia="Arial" w:hAnsi="Arial"/>
          <w:sz w:val="17"/>
          <w:szCs w:val="17"/>
          <w:color w:val="FF0000"/>
          <w:strike w:val="1"/>
        </w:rPr>
        <w:t>,</w:t>
      </w:r>
      <w:r>
        <w:rPr>
          <w:rFonts w:ascii="Arial" w:cs="Arial" w:eastAsia="Arial" w:hAnsi="Arial"/>
          <w:sz w:val="17"/>
          <w:szCs w:val="17"/>
          <w:color w:val="auto"/>
        </w:rPr>
        <w:t xml:space="preserve"> in the case of any Loan denominated in Dollars, and not later than the Applicable Time specified by the Administrative Agent in the case of any Loan denominated in an Alternative Currency, in each case on the proposed borrowing date, (i) each Revolving Credit Lender will make available to the Administrative Agent, for the account of the Borrower, </w:t>
      </w:r>
      <w:r>
        <w:rPr>
          <w:rFonts w:ascii="Arial" w:cs="Arial" w:eastAsia="Arial" w:hAnsi="Arial"/>
          <w:sz w:val="17"/>
          <w:szCs w:val="17"/>
          <w:color w:val="FF0000"/>
          <w:strike w:val="1"/>
        </w:rPr>
        <w:t>in</w:t>
      </w:r>
      <w:r>
        <w:rPr>
          <w:rFonts w:ascii="Arial" w:cs="Arial" w:eastAsia="Arial" w:hAnsi="Arial"/>
          <w:sz w:val="17"/>
          <w:szCs w:val="17"/>
          <w:color w:val="auto"/>
        </w:rPr>
        <w:t xml:space="preserve"> </w:t>
      </w:r>
      <w:r>
        <w:rPr>
          <w:rFonts w:ascii="Arial" w:cs="Arial" w:eastAsia="Arial" w:hAnsi="Arial"/>
          <w:sz w:val="17"/>
          <w:szCs w:val="17"/>
          <w:color w:val="FF0000"/>
          <w:strike w:val="1"/>
        </w:rPr>
        <w:t>Same Day Funds</w:t>
      </w:r>
      <w:r>
        <w:rPr>
          <w:rFonts w:ascii="Arial" w:cs="Arial" w:eastAsia="Arial" w:hAnsi="Arial"/>
          <w:sz w:val="17"/>
          <w:szCs w:val="17"/>
          <w:color w:val="FF0000"/>
        </w:rPr>
        <w:t xml:space="preserve"> </w:t>
      </w:r>
      <w:r>
        <w:rPr>
          <w:rFonts w:ascii="Arial" w:cs="Arial" w:eastAsia="Arial" w:hAnsi="Arial"/>
          <w:sz w:val="17"/>
          <w:szCs w:val="17"/>
          <w:color w:val="000000"/>
        </w:rPr>
        <w:t>at the Administrative Agent’s Office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in Same Day Funds</w:t>
      </w:r>
      <w:r>
        <w:rPr>
          <w:rFonts w:ascii="Arial" w:cs="Arial" w:eastAsia="Arial" w:hAnsi="Arial"/>
          <w:sz w:val="17"/>
          <w:szCs w:val="17"/>
          <w:color w:val="FF0000"/>
        </w:rPr>
        <w:t xml:space="preserve"> </w:t>
      </w:r>
      <w:r>
        <w:rPr>
          <w:rFonts w:ascii="Arial" w:cs="Arial" w:eastAsia="Arial" w:hAnsi="Arial"/>
          <w:sz w:val="17"/>
          <w:szCs w:val="17"/>
          <w:color w:val="000000"/>
        </w:rPr>
        <w:t>for the applicable</w:t>
      </w:r>
      <w:r>
        <w:rPr>
          <w:rFonts w:ascii="Arial" w:cs="Arial" w:eastAsia="Arial" w:hAnsi="Arial"/>
          <w:sz w:val="17"/>
          <w:szCs w:val="17"/>
          <w:color w:val="FF0000"/>
        </w:rPr>
        <w:t xml:space="preserve"> </w:t>
      </w:r>
      <w:r>
        <w:rPr>
          <w:rFonts w:ascii="Arial" w:cs="Arial" w:eastAsia="Arial" w:hAnsi="Arial"/>
          <w:sz w:val="17"/>
          <w:szCs w:val="17"/>
          <w:color w:val="FF0000"/>
          <w:strike w:val="1"/>
        </w:rPr>
        <w:t>c</w:t>
      </w:r>
      <w:r>
        <w:rPr>
          <w:rFonts w:ascii="Arial" w:cs="Arial" w:eastAsia="Arial" w:hAnsi="Arial"/>
          <w:sz w:val="17"/>
          <w:szCs w:val="17"/>
          <w:u w:val="single" w:color="auto"/>
          <w:color w:val="0000FF"/>
        </w:rPr>
        <w:t>C</w:t>
      </w:r>
      <w:r>
        <w:rPr>
          <w:rFonts w:ascii="Arial" w:cs="Arial" w:eastAsia="Arial" w:hAnsi="Arial"/>
          <w:sz w:val="17"/>
          <w:szCs w:val="17"/>
          <w:color w:val="000000"/>
        </w:rPr>
        <w:t>urrency, such Revolving Credit Lender’s Revolving</w:t>
      </w:r>
      <w:r>
        <w:rPr>
          <w:rFonts w:ascii="Arial" w:cs="Arial" w:eastAsia="Arial" w:hAnsi="Arial"/>
          <w:sz w:val="17"/>
          <w:szCs w:val="17"/>
          <w:color w:val="FF0000"/>
        </w:rPr>
        <w:t xml:space="preserve"> </w:t>
      </w:r>
      <w:r>
        <w:rPr>
          <w:rFonts w:ascii="Arial" w:cs="Arial" w:eastAsia="Arial" w:hAnsi="Arial"/>
          <w:sz w:val="17"/>
          <w:szCs w:val="17"/>
          <w:color w:val="000000"/>
        </w:rPr>
        <w:t xml:space="preserve">Credit Commitment Percentage of the Revolving Credit Loans to be made on such borrowing date and (ii) the Swingline Lender will make available to the Administrative Agent, for the account of the Borrower, </w:t>
      </w:r>
      <w:r>
        <w:rPr>
          <w:rFonts w:ascii="Arial" w:cs="Arial" w:eastAsia="Arial" w:hAnsi="Arial"/>
          <w:sz w:val="17"/>
          <w:szCs w:val="17"/>
          <w:color w:val="FF0000"/>
          <w:strike w:val="1"/>
        </w:rPr>
        <w:t>in Same Day Funds</w:t>
      </w:r>
      <w:r>
        <w:rPr>
          <w:rFonts w:ascii="Arial" w:cs="Arial" w:eastAsia="Arial" w:hAnsi="Arial"/>
          <w:sz w:val="17"/>
          <w:szCs w:val="17"/>
          <w:color w:val="000000"/>
        </w:rPr>
        <w:t xml:space="preserve"> at the Administrative Agent’s Office </w:t>
      </w:r>
      <w:r>
        <w:rPr>
          <w:rFonts w:ascii="Arial" w:cs="Arial" w:eastAsia="Arial" w:hAnsi="Arial"/>
          <w:sz w:val="17"/>
          <w:szCs w:val="17"/>
          <w:color w:val="0000FF"/>
        </w:rPr>
        <w:t>in Same Day Funds</w:t>
      </w:r>
      <w:r>
        <w:rPr>
          <w:rFonts w:ascii="Arial" w:cs="Arial" w:eastAsia="Arial" w:hAnsi="Arial"/>
          <w:sz w:val="17"/>
          <w:szCs w:val="17"/>
          <w:color w:val="000000"/>
        </w:rPr>
        <w:t xml:space="preserve">, the Swingline Loans to be made on such borrowing date. The Borrower hereby irrevocably authorizes the Administrative Agent to disburse the proceeds of each borrowing requested pursuant to this Section in Same Day Funds by crediting or wiring such proceeds to the deposit account of the Borrower identified in the most recent notice substantially in the form attached as </w:t>
      </w:r>
      <w:r>
        <w:rPr>
          <w:rFonts w:ascii="Arial" w:cs="Arial" w:eastAsia="Arial" w:hAnsi="Arial"/>
          <w:sz w:val="17"/>
          <w:szCs w:val="17"/>
          <w:b w:val="1"/>
          <w:bCs w:val="1"/>
          <w:i w:val="1"/>
          <w:iCs w:val="1"/>
          <w:color w:val="000000"/>
        </w:rPr>
        <w:t>Exhibit C</w:t>
      </w:r>
      <w:r>
        <w:rPr>
          <w:rFonts w:ascii="Arial" w:cs="Arial" w:eastAsia="Arial" w:hAnsi="Arial"/>
          <w:sz w:val="17"/>
          <w:szCs w:val="17"/>
          <w:color w:val="000000"/>
        </w:rPr>
        <w:t xml:space="preserve"> (a “</w:t>
      </w:r>
      <w:r>
        <w:rPr>
          <w:rFonts w:ascii="Arial" w:cs="Arial" w:eastAsia="Arial" w:hAnsi="Arial"/>
          <w:sz w:val="17"/>
          <w:szCs w:val="17"/>
          <w:u w:val="single" w:color="auto"/>
          <w:color w:val="000000"/>
        </w:rPr>
        <w:t>Notice of Account Designation</w:t>
      </w:r>
      <w:r>
        <w:rPr>
          <w:rFonts w:ascii="Arial" w:cs="Arial" w:eastAsia="Arial" w:hAnsi="Arial"/>
          <w:sz w:val="17"/>
          <w:szCs w:val="17"/>
          <w:color w:val="000000"/>
        </w:rPr>
        <w:t xml:space="preserve">”) delivered by the Borrower to the Administrative Agent or as may be otherwise agreed upon by the Borrower and the Administrative Agent from time to time. Subject to </w:t>
      </w:r>
      <w:r>
        <w:rPr>
          <w:rFonts w:ascii="Arial" w:cs="Arial" w:eastAsia="Arial" w:hAnsi="Arial"/>
          <w:sz w:val="17"/>
          <w:szCs w:val="17"/>
          <w:u w:val="single" w:color="auto"/>
          <w:color w:val="000000"/>
        </w:rPr>
        <w:t>Section 5.7</w:t>
      </w:r>
      <w:r>
        <w:rPr>
          <w:rFonts w:ascii="Arial" w:cs="Arial" w:eastAsia="Arial" w:hAnsi="Arial"/>
          <w:sz w:val="17"/>
          <w:szCs w:val="17"/>
          <w:color w:val="000000"/>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7"/>
          <w:szCs w:val="17"/>
          <w:u w:val="single" w:color="auto"/>
          <w:color w:val="000000"/>
        </w:rPr>
        <w:t>Section 2.2(b)</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-1108075</wp:posOffset>
            </wp:positionV>
            <wp:extent cx="9258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-1133475</wp:posOffset>
            </wp:positionV>
            <wp:extent cx="9264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26465" cy="8255"/>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490" w:right="459" w:bottom="1440" w:gutter="0" w:footer="0" w:header="0"/>
        </w:sectPr>
      </w:pPr>
    </w:p>
    <w:bookmarkStart w:id="105" w:name="page106"/>
    <w:bookmarkEnd w:id="1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2.4 </w:t>
      </w:r>
      <w:r>
        <w:rPr>
          <w:rFonts w:ascii="Arial" w:cs="Arial" w:eastAsia="Arial" w:hAnsi="Arial"/>
          <w:sz w:val="18"/>
          <w:szCs w:val="18"/>
          <w:u w:val="single" w:color="auto"/>
          <w:color w:val="auto"/>
        </w:rPr>
        <w:t>Repayment and Prepayment of Revolving Credit and Swingline Loans</w:t>
      </w:r>
      <w:r>
        <w:rPr>
          <w:rFonts w:ascii="Arial" w:cs="Arial" w:eastAsia="Arial" w:hAnsi="Arial"/>
          <w:sz w:val="18"/>
          <w:szCs w:val="18"/>
          <w:color w:val="auto"/>
        </w:rPr>
        <w:t>.</w:t>
      </w:r>
    </w:p>
    <w:p>
      <w:pPr>
        <w:spacing w:after="0" w:line="117" w:lineRule="exact"/>
        <w:rPr>
          <w:sz w:val="20"/>
          <w:szCs w:val="20"/>
          <w:color w:val="auto"/>
        </w:rPr>
      </w:pPr>
    </w:p>
    <w:p>
      <w:pPr>
        <w:ind w:right="380" w:firstLine="436"/>
        <w:spacing w:after="0" w:line="291" w:lineRule="auto"/>
        <w:tabs>
          <w:tab w:leader="none" w:pos="68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Repayment on Termination Date</w:t>
      </w:r>
      <w:r>
        <w:rPr>
          <w:rFonts w:ascii="Arial" w:cs="Arial" w:eastAsia="Arial" w:hAnsi="Arial"/>
          <w:sz w:val="16"/>
          <w:szCs w:val="16"/>
          <w:color w:val="auto"/>
        </w:rPr>
        <w:t>. The Borrower hereby agrees to repay the outstanding principal amount of (i) all Revolving Credit Loans made to the Borrower in full on the Revolving Credit Maturity Date, and (ii) all Swingline Loans made to the Borrower in accordance with</w:t>
      </w:r>
    </w:p>
    <w:p>
      <w:pPr>
        <w:ind w:right="6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(but, in any event, no later than the earlier to occur of (x) the date that is seven (7) days after such Loan is made and (y) Revolving Credit Maturity Date), </w:t>
      </w:r>
      <w:r>
        <w:rPr>
          <w:rFonts w:ascii="Arial" w:cs="Arial" w:eastAsia="Arial" w:hAnsi="Arial"/>
          <w:sz w:val="18"/>
          <w:szCs w:val="18"/>
          <w:color w:val="FF0000"/>
          <w:strike w:val="1"/>
        </w:rPr>
        <w:t>together,</w:t>
      </w:r>
      <w:r>
        <w:rPr>
          <w:rFonts w:ascii="Arial" w:cs="Arial" w:eastAsia="Arial" w:hAnsi="Arial"/>
          <w:sz w:val="18"/>
          <w:szCs w:val="18"/>
          <w:color w:val="auto"/>
        </w:rPr>
        <w:t xml:space="preserve"> in each case, </w:t>
      </w:r>
      <w:r>
        <w:rPr>
          <w:rFonts w:ascii="Arial" w:cs="Arial" w:eastAsia="Arial" w:hAnsi="Arial"/>
          <w:sz w:val="18"/>
          <w:szCs w:val="18"/>
          <w:u w:val="single" w:color="auto"/>
          <w:color w:val="0000FF"/>
        </w:rPr>
        <w:t>(A) in the Currency in which such Loan is denominated and (B) together</w:t>
      </w:r>
      <w:r>
        <w:rPr>
          <w:rFonts w:ascii="Arial" w:cs="Arial" w:eastAsia="Arial" w:hAnsi="Arial"/>
          <w:sz w:val="18"/>
          <w:szCs w:val="18"/>
          <w:color w:val="auto"/>
        </w:rPr>
        <w:t xml:space="preserve"> with all accrued but unpaid interest thereon.</w:t>
      </w:r>
    </w:p>
    <w:p>
      <w:pPr>
        <w:spacing w:after="0" w:line="81" w:lineRule="exact"/>
        <w:rPr>
          <w:rFonts w:ascii="Arial" w:cs="Arial" w:eastAsia="Arial" w:hAnsi="Arial"/>
          <w:sz w:val="16"/>
          <w:szCs w:val="16"/>
          <w:color w:val="auto"/>
        </w:rPr>
      </w:pPr>
    </w:p>
    <w:p>
      <w:pPr>
        <w:ind w:left="700" w:hanging="264"/>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73" w:lineRule="auto"/>
        <w:tabs>
          <w:tab w:leader="none" w:pos="1078"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If at any time the Revolving Credit Outstandings exceed the Revolving Credit Commitment, the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principal amount of outstanding Swingline Loans,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principal amount of outstanding Revolving Credit Loans and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in accordance with </w:t>
      </w:r>
      <w:r>
        <w:rPr>
          <w:rFonts w:ascii="Arial" w:cs="Arial" w:eastAsia="Arial" w:hAnsi="Arial"/>
          <w:sz w:val="17"/>
          <w:szCs w:val="17"/>
          <w:u w:val="single" w:color="auto"/>
          <w:color w:val="auto"/>
        </w:rPr>
        <w:t>Section 10.2(b)</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right="20" w:firstLine="419"/>
        <w:spacing w:after="0" w:line="287" w:lineRule="auto"/>
        <w:tabs>
          <w:tab w:leader="none" w:pos="1128"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If at any time the Administrative Agent notifies the Borrower that </w:t>
      </w:r>
      <w:r>
        <w:rPr>
          <w:rFonts w:ascii="Arial" w:cs="Arial" w:eastAsia="Arial" w:hAnsi="Arial"/>
          <w:sz w:val="16"/>
          <w:szCs w:val="16"/>
          <w:color w:val="FF0000"/>
          <w:strike w:val="1"/>
        </w:rPr>
        <w:t>aggregate principal amount of</w:t>
      </w:r>
      <w:r>
        <w:rPr>
          <w:rFonts w:ascii="Arial" w:cs="Arial" w:eastAsia="Arial" w:hAnsi="Arial"/>
          <w:sz w:val="16"/>
          <w:szCs w:val="16"/>
          <w:u w:val="single" w:color="auto"/>
          <w:color w:val="0000FF"/>
        </w:rPr>
        <w:t>the sum of the Dollar Equivalent of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total</w:t>
      </w:r>
      <w:r>
        <w:rPr>
          <w:rFonts w:ascii="Arial" w:cs="Arial" w:eastAsia="Arial" w:hAnsi="Arial"/>
          <w:sz w:val="16"/>
          <w:szCs w:val="16"/>
          <w:color w:val="0000FF"/>
        </w:rPr>
        <w:t xml:space="preserve"> </w:t>
      </w:r>
      <w:r>
        <w:rPr>
          <w:rFonts w:ascii="Arial" w:cs="Arial" w:eastAsia="Arial" w:hAnsi="Arial"/>
          <w:sz w:val="16"/>
          <w:szCs w:val="16"/>
          <w:color w:val="000000"/>
        </w:rPr>
        <w:t>Revolving Credit Outstandings denominated in Alternative Currencies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Alternative L/C Currencies, as applicable,</w:t>
      </w:r>
      <w:r>
        <w:rPr>
          <w:rFonts w:ascii="Arial" w:cs="Arial" w:eastAsia="Arial" w:hAnsi="Arial"/>
          <w:sz w:val="16"/>
          <w:szCs w:val="16"/>
          <w:color w:val="0000FF"/>
        </w:rPr>
        <w:t xml:space="preserve"> </w:t>
      </w:r>
      <w:r>
        <w:rPr>
          <w:rFonts w:ascii="Arial" w:cs="Arial" w:eastAsia="Arial" w:hAnsi="Arial"/>
          <w:sz w:val="16"/>
          <w:szCs w:val="16"/>
          <w:color w:val="000000"/>
        </w:rPr>
        <w:t>exceeds an amount equal</w:t>
      </w:r>
      <w:r>
        <w:rPr>
          <w:rFonts w:ascii="Arial" w:cs="Arial" w:eastAsia="Arial" w:hAnsi="Arial"/>
          <w:sz w:val="16"/>
          <w:szCs w:val="16"/>
          <w:color w:val="0000FF"/>
        </w:rPr>
        <w:t xml:space="preserve"> </w:t>
      </w:r>
      <w:r>
        <w:rPr>
          <w:rFonts w:ascii="Arial" w:cs="Arial" w:eastAsia="Arial" w:hAnsi="Arial"/>
          <w:sz w:val="16"/>
          <w:szCs w:val="16"/>
          <w:color w:val="000000"/>
        </w:rPr>
        <w:t xml:space="preserve">to </w:t>
      </w:r>
      <w:r>
        <w:rPr>
          <w:rFonts w:ascii="Arial" w:cs="Arial" w:eastAsia="Arial" w:hAnsi="Arial"/>
          <w:sz w:val="16"/>
          <w:szCs w:val="16"/>
          <w:color w:val="FF0000"/>
          <w:strike w:val="1"/>
        </w:rPr>
        <w:t>the Minimum Collateral Amount</w:t>
      </w:r>
      <w:r>
        <w:rPr>
          <w:rFonts w:ascii="Arial" w:cs="Arial" w:eastAsia="Arial" w:hAnsi="Arial"/>
          <w:sz w:val="16"/>
          <w:szCs w:val="16"/>
          <w:u w:val="single" w:color="auto"/>
          <w:color w:val="0000FF"/>
        </w:rPr>
        <w:t>105%</w:t>
      </w:r>
      <w:r>
        <w:rPr>
          <w:rFonts w:ascii="Arial" w:cs="Arial" w:eastAsia="Arial" w:hAnsi="Arial"/>
          <w:sz w:val="16"/>
          <w:szCs w:val="16"/>
          <w:color w:val="000000"/>
        </w:rPr>
        <w:t xml:space="preserve"> of the Alternative Currency Sublimit then in effect, the Borrower agrees to repay within two</w:t>
      </w:r>
    </w:p>
    <w:p>
      <w:pPr>
        <w:spacing w:after="0" w:line="2" w:lineRule="exact"/>
        <w:rPr>
          <w:rFonts w:ascii="Arial" w:cs="Arial" w:eastAsia="Arial" w:hAnsi="Arial"/>
          <w:sz w:val="16"/>
          <w:szCs w:val="16"/>
          <w:color w:val="auto"/>
        </w:rPr>
      </w:pPr>
    </w:p>
    <w:p>
      <w:pPr>
        <w:ind w:left="440" w:right="6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(2) Business Days after receipt of such notice </w:t>
      </w:r>
      <w:r>
        <w:rPr>
          <w:rFonts w:ascii="Arial" w:cs="Arial" w:eastAsia="Arial" w:hAnsi="Arial"/>
          <w:sz w:val="17"/>
          <w:szCs w:val="17"/>
          <w:u w:val="single" w:color="auto"/>
          <w:color w:val="0000FF"/>
        </w:rPr>
        <w:t>from the Administrative Agent</w:t>
      </w:r>
      <w:r>
        <w:rPr>
          <w:rFonts w:ascii="Arial" w:cs="Arial" w:eastAsia="Arial" w:hAnsi="Arial"/>
          <w:sz w:val="17"/>
          <w:szCs w:val="17"/>
          <w:color w:val="auto"/>
        </w:rPr>
        <w:t xml:space="preserve">, by payment to the Administrative Agent for the account of the </w:t>
      </w:r>
      <w:r>
        <w:rPr>
          <w:rFonts w:ascii="Arial" w:cs="Arial" w:eastAsia="Arial" w:hAnsi="Arial"/>
          <w:sz w:val="17"/>
          <w:szCs w:val="17"/>
          <w:u w:val="single" w:color="auto"/>
          <w:color w:val="0000FF"/>
        </w:rPr>
        <w:t>Revolving Credit</w:t>
      </w:r>
      <w:r>
        <w:rPr>
          <w:rFonts w:ascii="Arial" w:cs="Arial" w:eastAsia="Arial" w:hAnsi="Arial"/>
          <w:sz w:val="17"/>
          <w:szCs w:val="17"/>
          <w:color w:val="0000FF"/>
        </w:rPr>
        <w:t xml:space="preserve"> </w:t>
      </w:r>
      <w:r>
        <w:rPr>
          <w:rFonts w:ascii="Arial" w:cs="Arial" w:eastAsia="Arial" w:hAnsi="Arial"/>
          <w:sz w:val="17"/>
          <w:szCs w:val="17"/>
          <w:color w:val="000000"/>
        </w:rPr>
        <w:t>Lenders, Revolving Credit Loans denominated in Alternat</w:t>
      </w:r>
      <w:r>
        <w:rPr>
          <w:rFonts w:ascii="Arial" w:cs="Arial" w:eastAsia="Arial" w:hAnsi="Arial"/>
          <w:sz w:val="17"/>
          <w:szCs w:val="17"/>
          <w:color w:val="FF0000"/>
          <w:strike w:val="1"/>
        </w:rPr>
        <w:t>iv</w:t>
      </w:r>
      <w:r>
        <w:rPr>
          <w:rFonts w:ascii="Arial" w:cs="Arial" w:eastAsia="Arial" w:hAnsi="Arial"/>
          <w:sz w:val="17"/>
          <w:szCs w:val="17"/>
          <w:color w:val="000000"/>
        </w:rPr>
        <w:t>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Currencies and/ or provide Cash Collateral for Letters of Credit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denominated in Alternate L/C</w:t>
      </w:r>
      <w:r>
        <w:rPr>
          <w:rFonts w:ascii="Arial" w:cs="Arial" w:eastAsia="Arial" w:hAnsi="Arial"/>
          <w:sz w:val="17"/>
          <w:szCs w:val="17"/>
          <w:color w:val="0000FF"/>
        </w:rPr>
        <w:t xml:space="preserve"> </w:t>
      </w:r>
      <w:r>
        <w:rPr>
          <w:rFonts w:ascii="Arial" w:cs="Arial" w:eastAsia="Arial" w:hAnsi="Arial"/>
          <w:sz w:val="17"/>
          <w:szCs w:val="17"/>
          <w:color w:val="000000"/>
        </w:rPr>
        <w:t>Currencies in an aggregate amount</w:t>
      </w:r>
      <w:r>
        <w:rPr>
          <w:rFonts w:ascii="Arial" w:cs="Arial" w:eastAsia="Arial" w:hAnsi="Arial"/>
          <w:sz w:val="17"/>
          <w:szCs w:val="17"/>
          <w:color w:val="0000FF"/>
        </w:rPr>
        <w:t xml:space="preserve"> </w:t>
      </w:r>
      <w:r>
        <w:rPr>
          <w:rFonts w:ascii="Arial" w:cs="Arial" w:eastAsia="Arial" w:hAnsi="Arial"/>
          <w:sz w:val="17"/>
          <w:szCs w:val="17"/>
          <w:color w:val="FF0000"/>
          <w:strike w:val="1"/>
        </w:rPr>
        <w:t>thereof</w:t>
      </w:r>
      <w:r>
        <w:rPr>
          <w:rFonts w:ascii="Arial" w:cs="Arial" w:eastAsia="Arial" w:hAnsi="Arial"/>
          <w:sz w:val="17"/>
          <w:szCs w:val="17"/>
          <w:color w:val="0000FF"/>
        </w:rPr>
        <w:t xml:space="preserve"> </w:t>
      </w:r>
      <w:r>
        <w:rPr>
          <w:rFonts w:ascii="Arial" w:cs="Arial" w:eastAsia="Arial" w:hAnsi="Arial"/>
          <w:sz w:val="17"/>
          <w:szCs w:val="17"/>
          <w:color w:val="000000"/>
        </w:rPr>
        <w:t>sufficient to reduce such</w:t>
      </w:r>
      <w:r>
        <w:rPr>
          <w:rFonts w:ascii="Arial" w:cs="Arial" w:eastAsia="Arial" w:hAnsi="Arial"/>
          <w:sz w:val="17"/>
          <w:szCs w:val="17"/>
          <w:color w:val="0000FF"/>
        </w:rPr>
        <w:t xml:space="preserve"> </w:t>
      </w:r>
      <w:r>
        <w:rPr>
          <w:rFonts w:ascii="Arial" w:cs="Arial" w:eastAsia="Arial" w:hAnsi="Arial"/>
          <w:sz w:val="17"/>
          <w:szCs w:val="17"/>
          <w:color w:val="FF0000"/>
          <w:strike w:val="1"/>
        </w:rPr>
        <w:t>outstanding</w:t>
      </w:r>
      <w:r>
        <w:rPr>
          <w:rFonts w:ascii="Arial" w:cs="Arial" w:eastAsia="Arial" w:hAnsi="Arial"/>
          <w:sz w:val="17"/>
          <w:szCs w:val="17"/>
          <w:color w:val="0000FF"/>
        </w:rPr>
        <w:t xml:space="preserve"> </w:t>
      </w:r>
      <w:r>
        <w:rPr>
          <w:rFonts w:ascii="Arial" w:cs="Arial" w:eastAsia="Arial" w:hAnsi="Arial"/>
          <w:sz w:val="17"/>
          <w:szCs w:val="17"/>
          <w:color w:val="000000"/>
        </w:rPr>
        <w:t>amount as of such date of payment</w:t>
      </w:r>
      <w:r>
        <w:rPr>
          <w:rFonts w:ascii="Arial" w:cs="Arial" w:eastAsia="Arial" w:hAnsi="Arial"/>
          <w:sz w:val="17"/>
          <w:szCs w:val="17"/>
          <w:color w:val="0000FF"/>
        </w:rPr>
        <w:t xml:space="preserve"> </w:t>
      </w:r>
      <w:r>
        <w:rPr>
          <w:rFonts w:ascii="Arial" w:cs="Arial" w:eastAsia="Arial" w:hAnsi="Arial"/>
          <w:sz w:val="17"/>
          <w:szCs w:val="17"/>
          <w:color w:val="000000"/>
        </w:rPr>
        <w:t>to an amount not to exceed 100% of the Alternative Currency Sublimit then in effect</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with each such repayment applied first to the principal</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 xml:space="preserve">amount of outstanding </w:t>
      </w:r>
      <w:r>
        <w:rPr>
          <w:rFonts w:ascii="Arial" w:cs="Arial" w:eastAsia="Arial" w:hAnsi="Arial"/>
          <w:sz w:val="17"/>
          <w:szCs w:val="17"/>
          <w:u w:val="single" w:color="auto"/>
          <w:color w:val="008000"/>
        </w:rPr>
        <w:t>Revolving Credit Loans denominated in</w:t>
      </w:r>
      <w:r>
        <w:rPr>
          <w:rFonts w:ascii="Arial" w:cs="Arial" w:eastAsia="Arial" w:hAnsi="Arial"/>
          <w:sz w:val="17"/>
          <w:szCs w:val="17"/>
          <w:u w:val="single" w:color="auto"/>
          <w:color w:val="0000FF"/>
        </w:rPr>
        <w:t xml:space="preserve"> any Alternative Currency and second, with respect to any Letters of Credit denominated in any Alternative L/C Currency then outstanding, as a payment of Cash Collateral in the applicable Currency into a Cash Collateral account or Cash Collateral accounts opened by the Administrative Agent, for the benefit of the Revolving Credit Lenders (any such Cash Collateral to be applied in accordance with Section 10.2(b)).</w:t>
      </w:r>
    </w:p>
    <w:p>
      <w:pPr>
        <w:spacing w:after="0" w:line="75" w:lineRule="exact"/>
        <w:rPr>
          <w:rFonts w:ascii="Arial" w:cs="Arial" w:eastAsia="Arial" w:hAnsi="Arial"/>
          <w:sz w:val="16"/>
          <w:szCs w:val="16"/>
          <w:color w:val="auto"/>
        </w:rPr>
      </w:pPr>
    </w:p>
    <w:p>
      <w:pPr>
        <w:ind w:left="440" w:firstLine="419"/>
        <w:spacing w:after="0" w:line="273" w:lineRule="auto"/>
        <w:tabs>
          <w:tab w:leader="none" w:pos="1178" w:val="left"/>
        </w:tabs>
        <w:numPr>
          <w:ilvl w:val="1"/>
          <w:numId w:val="7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If at any time the aggregate amount of Unrestricted Cash and Cash Equivalents (excluding any (x) cash on deposit in accounts the exclusive function of which is to serve as a payroll account and limited to amounts in the aggregate reasonably estimated to cover payroll for a two-week period and (y) to the extent the TSA is in effect, on deposit in accounts held in connection with collecting accounts receivable and processing accounts payable pursuant to the Project Emerald Transaction) exceeds $125,000,000 as of the last day of any week, the Borrower shall on the next Business Day thereafter prepay (without a permanent reduction</w:t>
      </w:r>
      <w:r>
        <w:rPr>
          <w:rFonts w:ascii="Arial" w:cs="Arial" w:eastAsia="Arial" w:hAnsi="Arial"/>
          <w:sz w:val="17"/>
          <w:szCs w:val="17"/>
          <w:color w:val="0000FF"/>
        </w:rPr>
        <w:t xml:space="preserve"> </w:t>
      </w:r>
      <w:r>
        <w:rPr>
          <w:rFonts w:ascii="Arial" w:cs="Arial" w:eastAsia="Arial" w:hAnsi="Arial"/>
          <w:sz w:val="17"/>
          <w:szCs w:val="17"/>
          <w:color w:val="008000"/>
        </w:rPr>
        <w:t>in the Revolving Credit Commitments</w:t>
      </w:r>
      <w:r>
        <w:rPr>
          <w:rFonts w:ascii="Arial" w:cs="Arial" w:eastAsia="Arial" w:hAnsi="Arial"/>
          <w:sz w:val="17"/>
          <w:szCs w:val="17"/>
          <w:u w:val="single" w:color="auto"/>
          <w:color w:val="0000FF"/>
        </w:rPr>
        <w:t>) outstanding Revolving Credit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Loans in an aggregate principal amount equal to the amount of such excess.</w:t>
      </w:r>
    </w:p>
    <w:p>
      <w:pPr>
        <w:spacing w:after="0" w:line="69" w:lineRule="exact"/>
        <w:rPr>
          <w:rFonts w:ascii="Arial" w:cs="Arial" w:eastAsia="Arial" w:hAnsi="Arial"/>
          <w:sz w:val="17"/>
          <w:szCs w:val="17"/>
          <w:u w:val="single" w:color="auto"/>
          <w:color w:val="0000FF"/>
        </w:rPr>
      </w:pPr>
    </w:p>
    <w:p>
      <w:pPr>
        <w:ind w:right="20" w:firstLine="436"/>
        <w:spacing w:after="0" w:line="259"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 may at any time and from time to time prepay Revolving Credit Loans and Swingline Loans, in whole or in part, without premium or penalty, with irrevocable prior written notice from the Borrower to the Administrative Agent substantially in the form attached as </w:t>
      </w:r>
      <w:r>
        <w:rPr>
          <w:rFonts w:ascii="Arial" w:cs="Arial" w:eastAsia="Arial" w:hAnsi="Arial"/>
          <w:sz w:val="18"/>
          <w:szCs w:val="18"/>
          <w:b w:val="1"/>
          <w:bCs w:val="1"/>
          <w:i w:val="1"/>
          <w:iCs w:val="1"/>
          <w:color w:val="auto"/>
        </w:rPr>
        <w:t>Exhibit D</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given not later than 11:00 a.m. (i) on the same Business Day as </w:t>
      </w:r>
      <w:r>
        <w:rPr>
          <w:rFonts w:ascii="Arial" w:cs="Arial" w:eastAsia="Arial" w:hAnsi="Arial"/>
          <w:sz w:val="18"/>
          <w:szCs w:val="18"/>
          <w:u w:val="single" w:color="auto"/>
          <w:color w:val="0000FF"/>
        </w:rPr>
        <w:t>prepayment of</w:t>
      </w:r>
      <w:r>
        <w:rPr>
          <w:rFonts w:ascii="Arial" w:cs="Arial" w:eastAsia="Arial" w:hAnsi="Arial"/>
          <w:sz w:val="18"/>
          <w:szCs w:val="18"/>
          <w:color w:val="auto"/>
        </w:rPr>
        <w:t xml:space="preserve"> each Base Rate Loan and each Swingline Loan</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0000FF"/>
        </w:rPr>
        <w:t>and</w:t>
      </w:r>
      <w:r>
        <w:rPr>
          <w:rFonts w:ascii="Arial" w:cs="Arial" w:eastAsia="Arial" w:hAnsi="Arial"/>
          <w:sz w:val="18"/>
          <w:szCs w:val="18"/>
          <w:color w:val="auto"/>
        </w:rPr>
        <w:t xml:space="preserve"> (ii) </w:t>
      </w:r>
      <w:r>
        <w:rPr>
          <w:rFonts w:ascii="Arial" w:cs="Arial" w:eastAsia="Arial" w:hAnsi="Arial"/>
          <w:sz w:val="18"/>
          <w:szCs w:val="18"/>
          <w:u w:val="single" w:color="auto"/>
          <w:color w:val="0000FF"/>
        </w:rPr>
        <w:t>(A) in the case of a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-763270</wp:posOffset>
            </wp:positionV>
            <wp:extent cx="17830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-789305</wp:posOffset>
            </wp:positionV>
            <wp:extent cx="17805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80540" cy="889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-8890</wp:posOffset>
            </wp:positionV>
            <wp:extent cx="1968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1184275</wp:posOffset>
            </wp:positionH>
            <wp:positionV relativeFrom="paragraph">
              <wp:posOffset>-34925</wp:posOffset>
            </wp:positionV>
            <wp:extent cx="1936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490" w:right="459" w:bottom="1440" w:gutter="0" w:footer="0" w:header="0"/>
        </w:sectPr>
      </w:pPr>
    </w:p>
    <w:bookmarkStart w:id="106" w:name="page107"/>
    <w:bookmarkEnd w:id="106"/>
    <w:p>
      <w:pPr>
        <w:ind w:right="20"/>
        <w:spacing w:after="0" w:line="284"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SOFR Loan,</w:t>
      </w:r>
      <w:r>
        <w:rPr>
          <w:rFonts w:ascii="Arial" w:cs="Arial" w:eastAsia="Arial" w:hAnsi="Arial"/>
          <w:sz w:val="16"/>
          <w:szCs w:val="16"/>
          <w:color w:val="0000FF"/>
        </w:rPr>
        <w:t xml:space="preserve"> </w:t>
      </w:r>
      <w:r>
        <w:rPr>
          <w:rFonts w:ascii="Arial" w:cs="Arial" w:eastAsia="Arial" w:hAnsi="Arial"/>
          <w:sz w:val="16"/>
          <w:szCs w:val="16"/>
          <w:color w:val="000000"/>
        </w:rPr>
        <w:t>at least three (3)</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RFR</w:t>
      </w:r>
      <w:r>
        <w:rPr>
          <w:rFonts w:ascii="Arial" w:cs="Arial" w:eastAsia="Arial" w:hAnsi="Arial"/>
          <w:sz w:val="16"/>
          <w:szCs w:val="16"/>
          <w:color w:val="0000FF"/>
        </w:rPr>
        <w:t xml:space="preserve"> </w:t>
      </w:r>
      <w:r>
        <w:rPr>
          <w:rFonts w:ascii="Arial" w:cs="Arial" w:eastAsia="Arial" w:hAnsi="Arial"/>
          <w:sz w:val="16"/>
          <w:szCs w:val="16"/>
          <w:color w:val="000000"/>
        </w:rPr>
        <w:t>Business Days before</w:t>
      </w:r>
      <w:r>
        <w:rPr>
          <w:rFonts w:ascii="Arial" w:cs="Arial" w:eastAsia="Arial" w:hAnsi="Arial"/>
          <w:sz w:val="16"/>
          <w:szCs w:val="16"/>
          <w:color w:val="0000FF"/>
        </w:rPr>
        <w:t xml:space="preserve"> </w:t>
      </w:r>
      <w:r>
        <w:rPr>
          <w:rFonts w:ascii="Arial" w:cs="Arial" w:eastAsia="Arial" w:hAnsi="Arial"/>
          <w:sz w:val="16"/>
          <w:szCs w:val="16"/>
          <w:color w:val="FF0000"/>
          <w:strike w:val="1"/>
        </w:rPr>
        <w:t>each</w:t>
      </w:r>
      <w:r>
        <w:rPr>
          <w:rFonts w:ascii="Arial" w:cs="Arial" w:eastAsia="Arial" w:hAnsi="Arial"/>
          <w:sz w:val="16"/>
          <w:szCs w:val="16"/>
          <w:u w:val="single" w:color="auto"/>
          <w:color w:val="0000FF"/>
        </w:rPr>
        <w:t>prepayment of such Term SOFR Loan, (B) in the case of a Daily Simple SONIA Loan, at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least five (5) RFR Business Days before prepayment of such Daily Simple SONIA Loan, and (C) in the case of a</w:t>
      </w:r>
      <w:r>
        <w:rPr>
          <w:rFonts w:ascii="Arial" w:cs="Arial" w:eastAsia="Arial" w:hAnsi="Arial"/>
          <w:sz w:val="16"/>
          <w:szCs w:val="16"/>
          <w:color w:val="0000FF"/>
        </w:rPr>
        <w:t xml:space="preserve"> </w:t>
      </w:r>
      <w:r>
        <w:rPr>
          <w:rFonts w:ascii="Arial" w:cs="Arial" w:eastAsia="Arial" w:hAnsi="Arial"/>
          <w:sz w:val="16"/>
          <w:szCs w:val="16"/>
          <w:color w:val="000000"/>
        </w:rPr>
        <w:t>Eurocurrency Rate Loan denominated</w:t>
      </w:r>
      <w:r>
        <w:rPr>
          <w:rFonts w:ascii="Arial" w:cs="Arial" w:eastAsia="Arial" w:hAnsi="Arial"/>
          <w:sz w:val="16"/>
          <w:szCs w:val="16"/>
          <w:color w:val="0000FF"/>
        </w:rPr>
        <w:t xml:space="preserve"> </w:t>
      </w:r>
      <w:r>
        <w:rPr>
          <w:rFonts w:ascii="Arial" w:cs="Arial" w:eastAsia="Arial" w:hAnsi="Arial"/>
          <w:sz w:val="16"/>
          <w:szCs w:val="16"/>
          <w:color w:val="000000"/>
        </w:rPr>
        <w:t xml:space="preserve">in </w:t>
      </w:r>
      <w:r>
        <w:rPr>
          <w:rFonts w:ascii="Arial" w:cs="Arial" w:eastAsia="Arial" w:hAnsi="Arial"/>
          <w:sz w:val="16"/>
          <w:szCs w:val="16"/>
          <w:color w:val="FF0000"/>
          <w:strike w:val="1"/>
        </w:rPr>
        <w:t>Dollars</w:t>
      </w:r>
      <w:r>
        <w:rPr>
          <w:rFonts w:ascii="Arial" w:cs="Arial" w:eastAsia="Arial" w:hAnsi="Arial"/>
          <w:sz w:val="16"/>
          <w:szCs w:val="16"/>
          <w:color w:val="000000"/>
        </w:rPr>
        <w:t xml:space="preserve"> an</w:t>
      </w:r>
      <w:r>
        <w:rPr>
          <w:rFonts w:ascii="Arial" w:cs="Arial" w:eastAsia="Arial" w:hAnsi="Arial"/>
          <w:sz w:val="16"/>
          <w:szCs w:val="16"/>
          <w:color w:val="FF0000"/>
          <w:strike w:val="1"/>
        </w:rPr>
        <w:t>d</w:t>
      </w:r>
      <w:r>
        <w:rPr>
          <w:rFonts w:ascii="Arial" w:cs="Arial" w:eastAsia="Arial" w:hAnsi="Arial"/>
          <w:sz w:val="16"/>
          <w:szCs w:val="16"/>
          <w:u w:val="single" w:color="auto"/>
          <w:color w:val="0000FF"/>
        </w:rPr>
        <w:t>y</w:t>
      </w:r>
      <w:r>
        <w:rPr>
          <w:rFonts w:ascii="Arial" w:cs="Arial" w:eastAsia="Arial" w:hAnsi="Arial"/>
          <w:sz w:val="16"/>
          <w:szCs w:val="16"/>
          <w:color w:val="000000"/>
        </w:rPr>
        <w:t xml:space="preserve"> </w:t>
      </w:r>
      <w:r>
        <w:rPr>
          <w:rFonts w:ascii="Arial" w:cs="Arial" w:eastAsia="Arial" w:hAnsi="Arial"/>
          <w:sz w:val="16"/>
          <w:szCs w:val="16"/>
          <w:color w:val="FF0000"/>
        </w:rPr>
        <w:t>(iii)</w:t>
      </w:r>
      <w:r>
        <w:rPr>
          <w:rFonts w:ascii="Arial" w:cs="Arial" w:eastAsia="Arial" w:hAnsi="Arial"/>
          <w:sz w:val="16"/>
          <w:szCs w:val="16"/>
          <w:u w:val="single" w:color="auto"/>
          <w:color w:val="0000FF"/>
        </w:rPr>
        <w:t>Alternative Currency,</w:t>
      </w:r>
      <w:r>
        <w:rPr>
          <w:rFonts w:ascii="Arial" w:cs="Arial" w:eastAsia="Arial" w:hAnsi="Arial"/>
          <w:sz w:val="16"/>
          <w:szCs w:val="16"/>
          <w:color w:val="000000"/>
        </w:rPr>
        <w:t xml:space="preserve"> at least four (4) </w:t>
      </w:r>
      <w:r>
        <w:rPr>
          <w:rFonts w:ascii="Arial" w:cs="Arial" w:eastAsia="Arial" w:hAnsi="Arial"/>
          <w:sz w:val="16"/>
          <w:szCs w:val="16"/>
          <w:color w:val="FF0000"/>
          <w:strike w:val="1"/>
        </w:rPr>
        <w:t>Business Days</w:t>
      </w:r>
      <w:r>
        <w:rPr>
          <w:rFonts w:ascii="Arial" w:cs="Arial" w:eastAsia="Arial" w:hAnsi="Arial"/>
          <w:sz w:val="16"/>
          <w:szCs w:val="16"/>
          <w:u w:val="single" w:color="auto"/>
          <w:color w:val="0000FF"/>
        </w:rPr>
        <w:t>Eurocurrency Banking Days before prepayment of such Eurocurrency Rate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Loan</w:t>
      </w:r>
      <w:r>
        <w:rPr>
          <w:rFonts w:ascii="Arial" w:cs="Arial" w:eastAsia="Arial" w:hAnsi="Arial"/>
          <w:sz w:val="16"/>
          <w:szCs w:val="16"/>
          <w:color w:val="0000FF"/>
        </w:rPr>
        <w:t xml:space="preserve"> </w:t>
      </w:r>
      <w:r>
        <w:rPr>
          <w:rFonts w:ascii="Arial" w:cs="Arial" w:eastAsia="Arial" w:hAnsi="Arial"/>
          <w:sz w:val="16"/>
          <w:szCs w:val="16"/>
          <w:color w:val="000000"/>
        </w:rPr>
        <w:t>(or five (5)</w:t>
      </w:r>
      <w:r>
        <w:rPr>
          <w:rFonts w:ascii="Arial" w:cs="Arial" w:eastAsia="Arial" w:hAnsi="Arial"/>
          <w:sz w:val="16"/>
          <w:szCs w:val="16"/>
          <w:color w:val="0000FF"/>
        </w:rPr>
        <w:t xml:space="preserve"> </w:t>
      </w:r>
      <w:r>
        <w:rPr>
          <w:rFonts w:ascii="Arial" w:cs="Arial" w:eastAsia="Arial" w:hAnsi="Arial"/>
          <w:sz w:val="16"/>
          <w:szCs w:val="16"/>
          <w:color w:val="FF0000"/>
          <w:strike w:val="1"/>
        </w:rPr>
        <w:t>Business</w:t>
      </w:r>
      <w:r>
        <w:rPr>
          <w:rFonts w:ascii="Arial" w:cs="Arial" w:eastAsia="Arial" w:hAnsi="Arial"/>
          <w:sz w:val="16"/>
          <w:szCs w:val="16"/>
          <w:u w:val="single" w:color="auto"/>
          <w:color w:val="0000FF"/>
        </w:rPr>
        <w:t>Eurocurrency Banking</w:t>
      </w:r>
      <w:r>
        <w:rPr>
          <w:rFonts w:ascii="Arial" w:cs="Arial" w:eastAsia="Arial" w:hAnsi="Arial"/>
          <w:sz w:val="16"/>
          <w:szCs w:val="16"/>
          <w:color w:val="0000FF"/>
        </w:rPr>
        <w:t xml:space="preserve"> </w:t>
      </w:r>
      <w:r>
        <w:rPr>
          <w:rFonts w:ascii="Arial" w:cs="Arial" w:eastAsia="Arial" w:hAnsi="Arial"/>
          <w:sz w:val="16"/>
          <w:szCs w:val="16"/>
          <w:color w:val="000000"/>
        </w:rPr>
        <w:t>Days</w:t>
      </w:r>
      <w:r>
        <w:rPr>
          <w:rFonts w:ascii="Arial" w:cs="Arial" w:eastAsia="Arial" w:hAnsi="Arial"/>
          <w:sz w:val="16"/>
          <w:szCs w:val="16"/>
          <w:color w:val="FF0000"/>
          <w:strike w:val="1"/>
        </w:rPr>
        <w:t>,</w:t>
      </w:r>
      <w:r>
        <w:rPr>
          <w:rFonts w:ascii="Arial" w:cs="Arial" w:eastAsia="Arial" w:hAnsi="Arial"/>
          <w:sz w:val="16"/>
          <w:szCs w:val="16"/>
          <w:color w:val="0000FF"/>
        </w:rPr>
        <w:t xml:space="preserve"> </w:t>
      </w:r>
      <w:r>
        <w:rPr>
          <w:rFonts w:ascii="Arial" w:cs="Arial" w:eastAsia="Arial" w:hAnsi="Arial"/>
          <w:sz w:val="16"/>
          <w:szCs w:val="16"/>
          <w:color w:val="000000"/>
        </w:rPr>
        <w:t>in the case of</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w:t>
      </w:r>
      <w:r>
        <w:rPr>
          <w:rFonts w:ascii="Arial" w:cs="Arial" w:eastAsia="Arial" w:hAnsi="Arial"/>
          <w:sz w:val="16"/>
          <w:szCs w:val="16"/>
          <w:color w:val="0000FF"/>
        </w:rPr>
        <w:t xml:space="preserve"> </w:t>
      </w:r>
      <w:r>
        <w:rPr>
          <w:rFonts w:ascii="Arial" w:cs="Arial" w:eastAsia="Arial" w:hAnsi="Arial"/>
          <w:sz w:val="16"/>
          <w:szCs w:val="16"/>
          <w:color w:val="000000"/>
        </w:rPr>
        <w:t>prepayment of</w:t>
      </w:r>
      <w:r>
        <w:rPr>
          <w:rFonts w:ascii="Arial" w:cs="Arial" w:eastAsia="Arial" w:hAnsi="Arial"/>
          <w:sz w:val="16"/>
          <w:szCs w:val="16"/>
          <w:color w:val="0000FF"/>
        </w:rPr>
        <w:t xml:space="preserve"> </w:t>
      </w:r>
      <w:r>
        <w:rPr>
          <w:rFonts w:ascii="Arial" w:cs="Arial" w:eastAsia="Arial" w:hAnsi="Arial"/>
          <w:sz w:val="16"/>
          <w:szCs w:val="16"/>
          <w:color w:val="FF0000"/>
          <w:strike w:val="1"/>
        </w:rPr>
        <w:t>Revolving Credit</w:t>
      </w:r>
      <w:r>
        <w:rPr>
          <w:rFonts w:ascii="Arial" w:cs="Arial" w:eastAsia="Arial" w:hAnsi="Arial"/>
          <w:sz w:val="16"/>
          <w:szCs w:val="16"/>
          <w:u w:val="single" w:color="auto"/>
          <w:color w:val="0000FF"/>
        </w:rPr>
        <w:t>Eurocurrency Rate</w:t>
      </w:r>
      <w:r>
        <w:rPr>
          <w:rFonts w:ascii="Arial" w:cs="Arial" w:eastAsia="Arial" w:hAnsi="Arial"/>
          <w:sz w:val="16"/>
          <w:szCs w:val="16"/>
          <w:color w:val="0000FF"/>
        </w:rPr>
        <w:t xml:space="preserve"> </w:t>
      </w:r>
      <w:r>
        <w:rPr>
          <w:rFonts w:ascii="Arial" w:cs="Arial" w:eastAsia="Arial" w:hAnsi="Arial"/>
          <w:sz w:val="16"/>
          <w:szCs w:val="16"/>
          <w:color w:val="000000"/>
        </w:rPr>
        <w:t>Loans denominated in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w:t>
      </w:r>
      <w:r>
        <w:rPr>
          <w:rFonts w:ascii="Arial" w:cs="Arial" w:eastAsia="Arial" w:hAnsi="Arial"/>
          <w:sz w:val="16"/>
          <w:szCs w:val="16"/>
          <w:color w:val="0000FF"/>
        </w:rPr>
        <w:t xml:space="preserve"> </w:t>
      </w:r>
      <w:r>
        <w:rPr>
          <w:rFonts w:ascii="Arial" w:cs="Arial" w:eastAsia="Arial" w:hAnsi="Arial"/>
          <w:sz w:val="16"/>
          <w:szCs w:val="16"/>
          <w:color w:val="000000"/>
        </w:rPr>
        <w:t>Special Notice Currenc</w:t>
      </w:r>
      <w:r>
        <w:rPr>
          <w:rFonts w:ascii="Arial" w:cs="Arial" w:eastAsia="Arial" w:hAnsi="Arial"/>
          <w:sz w:val="16"/>
          <w:szCs w:val="16"/>
          <w:color w:val="FF0000"/>
          <w:strike w:val="1"/>
        </w:rPr>
        <w:t>ies</w:t>
      </w:r>
      <w:r>
        <w:rPr>
          <w:rFonts w:ascii="Arial" w:cs="Arial" w:eastAsia="Arial" w:hAnsi="Arial"/>
          <w:sz w:val="16"/>
          <w:szCs w:val="16"/>
          <w:u w:val="single" w:color="auto"/>
          <w:color w:val="0000FF"/>
        </w:rPr>
        <w:t>y</w:t>
      </w:r>
      <w:r>
        <w:rPr>
          <w:rFonts w:ascii="Arial" w:cs="Arial" w:eastAsia="Arial" w:hAnsi="Arial"/>
          <w:sz w:val="16"/>
          <w:szCs w:val="16"/>
          <w:color w:val="000000"/>
        </w:rPr>
        <w:t xml:space="preserve">) </w:t>
      </w:r>
      <w:r>
        <w:rPr>
          <w:rFonts w:ascii="Arial" w:cs="Arial" w:eastAsia="Arial" w:hAnsi="Arial"/>
          <w:sz w:val="16"/>
          <w:szCs w:val="16"/>
          <w:color w:val="FF0000"/>
          <w:strike w:val="1"/>
        </w:rPr>
        <w:t>before</w:t>
      </w:r>
      <w:r>
        <w:rPr>
          <w:rFonts w:ascii="Arial" w:cs="Arial" w:eastAsia="Arial" w:hAnsi="Arial"/>
          <w:sz w:val="16"/>
          <w:szCs w:val="16"/>
          <w:u w:val="single" w:color="auto"/>
          <w:color w:val="0000FF"/>
        </w:rPr>
        <w:t>, in</w:t>
      </w:r>
      <w:r>
        <w:rPr>
          <w:rFonts w:ascii="Arial" w:cs="Arial" w:eastAsia="Arial" w:hAnsi="Arial"/>
          <w:sz w:val="16"/>
          <w:szCs w:val="16"/>
          <w:color w:val="000000"/>
        </w:rPr>
        <w:t xml:space="preserve"> each </w:t>
      </w:r>
      <w:r>
        <w:rPr>
          <w:rFonts w:ascii="Arial" w:cs="Arial" w:eastAsia="Arial" w:hAnsi="Arial"/>
          <w:sz w:val="16"/>
          <w:szCs w:val="16"/>
          <w:color w:val="FF0000"/>
          <w:strike w:val="1"/>
        </w:rPr>
        <w:t>Eurocurrency Rate Loan denominated in an Alternative Currency</w:t>
      </w:r>
      <w:r>
        <w:rPr>
          <w:rFonts w:ascii="Arial" w:cs="Arial" w:eastAsia="Arial" w:hAnsi="Arial"/>
          <w:sz w:val="16"/>
          <w:szCs w:val="16"/>
          <w:u w:val="single" w:color="auto"/>
          <w:color w:val="0000FF"/>
        </w:rPr>
        <w:t>case</w:t>
      </w:r>
      <w:r>
        <w:rPr>
          <w:rFonts w:ascii="Arial" w:cs="Arial" w:eastAsia="Arial" w:hAnsi="Arial"/>
          <w:sz w:val="16"/>
          <w:szCs w:val="16"/>
          <w:color w:val="000000"/>
        </w:rPr>
        <w:t>, specifying the date</w:t>
      </w:r>
      <w:r>
        <w:rPr>
          <w:rFonts w:ascii="Arial" w:cs="Arial" w:eastAsia="Arial" w:hAnsi="Arial"/>
          <w:sz w:val="16"/>
          <w:szCs w:val="16"/>
          <w:u w:val="single" w:color="auto"/>
          <w:color w:val="0000FF"/>
        </w:rPr>
        <w:t>, Currency</w:t>
      </w:r>
      <w:r>
        <w:rPr>
          <w:rFonts w:ascii="Arial" w:cs="Arial" w:eastAsia="Arial" w:hAnsi="Arial"/>
          <w:sz w:val="16"/>
          <w:szCs w:val="16"/>
          <w:color w:val="000000"/>
        </w:rPr>
        <w:t xml:space="preserve"> and amount of prepayment and whether the prepayment is of Eurocurrency Rate </w:t>
      </w:r>
      <w:r>
        <w:rPr>
          <w:rFonts w:ascii="Arial" w:cs="Arial" w:eastAsia="Arial" w:hAnsi="Arial"/>
          <w:sz w:val="16"/>
          <w:szCs w:val="16"/>
          <w:u w:val="single" w:color="auto"/>
          <w:color w:val="0000FF"/>
        </w:rPr>
        <w:t>Loans, Daily Simple SONIA Loans, Term SOFR</w:t>
      </w:r>
      <w:r>
        <w:rPr>
          <w:rFonts w:ascii="Arial" w:cs="Arial" w:eastAsia="Arial" w:hAnsi="Arial"/>
          <w:sz w:val="16"/>
          <w:szCs w:val="16"/>
          <w:color w:val="000000"/>
        </w:rPr>
        <w:t xml:space="preserve"> Loans, Base Rate Loans, Swingline Loans or a combination thereof, and, if </w:t>
      </w:r>
      <w:r>
        <w:rPr>
          <w:rFonts w:ascii="Arial" w:cs="Arial" w:eastAsia="Arial" w:hAnsi="Arial"/>
          <w:sz w:val="16"/>
          <w:szCs w:val="16"/>
          <w:color w:val="FF0000"/>
          <w:strike w:val="1"/>
        </w:rPr>
        <w:t>of</w:t>
      </w:r>
      <w:r>
        <w:rPr>
          <w:rFonts w:ascii="Arial" w:cs="Arial" w:eastAsia="Arial" w:hAnsi="Arial"/>
          <w:sz w:val="16"/>
          <w:szCs w:val="16"/>
          <w:color w:val="000000"/>
        </w:rPr>
        <w:t xml:space="preserve">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w:t>
      </w:r>
      <w:r>
        <w:rPr>
          <w:rFonts w:ascii="Arial" w:cs="Arial" w:eastAsia="Arial" w:hAnsi="Arial"/>
          <w:sz w:val="16"/>
          <w:szCs w:val="16"/>
          <w:color w:val="FF0000"/>
          <w:strike w:val="1"/>
        </w:rPr>
        <w:t>3,000,000 or a whole multiple of $1,000,000 in</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excess thereof with respect to </w:t>
      </w:r>
      <w:r>
        <w:rPr>
          <w:rFonts w:ascii="Arial" w:cs="Arial" w:eastAsia="Arial" w:hAnsi="Arial"/>
          <w:sz w:val="16"/>
          <w:szCs w:val="16"/>
          <w:color w:val="008000"/>
          <w:strike w:val="1"/>
        </w:rPr>
        <w:t>Base Rate Loans (other than Swingline Loans), $</w:t>
      </w:r>
      <w:r>
        <w:rPr>
          <w:rFonts w:ascii="Arial" w:cs="Arial" w:eastAsia="Arial" w:hAnsi="Arial"/>
          <w:sz w:val="16"/>
          <w:szCs w:val="16"/>
          <w:color w:val="FF0000"/>
          <w:strike w:val="1"/>
        </w:rPr>
        <w:t xml:space="preserve">5,000,000 </w:t>
      </w:r>
      <w:r>
        <w:rPr>
          <w:rFonts w:ascii="Arial" w:cs="Arial" w:eastAsia="Arial" w:hAnsi="Arial"/>
          <w:sz w:val="16"/>
          <w:szCs w:val="16"/>
          <w:color w:val="008000"/>
          <w:strike w:val="1"/>
        </w:rPr>
        <w:t>or a whole multiple of $1,000,000 in excess thereof with</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respect to Eurocurrency Rate Loans </w:t>
      </w:r>
      <w:r>
        <w:rPr>
          <w:rFonts w:ascii="Arial" w:cs="Arial" w:eastAsia="Arial" w:hAnsi="Arial"/>
          <w:sz w:val="16"/>
          <w:szCs w:val="16"/>
          <w:color w:val="FF0000"/>
          <w:strike w:val="1"/>
        </w:rPr>
        <w:t>denominated in Dollars, $5,000,000</w:t>
      </w:r>
      <w:r>
        <w:rPr>
          <w:rFonts w:ascii="Arial" w:cs="Arial" w:eastAsia="Arial" w:hAnsi="Arial"/>
          <w:sz w:val="16"/>
          <w:szCs w:val="16"/>
          <w:color w:val="008000"/>
          <w:strike w:val="1"/>
        </w:rPr>
        <w:t xml:space="preserve"> or a whole multiple of $</w:t>
      </w:r>
      <w:r>
        <w:rPr>
          <w:rFonts w:ascii="Arial" w:cs="Arial" w:eastAsia="Arial" w:hAnsi="Arial"/>
          <w:sz w:val="16"/>
          <w:szCs w:val="16"/>
          <w:color w:val="FF0000"/>
          <w:strike w:val="1"/>
        </w:rPr>
        <w:t>1,000,000</w:t>
      </w:r>
      <w:r>
        <w:rPr>
          <w:rFonts w:ascii="Arial" w:cs="Arial" w:eastAsia="Arial" w:hAnsi="Arial"/>
          <w:sz w:val="16"/>
          <w:szCs w:val="16"/>
          <w:color w:val="008000"/>
          <w:strike w:val="1"/>
        </w:rPr>
        <w:t xml:space="preserve"> in excess thereof with respect to </w:t>
      </w:r>
      <w:r>
        <w:rPr>
          <w:rFonts w:ascii="Arial" w:cs="Arial" w:eastAsia="Arial" w:hAnsi="Arial"/>
          <w:sz w:val="16"/>
          <w:szCs w:val="16"/>
          <w:color w:val="FF0000"/>
          <w:strike w:val="1"/>
        </w:rPr>
        <w:t>Eurocurrency Rate Loans denominated in Alternative Currencies and $</w:t>
      </w:r>
      <w:r>
        <w:rPr>
          <w:rFonts w:ascii="Arial" w:cs="Arial" w:eastAsia="Arial" w:hAnsi="Arial"/>
          <w:sz w:val="16"/>
          <w:szCs w:val="16"/>
          <w:color w:val="000000"/>
          <w:strike w:val="1"/>
        </w:rPr>
        <w:t>500,000 or a whole multiple of $100,000 in excess thereof with respect to</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8000"/>
          <w:strike w:val="1"/>
        </w:rPr>
        <w:t>Base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8000"/>
          <w:strike w:val="1"/>
        </w:rPr>
        <w:t>Rate Loans (other than Swingline Loans), $</w:t>
      </w:r>
      <w:r>
        <w:rPr>
          <w:rFonts w:ascii="Arial" w:cs="Arial" w:eastAsia="Arial" w:hAnsi="Arial"/>
          <w:sz w:val="16"/>
          <w:szCs w:val="16"/>
          <w:u w:val="single" w:color="auto"/>
          <w:color w:val="0000FF"/>
          <w:strike w:val="1"/>
        </w:rPr>
        <w:t>2,000,000</w:t>
      </w:r>
      <w:r>
        <w:rPr>
          <w:rFonts w:ascii="Arial" w:cs="Arial" w:eastAsia="Arial" w:hAnsi="Arial"/>
          <w:sz w:val="16"/>
          <w:szCs w:val="16"/>
          <w:color w:val="008000"/>
          <w:strike w:val="1"/>
        </w:rPr>
        <w:t xml:space="preserve"> or a whole multiple of $1,000,000 in excess thereof with respect to Eurocurrency Rate Loans</w:t>
      </w:r>
      <w:r>
        <w:rPr>
          <w:rFonts w:ascii="Arial" w:cs="Arial" w:eastAsia="Arial" w:hAnsi="Arial"/>
          <w:sz w:val="16"/>
          <w:szCs w:val="16"/>
          <w:u w:val="single" w:color="auto"/>
          <w:color w:val="0000FF"/>
          <w:strike w:val="1"/>
        </w:rPr>
        <w:t>,</w:t>
      </w:r>
      <w:r>
        <w:rPr>
          <w:rFonts w:ascii="Arial" w:cs="Arial" w:eastAsia="Arial" w:hAnsi="Arial"/>
          <w:sz w:val="16"/>
          <w:szCs w:val="16"/>
          <w:color w:val="008000"/>
          <w:strike w:val="1"/>
        </w:rPr>
        <w:t xml:space="preserve"> </w:t>
      </w:r>
      <w:r>
        <w:rPr>
          <w:rFonts w:ascii="Arial" w:cs="Arial" w:eastAsia="Arial" w:hAnsi="Arial"/>
          <w:sz w:val="16"/>
          <w:szCs w:val="16"/>
          <w:u w:val="single" w:color="auto"/>
          <w:color w:val="0000FF"/>
          <w:strike w:val="1"/>
        </w:rPr>
        <w:t>Term SOFR Loans or Daily Simple SONIA Loans and $100,000</w:t>
      </w:r>
      <w:r>
        <w:rPr>
          <w:rFonts w:ascii="Arial" w:cs="Arial" w:eastAsia="Arial" w:hAnsi="Arial"/>
          <w:sz w:val="16"/>
          <w:szCs w:val="16"/>
          <w:color w:val="0000FF"/>
          <w:strike w:val="1"/>
        </w:rPr>
        <w:t xml:space="preserve"> </w:t>
      </w:r>
      <w:r>
        <w:rPr>
          <w:rFonts w:ascii="Arial" w:cs="Arial" w:eastAsia="Arial" w:hAnsi="Arial"/>
          <w:sz w:val="16"/>
          <w:szCs w:val="16"/>
          <w:color w:val="008000"/>
          <w:strike w:val="1"/>
        </w:rPr>
        <w:t>or a whole multiple of $</w:t>
      </w:r>
      <w:r>
        <w:rPr>
          <w:rFonts w:ascii="Arial" w:cs="Arial" w:eastAsia="Arial" w:hAnsi="Arial"/>
          <w:sz w:val="16"/>
          <w:szCs w:val="16"/>
          <w:u w:val="single" w:color="auto"/>
          <w:color w:val="0000FF"/>
          <w:strike w:val="1"/>
        </w:rPr>
        <w:t>100,000</w:t>
      </w:r>
      <w:r>
        <w:rPr>
          <w:rFonts w:ascii="Arial" w:cs="Arial" w:eastAsia="Arial" w:hAnsi="Arial"/>
          <w:sz w:val="16"/>
          <w:szCs w:val="16"/>
          <w:color w:val="0000FF"/>
          <w:strike w:val="1"/>
        </w:rPr>
        <w:t xml:space="preserve"> </w:t>
      </w:r>
      <w:r>
        <w:rPr>
          <w:rFonts w:ascii="Arial" w:cs="Arial" w:eastAsia="Arial" w:hAnsi="Arial"/>
          <w:sz w:val="16"/>
          <w:szCs w:val="16"/>
          <w:color w:val="008000"/>
          <w:strike w:val="1"/>
        </w:rPr>
        <w:t>in excess thereof with respect to</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Swingline Loans. A</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Notice of Prepayment received after 11:00 a.m. shall be deemed received on the next Business Day</w:t>
      </w:r>
      <w:r>
        <w:rPr>
          <w:rFonts w:ascii="Arial" w:cs="Arial" w:eastAsia="Arial" w:hAnsi="Arial"/>
          <w:sz w:val="16"/>
          <w:szCs w:val="16"/>
          <w:u w:val="single" w:color="auto"/>
          <w:color w:val="0000FF"/>
          <w:strike w:val="1"/>
        </w:rPr>
        <w:t>, RFR Business Day or Eurocurrency Banking Day,</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as applicable</w:t>
      </w:r>
      <w:r>
        <w:rPr>
          <w:rFonts w:ascii="Arial" w:cs="Arial" w:eastAsia="Arial" w:hAnsi="Arial"/>
          <w:sz w:val="16"/>
          <w:szCs w:val="16"/>
          <w:color w:val="000000"/>
          <w:strike w:val="1"/>
        </w:rPr>
        <w:t>. Each such repayment shall be accompanied by any amount required to be paid pursuant to</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Section 5.9</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hereof. Notwithstanding the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foregoing, any Notice of </w:t>
      </w:r>
      <w:r>
        <w:rPr>
          <w:rFonts w:ascii="Arial" w:cs="Arial" w:eastAsia="Arial" w:hAnsi="Arial"/>
          <w:sz w:val="16"/>
          <w:szCs w:val="16"/>
          <w:color w:val="FF0000"/>
          <w:strike w:val="1"/>
        </w:rPr>
        <w:t>a</w:t>
      </w:r>
      <w:r>
        <w:rPr>
          <w:rFonts w:ascii="Arial" w:cs="Arial" w:eastAsia="Arial" w:hAnsi="Arial"/>
          <w:sz w:val="16"/>
          <w:szCs w:val="16"/>
          <w:color w:val="000000"/>
          <w:strike w:val="1"/>
        </w:rPr>
        <w:t xml:space="preserve"> Prepayment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Arial" w:cs="Arial" w:eastAsia="Arial" w:hAnsi="Arial"/>
          <w:sz w:val="16"/>
          <w:szCs w:val="16"/>
          <w:u w:val="single" w:color="auto"/>
          <w:color w:val="000000"/>
          <w:strike w:val="1"/>
        </w:rPr>
        <w:t>provided</w:t>
      </w:r>
      <w:r>
        <w:rPr>
          <w:rFonts w:ascii="Arial" w:cs="Arial" w:eastAsia="Arial" w:hAnsi="Arial"/>
          <w:sz w:val="16"/>
          <w:szCs w:val="16"/>
          <w:color w:val="000000"/>
          <w:strike w:val="1"/>
        </w:rPr>
        <w:t xml:space="preserve"> that the failure of such contingency shall not relieve the Borrower from its obligations in respect thereof under </w:t>
      </w:r>
      <w:r>
        <w:rPr>
          <w:rFonts w:ascii="Arial" w:cs="Arial" w:eastAsia="Arial" w:hAnsi="Arial"/>
          <w:sz w:val="16"/>
          <w:szCs w:val="16"/>
          <w:u w:val="single" w:color="auto"/>
          <w:color w:val="000000"/>
          <w:strike w:val="1"/>
        </w:rPr>
        <w:t>Section 5.9</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-2420620</wp:posOffset>
            </wp:positionV>
            <wp:extent cx="2000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-1323340</wp:posOffset>
            </wp:positionV>
            <wp:extent cx="11296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29665" cy="825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-972185</wp:posOffset>
            </wp:positionV>
            <wp:extent cx="42779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277995" cy="825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-997585</wp:posOffset>
            </wp:positionV>
            <wp:extent cx="42805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80535" cy="825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-860425</wp:posOffset>
            </wp:positionV>
            <wp:extent cx="3028315"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028315" cy="34290"/>
                    </a:xfrm>
                    <a:prstGeom prst="rect">
                      <a:avLst/>
                    </a:prstGeom>
                    <a:noFill/>
                  </pic:spPr>
                </pic:pic>
              </a:graphicData>
            </a:graphic>
          </wp:anchor>
        </w:drawing>
      </w:r>
    </w:p>
    <w:p>
      <w:pPr>
        <w:spacing w:after="0" w:line="270" w:lineRule="exact"/>
        <w:rPr>
          <w:sz w:val="20"/>
          <w:szCs w:val="20"/>
          <w:color w:val="auto"/>
        </w:rPr>
      </w:pPr>
    </w:p>
    <w:p>
      <w:pPr>
        <w:ind w:right="80" w:firstLine="436"/>
        <w:spacing w:after="0" w:line="286" w:lineRule="auto"/>
        <w:tabs>
          <w:tab w:leader="none" w:pos="69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Limitation on Prepayment of Eurocurrency Rate Loans</w:t>
      </w:r>
      <w:r>
        <w:rPr>
          <w:rFonts w:ascii="Arial" w:cs="Arial" w:eastAsia="Arial" w:hAnsi="Arial"/>
          <w:sz w:val="17"/>
          <w:szCs w:val="17"/>
          <w:color w:val="auto"/>
        </w:rPr>
        <w:t xml:space="preserve">. The Borrower may not prepay any Eurocurrency Rate Loan </w:t>
      </w:r>
      <w:r>
        <w:rPr>
          <w:rFonts w:ascii="Arial" w:cs="Arial" w:eastAsia="Arial" w:hAnsi="Arial"/>
          <w:sz w:val="17"/>
          <w:szCs w:val="17"/>
          <w:u w:val="single" w:color="auto"/>
          <w:color w:val="0000FF"/>
        </w:rPr>
        <w:t>or Term SOFR Loan</w:t>
      </w:r>
      <w:r>
        <w:rPr>
          <w:rFonts w:ascii="Arial" w:cs="Arial" w:eastAsia="Arial" w:hAnsi="Arial"/>
          <w:sz w:val="17"/>
          <w:szCs w:val="17"/>
          <w:color w:val="auto"/>
        </w:rPr>
        <w:t xml:space="preserve"> on any day other than on the last day of the Interest Period applicable thereto</w:t>
      </w:r>
      <w:r>
        <w:rPr>
          <w:rFonts w:ascii="Arial" w:cs="Arial" w:eastAsia="Arial" w:hAnsi="Arial"/>
          <w:sz w:val="17"/>
          <w:szCs w:val="17"/>
          <w:u w:val="single" w:color="auto"/>
          <w:color w:val="0000FF"/>
        </w:rPr>
        <w:t>, or any Daily Simple SONIA Loan on any day other than an Interest Payment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Date therefor,</w:t>
      </w:r>
      <w:r>
        <w:rPr>
          <w:rFonts w:ascii="Arial" w:cs="Arial" w:eastAsia="Arial" w:hAnsi="Arial"/>
          <w:sz w:val="17"/>
          <w:szCs w:val="17"/>
          <w:color w:val="0000FF"/>
        </w:rPr>
        <w:t xml:space="preserve"> </w:t>
      </w:r>
      <w:r>
        <w:rPr>
          <w:rFonts w:ascii="Arial" w:cs="Arial" w:eastAsia="Arial" w:hAnsi="Arial"/>
          <w:sz w:val="17"/>
          <w:szCs w:val="17"/>
          <w:color w:val="000000"/>
        </w:rPr>
        <w:t>unless such prepayment is accompanied by any amount required to be paid pursuant to</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5.9</w:t>
      </w:r>
      <w:r>
        <w:rPr>
          <w:rFonts w:ascii="Arial" w:cs="Arial" w:eastAsia="Arial" w:hAnsi="Arial"/>
          <w:sz w:val="17"/>
          <w:szCs w:val="17"/>
          <w:color w:val="0000FF"/>
        </w:rPr>
        <w:t xml:space="preserve"> </w:t>
      </w:r>
      <w:r>
        <w:rPr>
          <w:rFonts w:ascii="Arial" w:cs="Arial" w:eastAsia="Arial" w:hAnsi="Arial"/>
          <w:sz w:val="17"/>
          <w:szCs w:val="17"/>
          <w:color w:val="000000"/>
        </w:rPr>
        <w:t>hereof.</w:t>
      </w:r>
    </w:p>
    <w:p>
      <w:pPr>
        <w:spacing w:after="0" w:line="57" w:lineRule="exact"/>
        <w:rPr>
          <w:rFonts w:ascii="Arial" w:cs="Arial" w:eastAsia="Arial" w:hAnsi="Arial"/>
          <w:sz w:val="17"/>
          <w:szCs w:val="17"/>
          <w:color w:val="auto"/>
        </w:rPr>
      </w:pPr>
    </w:p>
    <w:p>
      <w:pPr>
        <w:ind w:firstLine="436"/>
        <w:spacing w:after="0" w:line="277"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 No repayment or prepayment of the Loans pursuant to this Section shall affect any of the Borrower’s obligations under any Hedge Agreement entered into with respect to the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Permanent Reduction of the Revolving Credit Commitment</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54" w:lineRule="auto"/>
        <w:tabs>
          <w:tab w:leader="none" w:pos="68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Voluntary Reduction</w:t>
      </w:r>
      <w:r>
        <w:rPr>
          <w:rFonts w:ascii="Arial" w:cs="Arial" w:eastAsia="Arial" w:hAnsi="Arial"/>
          <w:sz w:val="18"/>
          <w:szCs w:val="18"/>
          <w:color w:val="auto"/>
        </w:rPr>
        <w:t>. The Borrower shall have the right at any time and from time to time, upon at least five (5) Business Days prior irrevocable written notice from the Borrower to the Administrative Agent, to 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Notwithstanding the foregoing, any notice to reduce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490" w:right="459" w:bottom="1440" w:gutter="0" w:footer="0" w:header="0"/>
        </w:sectPr>
      </w:pPr>
    </w:p>
    <w:bookmarkStart w:id="107" w:name="page108"/>
    <w:bookmarkEnd w:id="107"/>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Revolving Credit Commitment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identifiable event or condition and may be revoked by the Borrower in the event such contingency is not met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such contingency shall not relieve the Borrower from its obligations in respect thereof under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80" w:lineRule="exact"/>
        <w:rPr>
          <w:sz w:val="20"/>
          <w:szCs w:val="20"/>
          <w:color w:val="auto"/>
        </w:rPr>
      </w:pPr>
    </w:p>
    <w:p>
      <w:pPr>
        <w:ind w:left="4" w:firstLine="436"/>
        <w:spacing w:after="0" w:line="288" w:lineRule="auto"/>
        <w:tabs>
          <w:tab w:leader="none" w:pos="699"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Corresponding Payment</w:t>
      </w:r>
      <w:r>
        <w:rPr>
          <w:rFonts w:ascii="Arial" w:cs="Arial" w:eastAsia="Arial" w:hAnsi="Arial"/>
          <w:sz w:val="16"/>
          <w:szCs w:val="16"/>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Any reduction of the Revolving Credit Commitment to zero shall be accompanied by payment of all outstanding Revolving Credit Loans and Swingline Loans (and furnishing of Cash Collateral reasonably satisfactory to the Administrative Agent for all L/C Obligations or other arrangements satisfactory to the respective Issuing Lenders) and shall result in the termination of the Revolving Credit Commitment, the Swingline Commitment, the Alternative Currency Sublimit and the Revolving Credit Facility. If the reduction of the Revolving Credit Commitment requires the repayment of any Eurocurrency Rate Loan, </w:t>
      </w:r>
      <w:r>
        <w:rPr>
          <w:rFonts w:ascii="Arial" w:cs="Arial" w:eastAsia="Arial" w:hAnsi="Arial"/>
          <w:sz w:val="16"/>
          <w:szCs w:val="16"/>
          <w:u w:val="single" w:color="auto"/>
          <w:color w:val="0000FF"/>
        </w:rPr>
        <w:t>any Term SOFR Loan or any Daily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Simple SONIA Loan,</w:t>
      </w:r>
      <w:r>
        <w:rPr>
          <w:rFonts w:ascii="Arial" w:cs="Arial" w:eastAsia="Arial" w:hAnsi="Arial"/>
          <w:sz w:val="16"/>
          <w:szCs w:val="16"/>
          <w:color w:val="0000FF"/>
        </w:rPr>
        <w:t xml:space="preserve"> </w:t>
      </w:r>
      <w:r>
        <w:rPr>
          <w:rFonts w:ascii="Arial" w:cs="Arial" w:eastAsia="Arial" w:hAnsi="Arial"/>
          <w:sz w:val="16"/>
          <w:szCs w:val="16"/>
          <w:color w:val="000000"/>
        </w:rPr>
        <w:t>such repayment shall be accompanied by any amount required to be paid pursuant to</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5.9</w:t>
      </w:r>
      <w:r>
        <w:rPr>
          <w:rFonts w:ascii="Arial" w:cs="Arial" w:eastAsia="Arial" w:hAnsi="Arial"/>
          <w:sz w:val="16"/>
          <w:szCs w:val="16"/>
          <w:color w:val="0000FF"/>
        </w:rPr>
        <w:t xml:space="preserve"> </w:t>
      </w:r>
      <w:r>
        <w:rPr>
          <w:rFonts w:ascii="Arial" w:cs="Arial" w:eastAsia="Arial" w:hAnsi="Arial"/>
          <w:sz w:val="16"/>
          <w:szCs w:val="16"/>
          <w:color w:val="000000"/>
        </w:rPr>
        <w:t>hereof.</w:t>
      </w:r>
    </w:p>
    <w:p>
      <w:pPr>
        <w:spacing w:after="0" w:line="168"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Termination of Revolving Credit Facility</w:t>
      </w:r>
      <w:r>
        <w:rPr>
          <w:rFonts w:ascii="Arial" w:cs="Arial" w:eastAsia="Arial" w:hAnsi="Arial"/>
          <w:sz w:val="18"/>
          <w:szCs w:val="18"/>
          <w:color w:val="auto"/>
        </w:rPr>
        <w:t>. The Revolving Credit Facility and the Revolving Credit Commitments shall terminate on the Revolving Credit Maturity Date.</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LETTER OF CREDIT FACILITY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L/C Facility</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74" w:lineRule="auto"/>
        <w:tabs>
          <w:tab w:leader="none" w:pos="679"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xml:space="preserve">. Subject to the terms and conditions hereof, each Issuing Lender, in reliance on the agreements of the Revolving Credit Lenders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agrees to issue standby Letters of Credit in Dollars or one or more Alternative L/C Currencies in </w:t>
      </w:r>
      <w:r>
        <w:rPr>
          <w:rFonts w:ascii="Arial" w:cs="Arial" w:eastAsia="Arial" w:hAnsi="Arial"/>
          <w:sz w:val="16"/>
          <w:szCs w:val="16"/>
          <w:u w:val="single" w:color="auto"/>
          <w:color w:val="0000FF"/>
        </w:rPr>
        <w:t>the Dollar Equivalent of</w:t>
      </w:r>
      <w:r>
        <w:rPr>
          <w:rFonts w:ascii="Arial" w:cs="Arial" w:eastAsia="Arial" w:hAnsi="Arial"/>
          <w:sz w:val="16"/>
          <w:szCs w:val="16"/>
          <w:color w:val="auto"/>
        </w:rPr>
        <w:t xml:space="preserve"> an aggregate amount not to exceed its L/C Commitment for the account of the Borrower or, subject to </w:t>
      </w:r>
      <w:r>
        <w:rPr>
          <w:rFonts w:ascii="Arial" w:cs="Arial" w:eastAsia="Arial" w:hAnsi="Arial"/>
          <w:sz w:val="16"/>
          <w:szCs w:val="16"/>
          <w:u w:val="single" w:color="auto"/>
          <w:color w:val="auto"/>
        </w:rPr>
        <w:t>Section 3.10</w:t>
      </w:r>
      <w:r>
        <w:rPr>
          <w:rFonts w:ascii="Arial" w:cs="Arial" w:eastAsia="Arial" w:hAnsi="Arial"/>
          <w:sz w:val="16"/>
          <w:szCs w:val="16"/>
          <w:color w:val="auto"/>
        </w:rPr>
        <w:t>, any Subsidiary thereof. Letters of Credit may be issued on any Business Day from the Closing Date to, but not including the thirtieth (30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Business Day prior to the Revolving Credit Maturity Date in such form as may be approved from time to time by the applicable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Issuing Lender shall issue any Letter of Credit if, after giving effect to such issuance, (</w:t>
      </w:r>
      <w:r>
        <w:rPr>
          <w:rFonts w:ascii="Arial" w:cs="Arial" w:eastAsia="Arial" w:hAnsi="Arial"/>
          <w:sz w:val="16"/>
          <w:szCs w:val="16"/>
          <w:color w:val="FF0000"/>
          <w:strike w:val="1"/>
        </w:rPr>
        <w:t>a</w:t>
      </w:r>
      <w:r>
        <w:rPr>
          <w:rFonts w:ascii="Arial" w:cs="Arial" w:eastAsia="Arial" w:hAnsi="Arial"/>
          <w:sz w:val="16"/>
          <w:szCs w:val="16"/>
          <w:u w:val="single" w:color="auto"/>
          <w:color w:val="0000FF"/>
        </w:rPr>
        <w:t>i) the aggregate amount of the outstanding Letters of Credit issued by such Issuing Lender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would exceed its L/C Commitment, (ii</w:t>
      </w:r>
      <w:r>
        <w:rPr>
          <w:rFonts w:ascii="Arial" w:cs="Arial" w:eastAsia="Arial" w:hAnsi="Arial"/>
          <w:sz w:val="16"/>
          <w:szCs w:val="16"/>
          <w:color w:val="000000"/>
        </w:rPr>
        <w:t>) the L/C Obligations would exceed the L/C Sublimit, (</w:t>
      </w:r>
      <w:r>
        <w:rPr>
          <w:rFonts w:ascii="Arial" w:cs="Arial" w:eastAsia="Arial" w:hAnsi="Arial"/>
          <w:sz w:val="16"/>
          <w:szCs w:val="16"/>
          <w:color w:val="FF0000"/>
          <w:strike w:val="1"/>
        </w:rPr>
        <w:t>b</w:t>
      </w:r>
      <w:r>
        <w:rPr>
          <w:rFonts w:ascii="Arial" w:cs="Arial" w:eastAsia="Arial" w:hAnsi="Arial"/>
          <w:sz w:val="16"/>
          <w:szCs w:val="16"/>
          <w:u w:val="single" w:color="auto"/>
          <w:color w:val="0000FF"/>
        </w:rPr>
        <w:t>iii</w:t>
      </w:r>
      <w:r>
        <w:rPr>
          <w:rFonts w:ascii="Arial" w:cs="Arial" w:eastAsia="Arial" w:hAnsi="Arial"/>
          <w:sz w:val="16"/>
          <w:szCs w:val="16"/>
          <w:color w:val="000000"/>
        </w:rPr>
        <w:t>) the Revolving Credit Outstandings would exceed the</w:t>
      </w:r>
      <w:r>
        <w:rPr>
          <w:rFonts w:ascii="Arial" w:cs="Arial" w:eastAsia="Arial" w:hAnsi="Arial"/>
          <w:sz w:val="16"/>
          <w:szCs w:val="16"/>
          <w:color w:val="0000FF"/>
        </w:rPr>
        <w:t xml:space="preserve"> </w:t>
      </w:r>
      <w:r>
        <w:rPr>
          <w:rFonts w:ascii="Arial" w:cs="Arial" w:eastAsia="Arial" w:hAnsi="Arial"/>
          <w:sz w:val="16"/>
          <w:szCs w:val="16"/>
          <w:color w:val="000000"/>
        </w:rPr>
        <w:t>Revolving Credit Commitment or (</w:t>
      </w:r>
      <w:r>
        <w:rPr>
          <w:rFonts w:ascii="Arial" w:cs="Arial" w:eastAsia="Arial" w:hAnsi="Arial"/>
          <w:sz w:val="16"/>
          <w:szCs w:val="16"/>
          <w:color w:val="FF0000"/>
          <w:strike w:val="1"/>
        </w:rPr>
        <w:t>c</w:t>
      </w:r>
      <w:r>
        <w:rPr>
          <w:rFonts w:ascii="Arial" w:cs="Arial" w:eastAsia="Arial" w:hAnsi="Arial"/>
          <w:sz w:val="16"/>
          <w:szCs w:val="16"/>
          <w:u w:val="single" w:color="auto"/>
          <w:color w:val="0000FF"/>
        </w:rPr>
        <w:t>iv</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the Dollar Equivalent of</w:t>
      </w:r>
      <w:r>
        <w:rPr>
          <w:rFonts w:ascii="Arial" w:cs="Arial" w:eastAsia="Arial" w:hAnsi="Arial"/>
          <w:sz w:val="16"/>
          <w:szCs w:val="16"/>
          <w:color w:val="000000"/>
        </w:rPr>
        <w:t xml:space="preserve"> the aggregate principal amount of all outstanding Revolving Credit Loans denominated in Alternative Currencies and Letters of Credit denominated in Alternative L/C Currencies would exceed the Alternative Currency Sublimit.</w:t>
      </w:r>
    </w:p>
    <w:p>
      <w:pPr>
        <w:spacing w:after="0" w:line="69" w:lineRule="exact"/>
        <w:rPr>
          <w:rFonts w:ascii="Arial" w:cs="Arial" w:eastAsia="Arial" w:hAnsi="Arial"/>
          <w:sz w:val="16"/>
          <w:szCs w:val="16"/>
          <w:color w:val="auto"/>
        </w:rPr>
      </w:pPr>
    </w:p>
    <w:p>
      <w:pPr>
        <w:ind w:left="4" w:right="20" w:firstLine="436"/>
        <w:spacing w:after="0" w:line="291" w:lineRule="auto"/>
        <w:tabs>
          <w:tab w:leader="none" w:pos="696"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Terms of Letters of Credit</w:t>
      </w:r>
      <w:r>
        <w:rPr>
          <w:rFonts w:ascii="Arial" w:cs="Arial" w:eastAsia="Arial" w:hAnsi="Arial"/>
          <w:sz w:val="16"/>
          <w:szCs w:val="16"/>
          <w:color w:val="auto"/>
        </w:rPr>
        <w:t xml:space="preserve">. Each Letter of Credit shall (i) be denominated in Dollars or one or more Alternative </w:t>
      </w:r>
      <w:r>
        <w:rPr>
          <w:rFonts w:ascii="Arial" w:cs="Arial" w:eastAsia="Arial" w:hAnsi="Arial"/>
          <w:sz w:val="16"/>
          <w:szCs w:val="16"/>
          <w:u w:val="single" w:color="auto"/>
          <w:color w:val="0000FF"/>
        </w:rPr>
        <w:t>L/C</w:t>
      </w:r>
      <w:r>
        <w:rPr>
          <w:rFonts w:ascii="Arial" w:cs="Arial" w:eastAsia="Arial" w:hAnsi="Arial"/>
          <w:sz w:val="16"/>
          <w:szCs w:val="16"/>
          <w:color w:val="auto"/>
        </w:rPr>
        <w:t xml:space="preserve"> Currencies, (ii) expire on a date no more than twelve (12) months after the date of issuance or last renewal of such Letter of Credit (subject to automatic renewal for additional one</w:t>
      </w:r>
    </w:p>
    <w:p>
      <w:pPr>
        <w:ind w:left="264" w:hanging="264"/>
        <w:spacing w:after="0"/>
        <w:tabs>
          <w:tab w:leader="none" w:pos="2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year periods (but not to a date later than the date set forth below) pursuant to the terms of the Letter of</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490" w:right="459" w:bottom="1440" w:gutter="0" w:footer="0" w:header="0"/>
        </w:sectPr>
      </w:pPr>
    </w:p>
    <w:bookmarkStart w:id="108" w:name="page109"/>
    <w:bookmarkEnd w:id="108"/>
    <w:p>
      <w:pPr>
        <w:ind w:left="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Credit </w:t>
      </w:r>
      <w:r>
        <w:rPr>
          <w:rFonts w:ascii="Arial" w:cs="Arial" w:eastAsia="Arial" w:hAnsi="Arial"/>
          <w:sz w:val="17"/>
          <w:szCs w:val="17"/>
          <w:color w:val="FF0000"/>
          <w:strike w:val="1"/>
        </w:rPr>
        <w:t>Application</w:t>
      </w:r>
      <w:r>
        <w:rPr>
          <w:rFonts w:ascii="Arial" w:cs="Arial" w:eastAsia="Arial" w:hAnsi="Arial"/>
          <w:sz w:val="17"/>
          <w:szCs w:val="17"/>
          <w:u w:val="single" w:color="auto"/>
          <w:color w:val="0000FF"/>
        </w:rPr>
        <w:t>Documents</w:t>
      </w:r>
      <w:r>
        <w:rPr>
          <w:rFonts w:ascii="Arial" w:cs="Arial" w:eastAsia="Arial" w:hAnsi="Arial"/>
          <w:sz w:val="17"/>
          <w:szCs w:val="17"/>
          <w:color w:val="auto"/>
        </w:rPr>
        <w:t xml:space="preserve"> or other documentation acceptable to the applicable Issuing Lender), which date shall be no later than the fifth (5th) Business Day prior to the Revolving Credit Maturity Date and (iii) be subject to the ISP</w:t>
      </w:r>
      <w:r>
        <w:rPr>
          <w:rFonts w:ascii="Arial" w:cs="Arial" w:eastAsia="Arial" w:hAnsi="Arial"/>
          <w:sz w:val="17"/>
          <w:szCs w:val="17"/>
          <w:color w:val="FF0000"/>
          <w:strike w:val="1"/>
        </w:rPr>
        <w:t>98</w:t>
      </w:r>
      <w:r>
        <w:rPr>
          <w:rFonts w:ascii="Arial" w:cs="Arial" w:eastAsia="Arial" w:hAnsi="Arial"/>
          <w:sz w:val="17"/>
          <w:szCs w:val="17"/>
          <w:color w:val="auto"/>
        </w:rPr>
        <w:t xml:space="preserve"> or the UCP as set forth in the Letter of Credit </w:t>
      </w:r>
      <w:r>
        <w:rPr>
          <w:rFonts w:ascii="Arial" w:cs="Arial" w:eastAsia="Arial" w:hAnsi="Arial"/>
          <w:sz w:val="17"/>
          <w:szCs w:val="17"/>
          <w:color w:val="FF0000"/>
          <w:strike w:val="1"/>
        </w:rPr>
        <w:t>Application and, as to matters not addressed</w:t>
      </w:r>
      <w:r>
        <w:rPr>
          <w:rFonts w:ascii="Arial" w:cs="Arial" w:eastAsia="Arial" w:hAnsi="Arial"/>
          <w:sz w:val="17"/>
          <w:szCs w:val="17"/>
          <w:u w:val="single" w:color="auto"/>
          <w:color w:val="0000FF"/>
        </w:rPr>
        <w:t>Documents or as determined by the applicable Issuing Lender and, to the extent not inconsistent</w:t>
      </w:r>
      <w:r>
        <w:rPr>
          <w:rFonts w:ascii="Arial" w:cs="Arial" w:eastAsia="Arial" w:hAnsi="Arial"/>
          <w:sz w:val="17"/>
          <w:szCs w:val="17"/>
          <w:color w:val="FF0000"/>
        </w:rPr>
        <w:t xml:space="preserve"> </w:t>
      </w:r>
      <w:r>
        <w:rPr>
          <w:rFonts w:ascii="Arial" w:cs="Arial" w:eastAsia="Arial" w:hAnsi="Arial"/>
          <w:sz w:val="17"/>
          <w:szCs w:val="17"/>
          <w:color w:val="000000"/>
        </w:rPr>
        <w:t>there</w:t>
      </w:r>
      <w:r>
        <w:rPr>
          <w:rFonts w:ascii="Arial" w:cs="Arial" w:eastAsia="Arial" w:hAnsi="Arial"/>
          <w:sz w:val="17"/>
          <w:szCs w:val="17"/>
          <w:color w:val="FF0000"/>
          <w:strike w:val="1"/>
        </w:rPr>
        <w:t>by</w:t>
      </w:r>
      <w:r>
        <w:rPr>
          <w:rFonts w:ascii="Arial" w:cs="Arial" w:eastAsia="Arial" w:hAnsi="Arial"/>
          <w:sz w:val="17"/>
          <w:szCs w:val="17"/>
          <w:u w:val="single" w:color="auto"/>
          <w:color w:val="0000FF"/>
        </w:rPr>
        <w:t>with</w:t>
      </w:r>
    </w:p>
    <w:p>
      <w:pPr>
        <w:ind w:left="4" w:hanging="4"/>
        <w:spacing w:after="0" w:line="283" w:lineRule="auto"/>
        <w:tabs>
          <w:tab w:leader="none" w:pos="94"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laws of the State of New York. No Issuing Lender shall at any time be obligated to issue any Letter of Credit hereunder if (A) any order, judgment or decree of any Governmental Authority or arbitrator shall by its terms purport to enjoin or restrain such Issuing Lender from issuing such Letter of Credit, or </w:t>
      </w:r>
      <w:r>
        <w:rPr>
          <w:rFonts w:ascii="Arial" w:cs="Arial" w:eastAsia="Arial" w:hAnsi="Arial"/>
          <w:sz w:val="16"/>
          <w:szCs w:val="16"/>
          <w:u w:val="single" w:color="auto"/>
          <w:color w:val="008000"/>
        </w:rPr>
        <w:t>request that such Issuing Lender refrain from</w:t>
      </w:r>
      <w:r>
        <w:rPr>
          <w:rFonts w:ascii="Arial" w:cs="Arial" w:eastAsia="Arial" w:hAnsi="Arial"/>
          <w:sz w:val="16"/>
          <w:szCs w:val="16"/>
          <w:u w:val="single" w:color="auto"/>
          <w:color w:val="0000FF"/>
        </w:rPr>
        <w:t>, or</w:t>
      </w:r>
      <w:r>
        <w:rPr>
          <w:rFonts w:ascii="Arial" w:cs="Arial" w:eastAsia="Arial" w:hAnsi="Arial"/>
          <w:sz w:val="16"/>
          <w:szCs w:val="16"/>
          <w:color w:val="auto"/>
        </w:rPr>
        <w:t xml:space="preserve"> any Applicable Law applicable to such Issuing Lender or any request or directive (whether or not having the force of law) from any Governmental Authority with jurisdiction over such Issuing Lender shall prohibit</w:t>
      </w:r>
      <w:r>
        <w:rPr>
          <w:rFonts w:ascii="Arial" w:cs="Arial" w:eastAsia="Arial" w:hAnsi="Arial"/>
          <w:sz w:val="16"/>
          <w:szCs w:val="16"/>
          <w:color w:val="FF0000"/>
          <w:strike w:val="1"/>
        </w:rPr>
        <w:t>, or</w:t>
      </w:r>
      <w:r>
        <w:rPr>
          <w:rFonts w:ascii="Arial" w:cs="Arial" w:eastAsia="Arial" w:hAnsi="Arial"/>
          <w:sz w:val="16"/>
          <w:szCs w:val="16"/>
          <w:color w:val="auto"/>
        </w:rPr>
        <w:t xml:space="preserve"> </w:t>
      </w:r>
      <w:r>
        <w:rPr>
          <w:rFonts w:ascii="Arial" w:cs="Arial" w:eastAsia="Arial" w:hAnsi="Arial"/>
          <w:sz w:val="16"/>
          <w:szCs w:val="16"/>
          <w:color w:val="008000"/>
          <w:strike w:val="1"/>
        </w:rPr>
        <w:t>request that such Issuing</w:t>
      </w:r>
      <w:r>
        <w:rPr>
          <w:rFonts w:ascii="Arial" w:cs="Arial" w:eastAsia="Arial" w:hAnsi="Arial"/>
          <w:sz w:val="16"/>
          <w:szCs w:val="16"/>
          <w:color w:val="auto"/>
        </w:rPr>
        <w:t xml:space="preserve"> </w:t>
      </w:r>
      <w:r>
        <w:rPr>
          <w:rFonts w:ascii="Arial" w:cs="Arial" w:eastAsia="Arial" w:hAnsi="Arial"/>
          <w:sz w:val="16"/>
          <w:szCs w:val="16"/>
          <w:color w:val="008000"/>
          <w:strike w:val="1"/>
        </w:rPr>
        <w:t>Lender refrain from</w:t>
      </w:r>
      <w:r>
        <w:rPr>
          <w:rFonts w:ascii="Arial" w:cs="Arial" w:eastAsia="Arial" w:hAnsi="Arial"/>
          <w:sz w:val="16"/>
          <w:szCs w:val="16"/>
          <w:color w:val="000000"/>
        </w:rPr>
        <w:t>, the issuance of letters of credit generally or such Letter of Credit in particular or shall impose upon such Issuing Lender with</w:t>
      </w:r>
      <w:r>
        <w:rPr>
          <w:rFonts w:ascii="Arial" w:cs="Arial" w:eastAsia="Arial" w:hAnsi="Arial"/>
          <w:sz w:val="16"/>
          <w:szCs w:val="16"/>
          <w:color w:val="008000"/>
        </w:rPr>
        <w:t xml:space="preserve"> </w:t>
      </w:r>
      <w:r>
        <w:rPr>
          <w:rFonts w:ascii="Arial" w:cs="Arial" w:eastAsia="Arial" w:hAnsi="Arial"/>
          <w:sz w:val="16"/>
          <w:szCs w:val="16"/>
          <w:color w:val="000000"/>
        </w:rPr>
        <w:t xml:space="preserve">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w:t>
      </w:r>
      <w:r>
        <w:rPr>
          <w:rFonts w:ascii="Arial" w:cs="Arial" w:eastAsia="Arial" w:hAnsi="Arial"/>
          <w:sz w:val="16"/>
          <w:szCs w:val="16"/>
          <w:color w:val="008000"/>
          <w:strike w:val="1"/>
        </w:rPr>
        <w:t>as of the</w:t>
      </w:r>
      <w:r>
        <w:rPr>
          <w:rFonts w:ascii="Arial" w:cs="Arial" w:eastAsia="Arial" w:hAnsi="Arial"/>
          <w:sz w:val="16"/>
          <w:szCs w:val="16"/>
          <w:color w:val="000000"/>
        </w:rPr>
        <w:t xml:space="preserve"> </w:t>
      </w:r>
      <w:r>
        <w:rPr>
          <w:rFonts w:ascii="Arial" w:cs="Arial" w:eastAsia="Arial" w:hAnsi="Arial"/>
          <w:sz w:val="16"/>
          <w:szCs w:val="16"/>
          <w:color w:val="008000"/>
          <w:strike w:val="1"/>
        </w:rPr>
        <w:t>Closing Date</w:t>
      </w:r>
      <w:r>
        <w:rPr>
          <w:rFonts w:ascii="Arial" w:cs="Arial" w:eastAsia="Arial" w:hAnsi="Arial"/>
          <w:sz w:val="16"/>
          <w:szCs w:val="16"/>
          <w:color w:val="008000"/>
        </w:rPr>
        <w:t xml:space="preserve"> </w:t>
      </w:r>
      <w:r>
        <w:rPr>
          <w:rFonts w:ascii="Arial" w:cs="Arial" w:eastAsia="Arial" w:hAnsi="Arial"/>
          <w:sz w:val="16"/>
          <w:szCs w:val="16"/>
          <w:color w:val="000000"/>
        </w:rPr>
        <w:t>or known to such Issuing Lender</w:t>
      </w:r>
      <w:r>
        <w:rPr>
          <w:rFonts w:ascii="Arial" w:cs="Arial" w:eastAsia="Arial" w:hAnsi="Arial"/>
          <w:sz w:val="16"/>
          <w:szCs w:val="16"/>
          <w:color w:val="008000"/>
        </w:rPr>
        <w:t xml:space="preserve"> </w:t>
      </w:r>
      <w:r>
        <w:rPr>
          <w:rFonts w:ascii="Arial" w:cs="Arial" w:eastAsia="Arial" w:hAnsi="Arial"/>
          <w:sz w:val="16"/>
          <w:szCs w:val="16"/>
          <w:u w:val="single" w:color="auto"/>
          <w:color w:val="008000"/>
        </w:rPr>
        <w:t>as of the Closing Date</w:t>
      </w:r>
      <w:r>
        <w:rPr>
          <w:rFonts w:ascii="Arial" w:cs="Arial" w:eastAsia="Arial" w:hAnsi="Arial"/>
          <w:sz w:val="16"/>
          <w:szCs w:val="16"/>
          <w:color w:val="008000"/>
        </w:rPr>
        <w:t xml:space="preserve"> </w:t>
      </w:r>
      <w:r>
        <w:rPr>
          <w:rFonts w:ascii="Arial" w:cs="Arial" w:eastAsia="Arial" w:hAnsi="Arial"/>
          <w:sz w:val="16"/>
          <w:szCs w:val="16"/>
          <w:color w:val="000000"/>
        </w:rPr>
        <w:t>and that such Issuing Lender in good faith deems material to it, (B) the conditions</w:t>
      </w:r>
      <w:r>
        <w:rPr>
          <w:rFonts w:ascii="Arial" w:cs="Arial" w:eastAsia="Arial" w:hAnsi="Arial"/>
          <w:sz w:val="16"/>
          <w:szCs w:val="16"/>
          <w:color w:val="008000"/>
        </w:rPr>
        <w:t xml:space="preserve"> </w:t>
      </w:r>
      <w:r>
        <w:rPr>
          <w:rFonts w:ascii="Arial" w:cs="Arial" w:eastAsia="Arial" w:hAnsi="Arial"/>
          <w:sz w:val="16"/>
          <w:szCs w:val="16"/>
          <w:color w:val="000000"/>
        </w:rPr>
        <w:t xml:space="preserve">set forth in </w:t>
      </w:r>
      <w:r>
        <w:rPr>
          <w:rFonts w:ascii="Arial" w:cs="Arial" w:eastAsia="Arial" w:hAnsi="Arial"/>
          <w:sz w:val="16"/>
          <w:szCs w:val="16"/>
          <w:u w:val="single" w:color="auto"/>
          <w:color w:val="000000"/>
        </w:rPr>
        <w:t>Section 6.2</w:t>
      </w:r>
      <w:r>
        <w:rPr>
          <w:rFonts w:ascii="Arial" w:cs="Arial" w:eastAsia="Arial" w:hAnsi="Arial"/>
          <w:sz w:val="16"/>
          <w:szCs w:val="16"/>
          <w:color w:val="000000"/>
        </w:rPr>
        <w:t xml:space="preserve"> are not satisfied, (C) the issuance of such Letter of Credit would violate one or more policies of such Issuing Lender applicable to letters of credit generally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(D</w:t>
      </w:r>
      <w:r>
        <w:rPr>
          <w:rFonts w:ascii="Arial" w:cs="Arial" w:eastAsia="Arial" w:hAnsi="Arial"/>
          <w:sz w:val="16"/>
          <w:szCs w:val="16"/>
          <w:u w:val="single" w:color="auto"/>
          <w:color w:val="0000FF"/>
        </w:rPr>
        <w:t>) proceeds of which would be made available to any Person (x) to fund any activity or business of or with any Sanctioned</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Person, or in any Sanctioned Country or (y) in any manner that would result in a violation of any Sanctions by any party to this Agreement or (E) any Revolving Credit Lender is at that time a Defaulting Lender, unless such Issuing Lender has entered into arrangements, including the delivery of Cash Collateral, satisfactory to such Issuing Lender (in its sole discretion) with the Borrower or such Lender to eliminate such Issuing Lender’s actual or potential Fronting Exposure (after giving effect to Section 5.15(a)(iv)) with respect to the Defaulting Lender arising from either the Letter of Credit then proposed to be issued or that Letter of Credit and all other L/C Obligations as to which such Issuing Lender has actual or potential Fronting Exposure, as it may elect in its sole discretion. An Issuing Lender shall be under no obligation to amend any Letter of Credit if (x) such Issuing Lender would have no obligation at such time to issue the Letter of Credit in its amended form under the terms hereof or (y</w:t>
      </w:r>
      <w:r>
        <w:rPr>
          <w:rFonts w:ascii="Arial" w:cs="Arial" w:eastAsia="Arial" w:hAnsi="Arial"/>
          <w:sz w:val="16"/>
          <w:szCs w:val="16"/>
          <w:color w:val="000000"/>
        </w:rPr>
        <w:t>) the beneficiary of such Letter of Credit</w:t>
      </w:r>
      <w:r>
        <w:rPr>
          <w:rFonts w:ascii="Arial" w:cs="Arial" w:eastAsia="Arial" w:hAnsi="Arial"/>
          <w:sz w:val="16"/>
          <w:szCs w:val="16"/>
          <w:color w:val="0000FF"/>
        </w:rPr>
        <w:t xml:space="preserve"> </w:t>
      </w:r>
      <w:r>
        <w:rPr>
          <w:rFonts w:ascii="Arial" w:cs="Arial" w:eastAsia="Arial" w:hAnsi="Arial"/>
          <w:sz w:val="16"/>
          <w:szCs w:val="16"/>
          <w:color w:val="FF0000"/>
          <w:strike w:val="1"/>
        </w:rPr>
        <w:t>is a</w:t>
      </w:r>
      <w:r>
        <w:rPr>
          <w:rFonts w:ascii="Arial" w:cs="Arial" w:eastAsia="Arial" w:hAnsi="Arial"/>
          <w:sz w:val="16"/>
          <w:szCs w:val="16"/>
          <w:color w:val="0000FF"/>
        </w:rPr>
        <w:t xml:space="preserve"> </w:t>
      </w:r>
      <w:r>
        <w:rPr>
          <w:rFonts w:ascii="Arial" w:cs="Arial" w:eastAsia="Arial" w:hAnsi="Arial"/>
          <w:sz w:val="16"/>
          <w:szCs w:val="16"/>
          <w:color w:val="FF0000"/>
          <w:strike w:val="1"/>
        </w:rPr>
        <w:t>Sanctioned Person</w:t>
      </w:r>
      <w:r>
        <w:rPr>
          <w:rFonts w:ascii="Arial" w:cs="Arial" w:eastAsia="Arial" w:hAnsi="Arial"/>
          <w:sz w:val="16"/>
          <w:szCs w:val="16"/>
          <w:u w:val="single" w:color="auto"/>
          <w:color w:val="0000FF"/>
        </w:rPr>
        <w:t>does not accept the proposed amendment to the Letter of Credit</w:t>
      </w:r>
      <w:r>
        <w:rPr>
          <w:rFonts w:ascii="Arial" w:cs="Arial" w:eastAsia="Arial" w:hAnsi="Arial"/>
          <w:sz w:val="16"/>
          <w:szCs w:val="16"/>
          <w:color w:val="000000"/>
        </w:rPr>
        <w:t>. References herein to “issue” and derivations thereof with respect to</w:t>
      </w:r>
      <w:r>
        <w:rPr>
          <w:rFonts w:ascii="Arial" w:cs="Arial" w:eastAsia="Arial" w:hAnsi="Arial"/>
          <w:sz w:val="16"/>
          <w:szCs w:val="16"/>
          <w:color w:val="FF0000"/>
        </w:rPr>
        <w:t xml:space="preserve"> </w:t>
      </w:r>
      <w:r>
        <w:rPr>
          <w:rFonts w:ascii="Arial" w:cs="Arial" w:eastAsia="Arial" w:hAnsi="Arial"/>
          <w:sz w:val="16"/>
          <w:szCs w:val="16"/>
          <w:color w:val="000000"/>
        </w:rPr>
        <w:t>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290" w:lineRule="exact"/>
        <w:rPr>
          <w:rFonts w:ascii="Arial" w:cs="Arial" w:eastAsia="Arial" w:hAnsi="Arial"/>
          <w:sz w:val="16"/>
          <w:szCs w:val="16"/>
          <w:color w:val="auto"/>
        </w:rPr>
      </w:pPr>
    </w:p>
    <w:p>
      <w:pPr>
        <w:ind w:left="4" w:right="660" w:firstLine="436"/>
        <w:spacing w:after="0" w:line="277" w:lineRule="auto"/>
        <w:tabs>
          <w:tab w:leader="none" w:pos="68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-1948180</wp:posOffset>
            </wp:positionV>
            <wp:extent cx="1193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1268730</wp:posOffset>
            </wp:positionH>
            <wp:positionV relativeFrom="paragraph">
              <wp:posOffset>-1870710</wp:posOffset>
            </wp:positionV>
            <wp:extent cx="254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0000FF"/>
        </w:rPr>
        <w:t>Procedure for Issuance and Disbursement of Letters of Credit.</w:t>
      </w:r>
    </w:p>
    <w:p>
      <w:pPr>
        <w:spacing w:after="0" w:line="117" w:lineRule="exact"/>
        <w:rPr>
          <w:sz w:val="20"/>
          <w:szCs w:val="20"/>
          <w:color w:val="auto"/>
        </w:rPr>
      </w:pPr>
    </w:p>
    <w:p>
      <w:pPr>
        <w:ind w:left="4" w:right="140" w:firstLine="436"/>
        <w:spacing w:after="0" w:line="290" w:lineRule="auto"/>
        <w:tabs>
          <w:tab w:leader="none" w:pos="689" w:val="left"/>
        </w:tabs>
        <w:numPr>
          <w:ilvl w:val="0"/>
          <w:numId w:val="83"/>
        </w:numPr>
        <w:rPr>
          <w:rFonts w:ascii="Arial" w:cs="Arial" w:eastAsia="Arial" w:hAnsi="Arial"/>
          <w:sz w:val="16"/>
          <w:szCs w:val="16"/>
          <w:u w:val="single" w:color="auto"/>
          <w:color w:val="0000FF"/>
        </w:rPr>
      </w:pPr>
      <w:r>
        <w:rPr>
          <w:rFonts w:ascii="Arial" w:cs="Arial" w:eastAsia="Arial" w:hAnsi="Arial"/>
          <w:sz w:val="16"/>
          <w:szCs w:val="16"/>
          <w:u w:val="single" w:color="auto"/>
          <w:color w:val="FF0000"/>
          <w:strike w:val="1"/>
        </w:rPr>
        <w:t>Procedure for Issuance of Letters of Credit</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color w:val="000000"/>
        </w:rPr>
        <w:t>The Borrower may from time to time request that any Issuing Lender issue, amend</w:t>
      </w:r>
      <w:r>
        <w:rPr>
          <w:rFonts w:ascii="Arial" w:cs="Arial" w:eastAsia="Arial" w:hAnsi="Arial"/>
          <w:sz w:val="16"/>
          <w:szCs w:val="16"/>
          <w:color w:val="FF0000"/>
        </w:rPr>
        <w:t xml:space="preserve"> or</w:t>
      </w:r>
      <w:r>
        <w:rPr>
          <w:rFonts w:ascii="Arial" w:cs="Arial" w:eastAsia="Arial" w:hAnsi="Arial"/>
          <w:sz w:val="16"/>
          <w:szCs w:val="16"/>
          <w:u w:val="single" w:color="auto"/>
          <w:color w:val="0000FF"/>
        </w:rPr>
        <w:t>,</w:t>
      </w:r>
      <w:r>
        <w:rPr>
          <w:rFonts w:ascii="Arial" w:cs="Arial" w:eastAsia="Arial" w:hAnsi="Arial"/>
          <w:sz w:val="16"/>
          <w:szCs w:val="16"/>
          <w:color w:val="FF0000"/>
        </w:rPr>
        <w:t xml:space="preserve"> </w:t>
      </w:r>
      <w:r>
        <w:rPr>
          <w:rFonts w:ascii="Arial" w:cs="Arial" w:eastAsia="Arial" w:hAnsi="Arial"/>
          <w:sz w:val="16"/>
          <w:szCs w:val="16"/>
          <w:color w:val="000000"/>
        </w:rPr>
        <w:t>renew</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or</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extend</w:t>
      </w:r>
      <w:r>
        <w:rPr>
          <w:rFonts w:ascii="Arial" w:cs="Arial" w:eastAsia="Arial" w:hAnsi="Arial"/>
          <w:sz w:val="16"/>
          <w:szCs w:val="16"/>
          <w:color w:val="0000FF"/>
        </w:rPr>
        <w:t xml:space="preserve"> </w:t>
      </w:r>
      <w:r>
        <w:rPr>
          <w:rFonts w:ascii="Arial" w:cs="Arial" w:eastAsia="Arial" w:hAnsi="Arial"/>
          <w:sz w:val="16"/>
          <w:szCs w:val="16"/>
          <w:color w:val="000000"/>
        </w:rPr>
        <w:t>a Letter of Credit by delivering to such Issuing Lender at its applicable office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(with a copy to the Administrative Agent at the Administrative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Agent’s Office)</w:t>
      </w:r>
      <w:r>
        <w:rPr>
          <w:rFonts w:ascii="Arial" w:cs="Arial" w:eastAsia="Arial" w:hAnsi="Arial"/>
          <w:sz w:val="16"/>
          <w:szCs w:val="16"/>
          <w:color w:val="0000FF"/>
        </w:rPr>
        <w:t xml:space="preserve"> </w:t>
      </w:r>
      <w:r>
        <w:rPr>
          <w:rFonts w:ascii="Arial" w:cs="Arial" w:eastAsia="Arial" w:hAnsi="Arial"/>
          <w:sz w:val="16"/>
          <w:szCs w:val="16"/>
          <w:color w:val="000000"/>
        </w:rPr>
        <w:t>a Letter of Credit Application therefor, completed to the satisfaction of such Issuing Lender, and such other certificates, documents and</w:t>
      </w:r>
      <w:r>
        <w:rPr>
          <w:rFonts w:ascii="Arial" w:cs="Arial" w:eastAsia="Arial" w:hAnsi="Arial"/>
          <w:sz w:val="16"/>
          <w:szCs w:val="16"/>
          <w:color w:val="0000FF"/>
        </w:rPr>
        <w:t xml:space="preserve"> </w:t>
      </w:r>
      <w:r>
        <w:rPr>
          <w:rFonts w:ascii="Arial" w:cs="Arial" w:eastAsia="Arial" w:hAnsi="Arial"/>
          <w:sz w:val="16"/>
          <w:szCs w:val="16"/>
          <w:color w:val="000000"/>
        </w:rPr>
        <w:t xml:space="preserve">other </w:t>
      </w:r>
      <w:r>
        <w:rPr>
          <w:rFonts w:ascii="Arial" w:cs="Arial" w:eastAsia="Arial" w:hAnsi="Arial"/>
          <w:sz w:val="16"/>
          <w:szCs w:val="16"/>
          <w:color w:val="FF0000"/>
          <w:strike w:val="1"/>
        </w:rPr>
        <w:t>papers</w:t>
      </w:r>
      <w:r>
        <w:rPr>
          <w:rFonts w:ascii="Arial" w:cs="Arial" w:eastAsia="Arial" w:hAnsi="Arial"/>
          <w:sz w:val="16"/>
          <w:szCs w:val="16"/>
          <w:u w:val="single" w:color="auto"/>
          <w:color w:val="0000FF"/>
        </w:rPr>
        <w:t>Letter of Credit Documents</w:t>
      </w:r>
      <w:r>
        <w:rPr>
          <w:rFonts w:ascii="Arial" w:cs="Arial" w:eastAsia="Arial" w:hAnsi="Arial"/>
          <w:sz w:val="16"/>
          <w:szCs w:val="16"/>
          <w:color w:val="000000"/>
        </w:rPr>
        <w:t xml:space="preserve"> and information as such Issuing Lender </w:t>
      </w:r>
      <w:r>
        <w:rPr>
          <w:rFonts w:ascii="Arial" w:cs="Arial" w:eastAsia="Arial" w:hAnsi="Arial"/>
          <w:sz w:val="16"/>
          <w:szCs w:val="16"/>
          <w:u w:val="single" w:color="auto"/>
          <w:color w:val="0000FF"/>
        </w:rPr>
        <w:t>or the Administrative Agent</w:t>
      </w:r>
      <w:r>
        <w:rPr>
          <w:rFonts w:ascii="Arial" w:cs="Arial" w:eastAsia="Arial" w:hAnsi="Arial"/>
          <w:sz w:val="16"/>
          <w:szCs w:val="16"/>
          <w:color w:val="000000"/>
        </w:rPr>
        <w:t xml:space="preserve"> may request </w:t>
      </w:r>
      <w:r>
        <w:rPr>
          <w:rFonts w:ascii="Arial" w:cs="Arial" w:eastAsia="Arial" w:hAnsi="Arial"/>
          <w:sz w:val="16"/>
          <w:szCs w:val="16"/>
          <w:color w:val="FF0000"/>
          <w:strike w:val="1"/>
        </w:rPr>
        <w:t>(which information shall</w:t>
      </w:r>
      <w:r>
        <w:rPr>
          <w:rFonts w:ascii="Arial" w:cs="Arial" w:eastAsia="Arial" w:hAnsi="Arial"/>
          <w:sz w:val="16"/>
          <w:szCs w:val="16"/>
          <w:color w:val="000000"/>
        </w:rPr>
        <w:t xml:space="preserve"> </w:t>
      </w:r>
      <w:r>
        <w:rPr>
          <w:rFonts w:ascii="Arial" w:cs="Arial" w:eastAsia="Arial" w:hAnsi="Arial"/>
          <w:sz w:val="16"/>
          <w:szCs w:val="16"/>
          <w:color w:val="FF0000"/>
          <w:strike w:val="1"/>
        </w:rPr>
        <w:t>include the applicable currency in which such Letter of Credit shall be denominated)</w:t>
      </w:r>
      <w:r>
        <w:rPr>
          <w:rFonts w:ascii="Arial" w:cs="Arial" w:eastAsia="Arial" w:hAnsi="Arial"/>
          <w:sz w:val="16"/>
          <w:szCs w:val="16"/>
          <w:u w:val="single" w:color="auto"/>
          <w:color w:val="0000FF"/>
          <w:strike w:val="1"/>
        </w:rPr>
        <w:t>, not later than 11:00 a.m. at least two (2) Business Days (or such</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 xml:space="preserve">later date and time as the Administrative Agent and such Issuing Lender may agree in their sole discretion) </w:t>
      </w:r>
      <w:r>
        <w:rPr>
          <w:rFonts w:ascii="Arial" w:cs="Arial" w:eastAsia="Arial" w:hAnsi="Arial"/>
          <w:sz w:val="16"/>
          <w:szCs w:val="16"/>
          <w:u w:val="single" w:color="auto"/>
          <w:color w:val="008000"/>
          <w:strike w:val="1"/>
        </w:rPr>
        <w:t>prior to the proposed date of</w:t>
      </w:r>
      <w:r>
        <w:rPr>
          <w:rFonts w:ascii="Arial" w:cs="Arial" w:eastAsia="Arial" w:hAnsi="Arial"/>
          <w:sz w:val="16"/>
          <w:szCs w:val="16"/>
          <w:u w:val="single" w:color="auto"/>
          <w:color w:val="0000FF"/>
          <w:strike w:val="1"/>
        </w:rPr>
        <w:t xml:space="preserve"> issuance, amendment, renewal or extension</w:t>
      </w:r>
      <w:r>
        <w:rPr>
          <w:rFonts w:ascii="Arial" w:cs="Arial" w:eastAsia="Arial" w:hAnsi="Arial"/>
          <w:sz w:val="16"/>
          <w:szCs w:val="16"/>
          <w:u w:val="single" w:color="auto"/>
          <w:color w:val="008000"/>
          <w:strike w:val="1"/>
        </w:rPr>
        <w:t>, as the case may be.</w:t>
      </w:r>
      <w:r>
        <w:rPr>
          <w:rFonts w:ascii="Arial" w:cs="Arial" w:eastAsia="Arial" w:hAnsi="Arial"/>
          <w:sz w:val="16"/>
          <w:szCs w:val="16"/>
          <w:u w:val="single" w:color="auto"/>
          <w:color w:val="0000FF"/>
          <w:strike w:val="1"/>
        </w:rPr>
        <w:t xml:space="preserve"> Such notice shall specify (i) the requested date of issuance, amendment, renewal or extension (which shall be a Business Day), (ii) the date on which such Letter of Credit is to expire (which shall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6226810</wp:posOffset>
            </wp:positionH>
            <wp:positionV relativeFrom="paragraph">
              <wp:posOffset>-1059815</wp:posOffset>
            </wp:positionV>
            <wp:extent cx="1193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4"/>
          </w:cols>
          <w:pgMar w:left="436" w:top="490" w:right="439" w:bottom="1440" w:gutter="0" w:footer="0" w:header="0"/>
        </w:sectPr>
      </w:pPr>
    </w:p>
    <w:bookmarkStart w:id="109" w:name="page110"/>
    <w:bookmarkEnd w:id="109"/>
    <w:p>
      <w:pPr>
        <w:spacing w:after="0" w:line="268"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with Section 3.1(b)), (iii) the amount and Currency of such Letter of Credit, (iv) the name and address of the beneficiary thereof, (v) the purpose and nature of such Letter of Credit and (vi) such other information as shall be necessary to issue, amend, renew or extend such Letter of Credit</w:t>
      </w:r>
      <w:r>
        <w:rPr>
          <w:rFonts w:ascii="Arial" w:cs="Arial" w:eastAsia="Arial" w:hAnsi="Arial"/>
          <w:sz w:val="17"/>
          <w:szCs w:val="17"/>
          <w:color w:val="000000"/>
        </w:rPr>
        <w:t>. Upon receipt</w:t>
      </w:r>
      <w:r>
        <w:rPr>
          <w:rFonts w:ascii="Arial" w:cs="Arial" w:eastAsia="Arial" w:hAnsi="Arial"/>
          <w:sz w:val="17"/>
          <w:szCs w:val="17"/>
          <w:color w:val="0000FF"/>
        </w:rPr>
        <w:t xml:space="preserve"> </w:t>
      </w:r>
      <w:r>
        <w:rPr>
          <w:rFonts w:ascii="Arial" w:cs="Arial" w:eastAsia="Arial" w:hAnsi="Arial"/>
          <w:sz w:val="17"/>
          <w:szCs w:val="17"/>
          <w:color w:val="000000"/>
        </w:rPr>
        <w:t>of any Letter of Credit Application, the applicable Issuing Lender shall</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process such Letter of Credit Application and the certificates, documents and other </w:t>
      </w:r>
      <w:r>
        <w:rPr>
          <w:rFonts w:ascii="Arial" w:cs="Arial" w:eastAsia="Arial" w:hAnsi="Arial"/>
          <w:sz w:val="17"/>
          <w:szCs w:val="17"/>
          <w:color w:val="FF0000"/>
          <w:strike w:val="1"/>
        </w:rPr>
        <w:t>papers</w:t>
      </w:r>
      <w:r>
        <w:rPr>
          <w:rFonts w:ascii="Arial" w:cs="Arial" w:eastAsia="Arial" w:hAnsi="Arial"/>
          <w:sz w:val="17"/>
          <w:szCs w:val="17"/>
          <w:u w:val="single" w:color="auto"/>
          <w:color w:val="0000FF"/>
        </w:rPr>
        <w:t>Letter of Credit Documents</w:t>
      </w:r>
      <w:r>
        <w:rPr>
          <w:rFonts w:ascii="Arial" w:cs="Arial" w:eastAsia="Arial" w:hAnsi="Arial"/>
          <w:sz w:val="17"/>
          <w:szCs w:val="17"/>
          <w:color w:val="000000"/>
        </w:rPr>
        <w:t xml:space="preserve"> and information delivered to it in connection therewith in accordance with its customary procedures and shall, subject to </w:t>
      </w:r>
      <w:r>
        <w:rPr>
          <w:rFonts w:ascii="Arial" w:cs="Arial" w:eastAsia="Arial" w:hAnsi="Arial"/>
          <w:sz w:val="17"/>
          <w:szCs w:val="17"/>
          <w:u w:val="single" w:color="auto"/>
          <w:color w:val="000000"/>
        </w:rPr>
        <w:t>Section 3.1</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Article VI</w:t>
      </w:r>
      <w:r>
        <w:rPr>
          <w:rFonts w:ascii="Arial" w:cs="Arial" w:eastAsia="Arial" w:hAnsi="Arial"/>
          <w:sz w:val="17"/>
          <w:szCs w:val="17"/>
          <w:color w:val="000000"/>
        </w:rPr>
        <w:t xml:space="preserve">, promptly issue, amend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renew </w:t>
      </w:r>
      <w:r>
        <w:rPr>
          <w:rFonts w:ascii="Arial" w:cs="Arial" w:eastAsia="Arial" w:hAnsi="Arial"/>
          <w:sz w:val="17"/>
          <w:szCs w:val="17"/>
          <w:u w:val="single" w:color="auto"/>
          <w:color w:val="0000FF"/>
        </w:rPr>
        <w:t>or extend</w:t>
      </w:r>
      <w:r>
        <w:rPr>
          <w:rFonts w:ascii="Arial" w:cs="Arial" w:eastAsia="Arial" w:hAnsi="Arial"/>
          <w:sz w:val="17"/>
          <w:szCs w:val="17"/>
          <w:color w:val="000000"/>
        </w:rPr>
        <w:t xml:space="preserve"> the Letter of Credit requested thereby (</w:t>
      </w:r>
      <w:r>
        <w:rPr>
          <w:rFonts w:ascii="Arial" w:cs="Arial" w:eastAsia="Arial" w:hAnsi="Arial"/>
          <w:sz w:val="17"/>
          <w:szCs w:val="17"/>
          <w:color w:val="FF0000"/>
          <w:strike w:val="1"/>
        </w:rPr>
        <w:t>but in no event shall such</w:t>
      </w:r>
      <w:r>
        <w:rPr>
          <w:rFonts w:ascii="Arial" w:cs="Arial" w:eastAsia="Arial" w:hAnsi="Arial"/>
          <w:sz w:val="17"/>
          <w:szCs w:val="17"/>
          <w:color w:val="000000"/>
        </w:rPr>
        <w:t xml:space="preserve"> </w:t>
      </w:r>
      <w:r>
        <w:rPr>
          <w:rFonts w:ascii="Arial" w:cs="Arial" w:eastAsia="Arial" w:hAnsi="Arial"/>
          <w:sz w:val="17"/>
          <w:szCs w:val="17"/>
          <w:color w:val="FF0000"/>
          <w:strike w:val="1"/>
        </w:rPr>
        <w:t>Issuing Lender be required to issue, amend or renew any Letter of Credit earlier than three (3) Business Days (or earlier than four (4) Business Days, or five (5) Business Days, in the case of any Letter of Credit denominated in a Special Notice Currency, in the case of any Letter of Credit denominated in an Alternative Currency) after its receipt of the Letter of Credit Application therefor and all such other certificates, documents and other papers and information relating thereto</w:t>
      </w:r>
      <w:r>
        <w:rPr>
          <w:rFonts w:ascii="Arial" w:cs="Arial" w:eastAsia="Arial" w:hAnsi="Arial"/>
          <w:sz w:val="17"/>
          <w:szCs w:val="17"/>
          <w:u w:val="single" w:color="auto"/>
          <w:color w:val="0000FF"/>
          <w:strike w:val="1"/>
        </w:rPr>
        <w:t>subject to the timing requirements set forth in this Section 3.2</w:t>
      </w:r>
      <w:r>
        <w:rPr>
          <w:rFonts w:ascii="Arial" w:cs="Arial" w:eastAsia="Arial" w:hAnsi="Arial"/>
          <w:sz w:val="17"/>
          <w:szCs w:val="17"/>
          <w:color w:val="000000"/>
          <w:strike w:val="1"/>
        </w:rPr>
        <w:t>) by issuing the original of such Letter of Credit to the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beneficiary thereof or as otherwise may be agreed by such Issuing Lender and the Borrower. </w:t>
      </w:r>
      <w:r>
        <w:rPr>
          <w:rFonts w:ascii="Arial" w:cs="Arial" w:eastAsia="Arial" w:hAnsi="Arial"/>
          <w:sz w:val="17"/>
          <w:szCs w:val="17"/>
          <w:u w:val="single" w:color="auto"/>
          <w:color w:val="0000FF"/>
          <w:strike w:val="1"/>
        </w:rPr>
        <w:t>Additionally, the Borrower shall furnish to the applicable</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 xml:space="preserve">Issuing Lender and the Administrative Agent such other documents and information pertaining to such requested Letter of Credit issuance or amendment, renewal or extension, including any Letter of Credit Documents, as the applicable Issuing Lender or the Administrative Agent may require. </w:t>
      </w:r>
      <w:r>
        <w:rPr>
          <w:rFonts w:ascii="Arial" w:cs="Arial" w:eastAsia="Arial" w:hAnsi="Arial"/>
          <w:sz w:val="17"/>
          <w:szCs w:val="17"/>
          <w:color w:val="000000"/>
          <w:strike w:val="1"/>
        </w:rPr>
        <w:t xml:space="preserve">The applicable Issuing Lender shall promptly furnish to the Borrower and the Administrative Agent a copy of such Letter of Credit and the </w:t>
      </w:r>
      <w:r>
        <w:rPr>
          <w:rFonts w:ascii="Arial" w:cs="Arial" w:eastAsia="Arial" w:hAnsi="Arial"/>
          <w:sz w:val="17"/>
          <w:szCs w:val="17"/>
          <w:u w:val="single" w:color="auto"/>
          <w:color w:val="0000FF"/>
          <w:strike w:val="1"/>
        </w:rPr>
        <w:t>related Letter</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of Credit Documents and the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Administrative Agent shall promptly notify each Revolving Credit Lender of the issuance and upon request by any</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Revolving Credit Lender, furnish to such Revolving Credit Lender a copy of such Letter of Credit and the amount of such Revolving Credit Lender’s participation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-1599565</wp:posOffset>
            </wp:positionV>
            <wp:extent cx="1193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spacing w:after="0" w:line="52" w:lineRule="exact"/>
        <w:rPr>
          <w:sz w:val="20"/>
          <w:szCs w:val="20"/>
          <w:color w:val="auto"/>
        </w:rPr>
      </w:pPr>
    </w:p>
    <w:p>
      <w:pPr>
        <w:jc w:val="both"/>
        <w:ind w:right="80" w:firstLine="436"/>
        <w:spacing w:after="0" w:line="275" w:lineRule="auto"/>
        <w:tabs>
          <w:tab w:leader="none" w:pos="692" w:val="left"/>
        </w:tabs>
        <w:numPr>
          <w:ilvl w:val="0"/>
          <w:numId w:val="8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Issuing Lender for any Letter of Credit shall, within the time allowed by Applicable Laws or the specific terms of the Letter of Credit following its receipt thereof, examine all documents purporting to represent a demand for payment under such Letter of Credit. Such Issuing Lender shall promptly after such examination notify the Administrative Agent and the Borrower in writing of such demand for payment if such Issuing Lender has or will honor such demand for payment thereunder; provided that any failure to give or delay in giving such notice shall not relieve the Borrower of its obligation to reimburse such Issuing Lender and the L/C Participants with respect to such payment.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Commissions and Other Charges</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91" w:lineRule="auto"/>
        <w:tabs>
          <w:tab w:leader="none" w:pos="68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Letter of Credit Commissions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5.15(a)(iii)(B)</w:t>
      </w:r>
      <w:r>
        <w:rPr>
          <w:rFonts w:ascii="Arial" w:cs="Arial" w:eastAsia="Arial" w:hAnsi="Arial"/>
          <w:sz w:val="16"/>
          <w:szCs w:val="16"/>
          <w:color w:val="auto"/>
        </w:rPr>
        <w:t xml:space="preserve">, the Borrower shall pay to the Administrative Agent, for the account of the applicable Issuing Lender and the L/C Participants, a letter of credit commission with respect to each Letter of Credit in the amount equal to the </w:t>
      </w:r>
      <w:r>
        <w:rPr>
          <w:rFonts w:ascii="Arial" w:cs="Arial" w:eastAsia="Arial" w:hAnsi="Arial"/>
          <w:sz w:val="16"/>
          <w:szCs w:val="16"/>
          <w:u w:val="single" w:color="auto"/>
          <w:color w:val="0000FF"/>
        </w:rPr>
        <w:t>Dollar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Equivalent of the</w:t>
      </w:r>
      <w:r>
        <w:rPr>
          <w:rFonts w:ascii="Arial" w:cs="Arial" w:eastAsia="Arial" w:hAnsi="Arial"/>
          <w:sz w:val="16"/>
          <w:szCs w:val="16"/>
          <w:color w:val="0000FF"/>
        </w:rPr>
        <w:t xml:space="preserve"> </w:t>
      </w:r>
      <w:r>
        <w:rPr>
          <w:rFonts w:ascii="Arial" w:cs="Arial" w:eastAsia="Arial" w:hAnsi="Arial"/>
          <w:sz w:val="16"/>
          <w:szCs w:val="16"/>
          <w:color w:val="000000"/>
        </w:rPr>
        <w:t>daily amount available to be drawn under such Letter</w:t>
      </w:r>
      <w:r>
        <w:rPr>
          <w:rFonts w:ascii="Arial" w:cs="Arial" w:eastAsia="Arial" w:hAnsi="Arial"/>
          <w:sz w:val="16"/>
          <w:szCs w:val="16"/>
          <w:u w:val="single" w:color="auto"/>
          <w:color w:val="0000FF"/>
        </w:rPr>
        <w:t>s</w:t>
      </w:r>
      <w:r>
        <w:rPr>
          <w:rFonts w:ascii="Arial" w:cs="Arial" w:eastAsia="Arial" w:hAnsi="Arial"/>
          <w:sz w:val="16"/>
          <w:szCs w:val="16"/>
          <w:color w:val="0000FF"/>
        </w:rPr>
        <w:t xml:space="preserve"> </w:t>
      </w:r>
      <w:r>
        <w:rPr>
          <w:rFonts w:ascii="Arial" w:cs="Arial" w:eastAsia="Arial" w:hAnsi="Arial"/>
          <w:sz w:val="16"/>
          <w:szCs w:val="16"/>
          <w:color w:val="000000"/>
        </w:rPr>
        <w:t>of Credit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times</w:t>
      </w:r>
      <w:r>
        <w:rPr>
          <w:rFonts w:ascii="Arial" w:cs="Arial" w:eastAsia="Arial" w:hAnsi="Arial"/>
          <w:sz w:val="16"/>
          <w:szCs w:val="16"/>
          <w:color w:val="0000FF"/>
        </w:rPr>
        <w:t xml:space="preserve"> </w:t>
      </w:r>
      <w:r>
        <w:rPr>
          <w:rFonts w:ascii="Arial" w:cs="Arial" w:eastAsia="Arial" w:hAnsi="Arial"/>
          <w:sz w:val="16"/>
          <w:szCs w:val="16"/>
          <w:color w:val="000000"/>
        </w:rPr>
        <w:t>the Applicable Margin with respect to Revolving Credit Loans</w:t>
      </w:r>
      <w:r>
        <w:rPr>
          <w:rFonts w:ascii="Arial" w:cs="Arial" w:eastAsia="Arial" w:hAnsi="Arial"/>
          <w:sz w:val="16"/>
          <w:szCs w:val="16"/>
          <w:color w:val="0000FF"/>
        </w:rPr>
        <w:t xml:space="preserve"> </w:t>
      </w:r>
      <w:r>
        <w:rPr>
          <w:rFonts w:ascii="Arial" w:cs="Arial" w:eastAsia="Arial" w:hAnsi="Arial"/>
          <w:sz w:val="16"/>
          <w:szCs w:val="16"/>
          <w:color w:val="000000"/>
        </w:rPr>
        <w:t xml:space="preserve">that are Eurocurrency Rate Loans </w:t>
      </w:r>
      <w:r>
        <w:rPr>
          <w:rFonts w:ascii="Arial" w:cs="Arial" w:eastAsia="Arial" w:hAnsi="Arial"/>
          <w:sz w:val="16"/>
          <w:szCs w:val="16"/>
          <w:u w:val="single" w:color="auto"/>
          <w:color w:val="0000FF"/>
        </w:rPr>
        <w:t>or RFR Loans</w:t>
      </w:r>
      <w:r>
        <w:rPr>
          <w:rFonts w:ascii="Arial" w:cs="Arial" w:eastAsia="Arial" w:hAnsi="Arial"/>
          <w:sz w:val="16"/>
          <w:szCs w:val="16"/>
          <w:color w:val="000000"/>
        </w:rPr>
        <w:t xml:space="preserve"> (determined</w:t>
      </w:r>
      <w:r>
        <w:rPr>
          <w:rFonts w:ascii="Arial" w:cs="Arial" w:eastAsia="Arial" w:hAnsi="Arial"/>
          <w:sz w:val="16"/>
          <w:szCs w:val="16"/>
          <w:u w:val="single" w:color="auto"/>
          <w:color w:val="0000FF"/>
        </w:rPr>
        <w:t>, in each case,</w:t>
      </w:r>
      <w:r>
        <w:rPr>
          <w:rFonts w:ascii="Arial" w:cs="Arial" w:eastAsia="Arial" w:hAnsi="Arial"/>
          <w:sz w:val="16"/>
          <w:szCs w:val="16"/>
          <w:color w:val="000000"/>
        </w:rPr>
        <w:t xml:space="preserve"> on a per annum basis). Such commission shall be payable </w:t>
      </w:r>
      <w:r>
        <w:rPr>
          <w:rFonts w:ascii="Arial" w:cs="Arial" w:eastAsia="Arial" w:hAnsi="Arial"/>
          <w:sz w:val="16"/>
          <w:szCs w:val="16"/>
          <w:u w:val="single" w:color="auto"/>
          <w:color w:val="0000FF"/>
        </w:rPr>
        <w:t>in Dollars</w:t>
      </w:r>
      <w:r>
        <w:rPr>
          <w:rFonts w:ascii="Arial" w:cs="Arial" w:eastAsia="Arial" w:hAnsi="Arial"/>
          <w:sz w:val="16"/>
          <w:szCs w:val="16"/>
          <w:color w:val="000000"/>
        </w:rPr>
        <w:t xml:space="preserve"> quarterly in arrears within fifteen (15) days after the last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16"/>
          <w:szCs w:val="16"/>
          <w:u w:val="single" w:color="auto"/>
          <w:color w:val="000000"/>
        </w:rPr>
        <w:t>Section 3.3</w:t>
      </w:r>
      <w:r>
        <w:rPr>
          <w:rFonts w:ascii="Arial" w:cs="Arial" w:eastAsia="Arial" w:hAnsi="Arial"/>
          <w:sz w:val="16"/>
          <w:szCs w:val="16"/>
          <w:color w:val="000000"/>
        </w:rPr>
        <w:t xml:space="preserve"> in accordance with their respective Revolving Credit Commitment Percentages.</w:t>
      </w:r>
    </w:p>
    <w:p>
      <w:pPr>
        <w:spacing w:after="0" w:line="58" w:lineRule="exact"/>
        <w:rPr>
          <w:rFonts w:ascii="Arial" w:cs="Arial" w:eastAsia="Arial" w:hAnsi="Arial"/>
          <w:sz w:val="16"/>
          <w:szCs w:val="16"/>
          <w:color w:val="auto"/>
        </w:rPr>
      </w:pPr>
    </w:p>
    <w:p>
      <w:pPr>
        <w:ind w:firstLine="436"/>
        <w:spacing w:after="0" w:line="273" w:lineRule="auto"/>
        <w:tabs>
          <w:tab w:leader="none" w:pos="69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Issuance Fee</w:t>
      </w:r>
      <w:r>
        <w:rPr>
          <w:rFonts w:ascii="Arial" w:cs="Arial" w:eastAsia="Arial" w:hAnsi="Arial"/>
          <w:sz w:val="17"/>
          <w:szCs w:val="17"/>
          <w:color w:val="auto"/>
        </w:rPr>
        <w:t xml:space="preserve">. In addition to the foregoing commission, the Borrower shall pay directly to the applicable Issuing Lender, for its own account, an issuance fee with respect to each Letter of Credit issued by such Issuing Lender in an amount equal to 0.125% per annum on the daily maximum available amount available to be drawn under such Letter of Credit issued by such Issuing Lender. Such issuance fee shall be payable </w:t>
      </w:r>
      <w:r>
        <w:rPr>
          <w:rFonts w:ascii="Arial" w:cs="Arial" w:eastAsia="Arial" w:hAnsi="Arial"/>
          <w:sz w:val="17"/>
          <w:szCs w:val="17"/>
          <w:u w:val="single" w:color="auto"/>
          <w:color w:val="0000FF"/>
        </w:rPr>
        <w:t>in Dollars</w:t>
      </w:r>
      <w:r>
        <w:rPr>
          <w:rFonts w:ascii="Arial" w:cs="Arial" w:eastAsia="Arial" w:hAnsi="Arial"/>
          <w:sz w:val="17"/>
          <w:szCs w:val="17"/>
          <w:color w:val="auto"/>
        </w:rPr>
        <w:t xml:space="preserv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490" w:right="459" w:bottom="1440" w:gutter="0" w:footer="0" w:header="0"/>
        </w:sectPr>
      </w:pPr>
    </w:p>
    <w:bookmarkStart w:id="110" w:name="page111"/>
    <w:bookmarkEnd w:id="110"/>
    <w:p>
      <w:pPr>
        <w:ind w:left="-20" w:firstLine="436"/>
        <w:spacing w:after="0" w:line="263" w:lineRule="auto"/>
        <w:tabs>
          <w:tab w:leader="none" w:pos="66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Other Fees, Costs, Charges and Expenses</w:t>
      </w:r>
      <w:r>
        <w:rPr>
          <w:rFonts w:ascii="Arial" w:cs="Arial" w:eastAsia="Arial" w:hAnsi="Arial"/>
          <w:sz w:val="18"/>
          <w:szCs w:val="18"/>
          <w:color w:val="auto"/>
        </w:rPr>
        <w:t>. In addition to the foregoing fees and commissions, the Borrower shall pay or reimburse each Issuing Lender in Dollars for such normal and customary fees, costs, charges and expenses as are incurred or charged by such Issuing Lender in issuing, effecting payment under, amending or otherwise administering any Letter of Credit issued by it.</w:t>
      </w:r>
    </w:p>
    <w:p>
      <w:pPr>
        <w:spacing w:after="0" w:line="75" w:lineRule="exact"/>
        <w:rPr>
          <w:rFonts w:ascii="Arial" w:cs="Arial" w:eastAsia="Arial" w:hAnsi="Arial"/>
          <w:sz w:val="18"/>
          <w:szCs w:val="18"/>
          <w:color w:val="auto"/>
        </w:rPr>
      </w:pPr>
    </w:p>
    <w:p>
      <w:pPr>
        <w:ind w:left="-20" w:right="160" w:firstLine="436"/>
        <w:spacing w:after="0" w:line="277" w:lineRule="auto"/>
        <w:tabs>
          <w:tab w:leader="none" w:pos="672"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The commissions, fees, charges, costs and expenses payable pursuant to this Section 3.3 shall be payable in the applicable currency in which the applicable Letter of Credit is denominated.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L/C Participations</w:t>
      </w:r>
      <w:r>
        <w:rPr>
          <w:rFonts w:ascii="Arial" w:cs="Arial" w:eastAsia="Arial" w:hAnsi="Arial"/>
          <w:sz w:val="18"/>
          <w:szCs w:val="18"/>
          <w:color w:val="auto"/>
        </w:rPr>
        <w:t>.</w:t>
      </w:r>
    </w:p>
    <w:p>
      <w:pPr>
        <w:spacing w:after="0" w:line="117" w:lineRule="exact"/>
        <w:rPr>
          <w:sz w:val="20"/>
          <w:szCs w:val="20"/>
          <w:color w:val="auto"/>
        </w:rPr>
      </w:pPr>
    </w:p>
    <w:p>
      <w:pPr>
        <w:ind w:left="-20" w:right="40" w:firstLine="436"/>
        <w:spacing w:after="0" w:line="269" w:lineRule="auto"/>
        <w:tabs>
          <w:tab w:leader="none" w:pos="665"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 through a Revolving Credit Loan or otherwise in accordance with the terms of this Agreement, such L/C Participant shall pay to such Issuing Lender, in the applicable </w:t>
      </w:r>
      <w:r>
        <w:rPr>
          <w:rFonts w:ascii="Arial" w:cs="Arial" w:eastAsia="Arial" w:hAnsi="Arial"/>
          <w:sz w:val="17"/>
          <w:szCs w:val="17"/>
          <w:color w:val="FF0000"/>
          <w:strike w:val="1"/>
        </w:rPr>
        <w:t>c</w:t>
      </w:r>
      <w:r>
        <w:rPr>
          <w:rFonts w:ascii="Arial" w:cs="Arial" w:eastAsia="Arial" w:hAnsi="Arial"/>
          <w:sz w:val="17"/>
          <w:szCs w:val="17"/>
          <w:u w:val="single" w:color="auto"/>
          <w:color w:val="0000FF"/>
        </w:rPr>
        <w:t>C</w:t>
      </w:r>
      <w:r>
        <w:rPr>
          <w:rFonts w:ascii="Arial" w:cs="Arial" w:eastAsia="Arial" w:hAnsi="Arial"/>
          <w:sz w:val="17"/>
          <w:szCs w:val="17"/>
          <w:color w:val="auto"/>
        </w:rPr>
        <w:t>urrency in which such Letter of Credit is denominated, upon demand at such Issuing Lender’s address for notices specified herein an amount equal to such L/C Participant’s Revolving Credit Commitment Percentage of the amount of such draft, or any part thereof, which is not so reimbursed.</w:t>
      </w:r>
    </w:p>
    <w:p>
      <w:pPr>
        <w:spacing w:after="0" w:line="77" w:lineRule="exact"/>
        <w:rPr>
          <w:rFonts w:ascii="Arial" w:cs="Arial" w:eastAsia="Arial" w:hAnsi="Arial"/>
          <w:sz w:val="17"/>
          <w:szCs w:val="17"/>
          <w:color w:val="auto"/>
        </w:rPr>
      </w:pPr>
    </w:p>
    <w:p>
      <w:pPr>
        <w:ind w:left="-20" w:right="60" w:firstLine="436"/>
        <w:spacing w:after="0" w:line="286" w:lineRule="auto"/>
        <w:tabs>
          <w:tab w:leader="none" w:pos="67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Upon becoming aware of any amount required to be paid by any L/C Participant to any Issuing Lender pursuant to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in respect of any unreimbursed portion of any payment made by such Issuing Lender under any Letter of Credit, issued by it, such Issuing Lender shall notify the Administrative Agent of such unreimbursed amount and the </w:t>
      </w:r>
      <w:r>
        <w:rPr>
          <w:rFonts w:ascii="Arial" w:cs="Arial" w:eastAsia="Arial" w:hAnsi="Arial"/>
          <w:sz w:val="16"/>
          <w:szCs w:val="16"/>
          <w:u w:val="single" w:color="auto"/>
          <w:color w:val="0000FF"/>
        </w:rPr>
        <w:t>Currency thereof and the</w:t>
      </w:r>
      <w:r>
        <w:rPr>
          <w:rFonts w:ascii="Arial" w:cs="Arial" w:eastAsia="Arial" w:hAnsi="Arial"/>
          <w:sz w:val="16"/>
          <w:szCs w:val="16"/>
          <w:color w:val="auto"/>
        </w:rPr>
        <w:t xml:space="preserve"> Administrative Agent shall notify each L/C Participant (with a copy to the applicable Issuing Lender) of the amount</w:t>
      </w:r>
      <w:r>
        <w:rPr>
          <w:rFonts w:ascii="Arial" w:cs="Arial" w:eastAsia="Arial" w:hAnsi="Arial"/>
          <w:sz w:val="16"/>
          <w:szCs w:val="16"/>
          <w:u w:val="single" w:color="auto"/>
          <w:color w:val="0000FF"/>
        </w:rPr>
        <w:t>, Currency</w:t>
      </w:r>
      <w:r>
        <w:rPr>
          <w:rFonts w:ascii="Arial" w:cs="Arial" w:eastAsia="Arial" w:hAnsi="Arial"/>
          <w:sz w:val="16"/>
          <w:szCs w:val="16"/>
          <w:color w:val="auto"/>
        </w:rPr>
        <w:t xml:space="preserve"> and due date of such required payment and such L/C Participant shall pay to the Administrative Agent, in the applicable </w:t>
      </w:r>
      <w:r>
        <w:rPr>
          <w:rFonts w:ascii="Arial" w:cs="Arial" w:eastAsia="Arial" w:hAnsi="Arial"/>
          <w:sz w:val="16"/>
          <w:szCs w:val="16"/>
          <w:color w:val="FF0000"/>
          <w:strike w:val="1"/>
        </w:rPr>
        <w:t>c</w:t>
      </w:r>
      <w:r>
        <w:rPr>
          <w:rFonts w:ascii="Arial" w:cs="Arial" w:eastAsia="Arial" w:hAnsi="Arial"/>
          <w:sz w:val="16"/>
          <w:szCs w:val="16"/>
          <w:u w:val="single" w:color="auto"/>
          <w:color w:val="0000FF"/>
        </w:rPr>
        <w:t>C</w:t>
      </w:r>
      <w:r>
        <w:rPr>
          <w:rFonts w:ascii="Arial" w:cs="Arial" w:eastAsia="Arial" w:hAnsi="Arial"/>
          <w:sz w:val="16"/>
          <w:szCs w:val="16"/>
          <w:color w:val="auto"/>
        </w:rPr>
        <w:t xml:space="preserve">urrency in which such Letter of Credit is denominated, which, in turn shall pay such Issuing Lender, the amount specified on the applicable due date. If any such amount is paid to such Issuing Lender after the date such payment is due, such L/C Participant shall pay to </w:t>
      </w:r>
      <w:r>
        <w:rPr>
          <w:rFonts w:ascii="Arial" w:cs="Arial" w:eastAsia="Arial" w:hAnsi="Arial"/>
          <w:sz w:val="16"/>
          <w:szCs w:val="16"/>
          <w:u w:val="single" w:color="auto"/>
          <w:color w:val="0000FF"/>
        </w:rPr>
        <w:t>the Administrative Agent, which in turn shall pay</w:t>
      </w:r>
      <w:r>
        <w:rPr>
          <w:rFonts w:ascii="Arial" w:cs="Arial" w:eastAsia="Arial" w:hAnsi="Arial"/>
          <w:sz w:val="16"/>
          <w:szCs w:val="16"/>
          <w:color w:val="auto"/>
        </w:rPr>
        <w:t xml:space="preserve"> such Issuing Lender, in the applicable currency in which such Letter of Credit is denominated, on demand, in addition to such amount, the product of (i) such amount,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w:t>
      </w:r>
      <w:r>
        <w:rPr>
          <w:rFonts w:ascii="Arial" w:cs="Arial" w:eastAsia="Arial" w:hAnsi="Arial"/>
          <w:sz w:val="16"/>
          <w:szCs w:val="16"/>
          <w:color w:val="FF0000"/>
          <w:strike w:val="1"/>
        </w:rPr>
        <w:t>daily average</w:t>
      </w:r>
      <w:r>
        <w:rPr>
          <w:rFonts w:ascii="Arial" w:cs="Arial" w:eastAsia="Arial" w:hAnsi="Arial"/>
          <w:sz w:val="16"/>
          <w:szCs w:val="16"/>
          <w:u w:val="single" w:color="auto"/>
          <w:color w:val="0000FF"/>
        </w:rPr>
        <w:t>applicable</w:t>
      </w:r>
      <w:r>
        <w:rPr>
          <w:rFonts w:ascii="Arial" w:cs="Arial" w:eastAsia="Arial" w:hAnsi="Arial"/>
          <w:sz w:val="16"/>
          <w:szCs w:val="16"/>
          <w:color w:val="auto"/>
        </w:rPr>
        <w:t xml:space="preserve"> Overnight Rate as determined by the Administrative Agent during the period from and including the date such payment is due to the date on which such payment is immediately available to such Issuing Lender,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(iii) a fraction the numerator of which is the number of days that elapse during such period and the denominator of which is 360, plus any administrative, processing or similar fees customarily charged by such Issuing Lender in connection with the foregoing.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460" w:top="490" w:right="479" w:bottom="1440" w:gutter="0" w:footer="0" w:header="0"/>
        </w:sectPr>
      </w:pPr>
    </w:p>
    <w:bookmarkStart w:id="111" w:name="page112"/>
    <w:bookmarkEnd w:id="111"/>
    <w:p>
      <w:pPr>
        <w:ind w:left="4" w:right="20" w:firstLine="436"/>
        <w:spacing w:after="0" w:line="273" w:lineRule="auto"/>
        <w:tabs>
          <w:tab w:leader="none" w:pos="686" w:val="left"/>
        </w:tabs>
        <w:numPr>
          <w:ilvl w:val="1"/>
          <w:numId w:val="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w:t>
      </w:r>
      <w:r>
        <w:rPr>
          <w:rFonts w:ascii="Arial" w:cs="Arial" w:eastAsia="Arial" w:hAnsi="Arial"/>
          <w:sz w:val="17"/>
          <w:szCs w:val="17"/>
          <w:color w:val="FF0000"/>
          <w:strike w:val="1"/>
        </w:rPr>
        <w:t>Borrower</w:t>
      </w:r>
      <w:r>
        <w:rPr>
          <w:rFonts w:ascii="Arial" w:cs="Arial" w:eastAsia="Arial" w:hAnsi="Arial"/>
          <w:sz w:val="17"/>
          <w:szCs w:val="17"/>
          <w:u w:val="single" w:color="auto"/>
          <w:color w:val="0000FF"/>
        </w:rPr>
        <w:t>Administrative Agent</w:t>
      </w:r>
      <w:r>
        <w:rPr>
          <w:rFonts w:ascii="Arial" w:cs="Arial" w:eastAsia="Arial" w:hAnsi="Arial"/>
          <w:sz w:val="17"/>
          <w:szCs w:val="17"/>
          <w:color w:val="auto"/>
        </w:rPr>
        <w:t xml:space="preserve"> or otherwise), or any payment of interest on account thereof, such Issuing Lender will distribute to such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such payment received by such Issuing Lender shall be required to be returned by such Issuing Lender, such L/C Participant shall return to </w:t>
      </w:r>
      <w:r>
        <w:rPr>
          <w:rFonts w:ascii="Arial" w:cs="Arial" w:eastAsia="Arial" w:hAnsi="Arial"/>
          <w:sz w:val="17"/>
          <w:szCs w:val="17"/>
          <w:u w:val="single" w:color="auto"/>
          <w:color w:val="0000FF"/>
        </w:rPr>
        <w:t>the Administrative Agent, which shall in turn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pay to</w:t>
      </w:r>
      <w:r>
        <w:rPr>
          <w:rFonts w:ascii="Arial" w:cs="Arial" w:eastAsia="Arial" w:hAnsi="Arial"/>
          <w:sz w:val="17"/>
          <w:szCs w:val="17"/>
          <w:color w:val="0000FF"/>
        </w:rPr>
        <w:t xml:space="preserve"> </w:t>
      </w:r>
      <w:r>
        <w:rPr>
          <w:rFonts w:ascii="Arial" w:cs="Arial" w:eastAsia="Arial" w:hAnsi="Arial"/>
          <w:sz w:val="17"/>
          <w:szCs w:val="17"/>
          <w:color w:val="000000"/>
        </w:rPr>
        <w:t>such Issuing Lender the portion thereof previously distributed by such Issuing Lender to it.</w:t>
      </w:r>
    </w:p>
    <w:p>
      <w:pPr>
        <w:spacing w:after="0" w:line="69" w:lineRule="exact"/>
        <w:rPr>
          <w:rFonts w:ascii="Arial" w:cs="Arial" w:eastAsia="Arial" w:hAnsi="Arial"/>
          <w:sz w:val="17"/>
          <w:szCs w:val="17"/>
          <w:color w:val="auto"/>
        </w:rPr>
      </w:pPr>
    </w:p>
    <w:p>
      <w:pPr>
        <w:ind w:left="4" w:right="40" w:firstLine="436"/>
        <w:spacing w:after="0" w:line="291" w:lineRule="auto"/>
        <w:tabs>
          <w:tab w:leader="none" w:pos="699"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Each L/C Participant’s obligation to make the Revolving Credit Loans referred to in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and to purchase participating interests pursuant to </w:t>
      </w:r>
      <w:r>
        <w:rPr>
          <w:rFonts w:ascii="Arial" w:cs="Arial" w:eastAsia="Arial" w:hAnsi="Arial"/>
          <w:sz w:val="16"/>
          <w:szCs w:val="16"/>
          <w:u w:val="single" w:color="auto"/>
          <w:color w:val="0000FF"/>
        </w:rPr>
        <w:t>this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FF0000"/>
          <w:strike w:val="1"/>
        </w:rPr>
        <w:t>(a)</w:t>
      </w:r>
      <w:r>
        <w:rPr>
          <w:rFonts w:ascii="Arial" w:cs="Arial" w:eastAsia="Arial" w:hAnsi="Arial"/>
          <w:sz w:val="16"/>
          <w:szCs w:val="16"/>
          <w:color w:val="auto"/>
        </w:rPr>
        <w:t xml:space="preserve"> </w:t>
      </w:r>
      <w:r>
        <w:rPr>
          <w:rFonts w:ascii="Arial" w:cs="Arial" w:eastAsia="Arial" w:hAnsi="Arial"/>
          <w:sz w:val="16"/>
          <w:szCs w:val="16"/>
          <w:color w:val="0000FF"/>
        </w:rPr>
        <w:t>or Section 3.5, as applicable,</w:t>
      </w:r>
      <w:r>
        <w:rPr>
          <w:rFonts w:ascii="Arial" w:cs="Arial" w:eastAsia="Arial" w:hAnsi="Arial"/>
          <w:sz w:val="16"/>
          <w:szCs w:val="16"/>
          <w:color w:val="auto"/>
        </w:rPr>
        <w:t xml:space="preserve"> shall be absolute and unconditional and shall not be affected by any circumstance, including</w:t>
      </w:r>
    </w:p>
    <w:p>
      <w:pPr>
        <w:ind w:left="4" w:right="20" w:hanging="4"/>
        <w:spacing w:after="0" w:line="290" w:lineRule="auto"/>
        <w:tabs>
          <w:tab w:leader="none" w:pos="219"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any setoff, counterclaim, recoupment, defense or other right that such Revolving Credit Lender or the Borrower may have against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such</w:t>
      </w:r>
      <w:r>
        <w:rPr>
          <w:rFonts w:ascii="Arial" w:cs="Arial" w:eastAsia="Arial" w:hAnsi="Arial"/>
          <w:sz w:val="16"/>
          <w:szCs w:val="16"/>
          <w:color w:val="auto"/>
        </w:rPr>
        <w:t xml:space="preserve"> Issuing Lender, the Borrower or any other Person for any reason whatsoever, (ii) the occurrence or continuance of a Default or an Event of Default or the failure to satisfy any of the other conditions specified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(iii) any adverse change in the condition (financial or otherwise) of the Borrower, (iv) any breach of this Agreement or any other Loan Document by the Borrower, any other Credit Party or any other Revolving Credit Lender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(v</w:t>
      </w:r>
      <w:r>
        <w:rPr>
          <w:rFonts w:ascii="Arial" w:cs="Arial" w:eastAsia="Arial" w:hAnsi="Arial"/>
          <w:sz w:val="16"/>
          <w:szCs w:val="16"/>
          <w:u w:val="single" w:color="auto"/>
          <w:color w:val="0000FF"/>
        </w:rPr>
        <w:t>) any adverse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change in the relevant exchange rates or in the availability of the relevant Alternative L/C Currency to any L/C Participant or in the relevant currency markets generally or (vi</w:t>
      </w:r>
      <w:r>
        <w:rPr>
          <w:rFonts w:ascii="Arial" w:cs="Arial" w:eastAsia="Arial" w:hAnsi="Arial"/>
          <w:sz w:val="16"/>
          <w:szCs w:val="16"/>
          <w:color w:val="000000"/>
        </w:rPr>
        <w:t>) any other circumstance, happening or event whatsoever, whether or not similar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-846455</wp:posOffset>
            </wp:positionV>
            <wp:extent cx="13462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-871855</wp:posOffset>
            </wp:positionV>
            <wp:extent cx="13455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-374650</wp:posOffset>
            </wp:positionV>
            <wp:extent cx="1193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spacing w:after="0" w:line="14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w:t>
      </w:r>
      <w:r>
        <w:rPr>
          <w:rFonts w:ascii="Arial" w:cs="Arial" w:eastAsia="Arial" w:hAnsi="Arial"/>
          <w:sz w:val="18"/>
          <w:szCs w:val="18"/>
          <w:color w:val="FF0000"/>
        </w:rPr>
        <w:t>of the Borrower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-10160</wp:posOffset>
            </wp:positionV>
            <wp:extent cx="7518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51840" cy="825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-61595</wp:posOffset>
            </wp:positionV>
            <wp:extent cx="7518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51840" cy="8255"/>
                    </a:xfrm>
                    <a:prstGeom prst="rect">
                      <a:avLst/>
                    </a:prstGeom>
                    <a:noFill/>
                  </pic:spPr>
                </pic:pic>
              </a:graphicData>
            </a:graphic>
          </wp:anchor>
        </w:drawing>
      </w:r>
    </w:p>
    <w:p>
      <w:pPr>
        <w:spacing w:after="0" w:line="97" w:lineRule="exact"/>
        <w:rPr>
          <w:sz w:val="20"/>
          <w:szCs w:val="20"/>
          <w:color w:val="auto"/>
        </w:rPr>
      </w:pPr>
    </w:p>
    <w:p>
      <w:pPr>
        <w:ind w:left="684" w:hanging="244"/>
        <w:spacing w:after="0"/>
        <w:tabs>
          <w:tab w:leader="none" w:pos="68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Reimbursement Obligation of the Borrower</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72" w:lineRule="auto"/>
        <w:tabs>
          <w:tab w:leader="none" w:pos="659" w:val="left"/>
        </w:tabs>
        <w:numPr>
          <w:ilvl w:val="0"/>
          <w:numId w:val="91"/>
        </w:numPr>
        <w:rPr>
          <w:rFonts w:ascii="Arial" w:cs="Arial" w:eastAsia="Arial" w:hAnsi="Arial"/>
          <w:sz w:val="17"/>
          <w:szCs w:val="17"/>
          <w:color w:val="FF0000"/>
          <w:strike w:val="1"/>
        </w:rPr>
      </w:pPr>
      <w:r>
        <w:rPr>
          <w:rFonts w:ascii="Arial" w:cs="Arial" w:eastAsia="Arial" w:hAnsi="Arial"/>
          <w:sz w:val="17"/>
          <w:szCs w:val="17"/>
          <w:color w:val="auto"/>
        </w:rPr>
        <w:t xml:space="preserve">In the event of any drawing under any Letter of Credit, the Borrower agrees to reimburse (either with the proceeds of a Revolving Credit Loan as provided for in this Section or with funds from other sources), in Same Day Funds, </w:t>
      </w:r>
      <w:r>
        <w:rPr>
          <w:rFonts w:ascii="Arial" w:cs="Arial" w:eastAsia="Arial" w:hAnsi="Arial"/>
          <w:sz w:val="17"/>
          <w:szCs w:val="17"/>
          <w:u w:val="single" w:color="auto"/>
          <w:color w:val="0000FF"/>
        </w:rPr>
        <w:t>in the Currency of such Letter of Credit,</w:t>
      </w:r>
      <w:r>
        <w:rPr>
          <w:rFonts w:ascii="Arial" w:cs="Arial" w:eastAsia="Arial" w:hAnsi="Arial"/>
          <w:sz w:val="17"/>
          <w:szCs w:val="17"/>
          <w:color w:val="auto"/>
        </w:rPr>
        <w:t xml:space="preserve"> the applicable Issuing Lender </w:t>
      </w:r>
      <w:r>
        <w:rPr>
          <w:rFonts w:ascii="Arial" w:cs="Arial" w:eastAsia="Arial" w:hAnsi="Arial"/>
          <w:sz w:val="17"/>
          <w:szCs w:val="17"/>
          <w:color w:val="FF0000"/>
          <w:strike w:val="1"/>
        </w:rPr>
        <w:t>on each date on which such Issuing Lender notifies the Borrower of the date and amount of a draft paid by it under any Letter of Credit</w:t>
      </w:r>
      <w:r>
        <w:rPr>
          <w:rFonts w:ascii="Arial" w:cs="Arial" w:eastAsia="Arial" w:hAnsi="Arial"/>
          <w:sz w:val="17"/>
          <w:szCs w:val="17"/>
          <w:u w:val="single" w:color="auto"/>
          <w:color w:val="0000FF"/>
        </w:rPr>
        <w:t>by paying</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to the Administrative Agent the amount of such drawing not later than 12:00 noon on (i) the Business Day that the Borrower receives notice of such drawing, if such notice is received by the Borrower prior to 10:00 a.m., or (ii) the Business Day immediately following the day that the Borrower receives such notice, if such notice is not received prior to such time,</w:t>
      </w:r>
      <w:r>
        <w:rPr>
          <w:rFonts w:ascii="Arial" w:cs="Arial" w:eastAsia="Arial" w:hAnsi="Arial"/>
          <w:sz w:val="17"/>
          <w:szCs w:val="17"/>
          <w:color w:val="0000FF"/>
        </w:rPr>
        <w:t xml:space="preserve"> </w:t>
      </w:r>
      <w:r>
        <w:rPr>
          <w:rFonts w:ascii="Arial" w:cs="Arial" w:eastAsia="Arial" w:hAnsi="Arial"/>
          <w:sz w:val="17"/>
          <w:szCs w:val="17"/>
          <w:color w:val="000000"/>
        </w:rPr>
        <w:t>for the amount of (</w:t>
      </w:r>
      <w:r>
        <w:rPr>
          <w:rFonts w:ascii="Arial" w:cs="Arial" w:eastAsia="Arial" w:hAnsi="Arial"/>
          <w:sz w:val="17"/>
          <w:szCs w:val="17"/>
          <w:color w:val="FF0000"/>
          <w:strike w:val="1"/>
        </w:rPr>
        <w:t>A</w:t>
      </w:r>
      <w:r>
        <w:rPr>
          <w:rFonts w:ascii="Arial" w:cs="Arial" w:eastAsia="Arial" w:hAnsi="Arial"/>
          <w:sz w:val="17"/>
          <w:szCs w:val="17"/>
          <w:u w:val="single" w:color="auto"/>
          <w:color w:val="0000FF"/>
        </w:rPr>
        <w:t>x</w:t>
      </w:r>
      <w:r>
        <w:rPr>
          <w:rFonts w:ascii="Arial" w:cs="Arial" w:eastAsia="Arial" w:hAnsi="Arial"/>
          <w:sz w:val="17"/>
          <w:szCs w:val="17"/>
          <w:color w:val="000000"/>
        </w:rPr>
        <w:t>) such draft so paid and (</w:t>
      </w:r>
      <w:r>
        <w:rPr>
          <w:rFonts w:ascii="Arial" w:cs="Arial" w:eastAsia="Arial" w:hAnsi="Arial"/>
          <w:sz w:val="17"/>
          <w:szCs w:val="17"/>
          <w:color w:val="FF0000"/>
          <w:strike w:val="1"/>
        </w:rPr>
        <w:t>B</w:t>
      </w:r>
      <w:r>
        <w:rPr>
          <w:rFonts w:ascii="Arial" w:cs="Arial" w:eastAsia="Arial" w:hAnsi="Arial"/>
          <w:sz w:val="17"/>
          <w:szCs w:val="17"/>
          <w:u w:val="single" w:color="auto"/>
          <w:color w:val="0000FF"/>
        </w:rPr>
        <w:t>y</w:t>
      </w:r>
      <w:r>
        <w:rPr>
          <w:rFonts w:ascii="Arial" w:cs="Arial" w:eastAsia="Arial" w:hAnsi="Arial"/>
          <w:sz w:val="17"/>
          <w:szCs w:val="17"/>
          <w:color w:val="000000"/>
        </w:rPr>
        <w:t>) any amounts referred to in</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3.3(c)</w:t>
      </w:r>
      <w:r>
        <w:rPr>
          <w:rFonts w:ascii="Arial" w:cs="Arial" w:eastAsia="Arial" w:hAnsi="Arial"/>
          <w:sz w:val="17"/>
          <w:szCs w:val="17"/>
          <w:color w:val="000000"/>
        </w:rPr>
        <w:t xml:space="preserve"> incurred by such Issuing Lender in connection with such payment.</w:t>
      </w:r>
    </w:p>
    <w:p>
      <w:pPr>
        <w:spacing w:after="0" w:line="69" w:lineRule="exact"/>
        <w:rPr>
          <w:rFonts w:ascii="Arial" w:cs="Arial" w:eastAsia="Arial" w:hAnsi="Arial"/>
          <w:sz w:val="17"/>
          <w:szCs w:val="17"/>
          <w:color w:val="FF0000"/>
          <w:strike w:val="1"/>
        </w:rPr>
      </w:pPr>
    </w:p>
    <w:p>
      <w:pPr>
        <w:ind w:left="444" w:right="140" w:firstLine="419"/>
        <w:spacing w:after="0" w:line="289" w:lineRule="auto"/>
        <w:tabs>
          <w:tab w:leader="none" w:pos="1132" w:val="left"/>
        </w:tabs>
        <w:numPr>
          <w:ilvl w:val="1"/>
          <w:numId w:val="91"/>
        </w:numPr>
        <w:rPr>
          <w:rFonts w:ascii="Arial" w:cs="Arial" w:eastAsia="Arial" w:hAnsi="Arial"/>
          <w:sz w:val="16"/>
          <w:szCs w:val="16"/>
          <w:color w:val="FF0000"/>
          <w:strike w:val="1"/>
        </w:rPr>
      </w:pPr>
      <w:r>
        <w:rPr>
          <w:rFonts w:ascii="Arial" w:cs="Arial" w:eastAsia="Arial" w:hAnsi="Arial"/>
          <w:sz w:val="16"/>
          <w:szCs w:val="16"/>
          <w:color w:val="FF0000"/>
          <w:strike w:val="1"/>
        </w:rPr>
        <w:t>In the case of a Letter of Credit denominated in an Alternative Currency, the Borrower shall reimburse such Issuing Lender in such Alternative Currency, unless (A) such Issuing Lender (at its option) shall have specified in such notice that it will require reimbursement in Dollars or (B) in the absence of any such requirement for reimbursement in Dollars, the Borrower shall have notified such Issuing Lender promptly following receipt of the notice of drawing that the Borrower will reimburse such Issuing Lender in Dollars. In the case of any such reimbursement in Dollars of a drawing under a Letter of Credit denominated in an Alternative Currency, such Issuing Lender shall notify the Borrower of the Dollar Equivalent of the amount of the drawing promptly following the determination thereof. Not later than 11:00 a.m. on the date of any payment by such Issuing Lender under a Letter of Credit to be reimbursed in Dollars, or the Applicable Time on the date of any payment by such Issuing Lender under a Letter of Credit to be reimbursed in an Alternative Currency, the Borrower shall reimburse such Issuing Lender through the Administrative Agent in an amount equal to the amount of such drawing and in the applicable currency.</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490" w:right="459" w:bottom="1440" w:gutter="0" w:footer="0" w:header="0"/>
        </w:sectPr>
      </w:pPr>
    </w:p>
    <w:bookmarkStart w:id="112" w:name="page113"/>
    <w:bookmarkEnd w:id="112"/>
    <w:p>
      <w:pPr>
        <w:ind w:firstLine="436"/>
        <w:spacing w:after="0" w:line="285"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Reimbursement by the Lenders</w:t>
      </w:r>
      <w:r>
        <w:rPr>
          <w:rFonts w:ascii="Arial" w:cs="Arial" w:eastAsia="Arial" w:hAnsi="Arial"/>
          <w:sz w:val="16"/>
          <w:szCs w:val="16"/>
          <w:color w:val="auto"/>
        </w:rPr>
        <w:t xml:space="preserve">. Unless the Borrower shall immediately notify </w:t>
      </w:r>
      <w:r>
        <w:rPr>
          <w:rFonts w:ascii="Arial" w:cs="Arial" w:eastAsia="Arial" w:hAnsi="Arial"/>
          <w:sz w:val="16"/>
          <w:szCs w:val="16"/>
          <w:u w:val="single" w:color="auto"/>
          <w:color w:val="0000FF"/>
        </w:rPr>
        <w:t>the Administrative Agent and</w:t>
      </w:r>
      <w:r>
        <w:rPr>
          <w:rFonts w:ascii="Arial" w:cs="Arial" w:eastAsia="Arial" w:hAnsi="Arial"/>
          <w:sz w:val="16"/>
          <w:szCs w:val="16"/>
          <w:color w:val="auto"/>
        </w:rPr>
        <w:t xml:space="preserve"> such Issuing Lender that the Borrower intends to reimburse such Issuing Lender for such drawing from other sources or funds, the Borrower shall be deemed to have timely given a Notice of Borrowing to the Administrative Agent requesting that the Revolving Credit Lenders make a Revolving Credit Loan </w:t>
      </w:r>
      <w:r>
        <w:rPr>
          <w:rFonts w:ascii="Arial" w:cs="Arial" w:eastAsia="Arial" w:hAnsi="Arial"/>
          <w:sz w:val="16"/>
          <w:szCs w:val="16"/>
          <w:color w:val="FF0000"/>
          <w:strike w:val="1"/>
        </w:rPr>
        <w:t>funded</w:t>
      </w:r>
      <w:r>
        <w:rPr>
          <w:rFonts w:ascii="Arial" w:cs="Arial" w:eastAsia="Arial" w:hAnsi="Arial"/>
          <w:sz w:val="16"/>
          <w:szCs w:val="16"/>
          <w:u w:val="single" w:color="auto"/>
          <w:color w:val="0000FF"/>
        </w:rPr>
        <w:t>denominated</w:t>
      </w:r>
      <w:r>
        <w:rPr>
          <w:rFonts w:ascii="Arial" w:cs="Arial" w:eastAsia="Arial" w:hAnsi="Arial"/>
          <w:sz w:val="16"/>
          <w:szCs w:val="16"/>
          <w:color w:val="auto"/>
        </w:rPr>
        <w:t xml:space="preserve"> in Dollars as a Base Rate Loan on the applicable repayment date in the </w:t>
      </w:r>
      <w:r>
        <w:rPr>
          <w:rFonts w:ascii="Arial" w:cs="Arial" w:eastAsia="Arial" w:hAnsi="Arial"/>
          <w:sz w:val="16"/>
          <w:szCs w:val="16"/>
          <w:u w:val="single" w:color="auto"/>
          <w:color w:val="0000FF"/>
        </w:rPr>
        <w:t>amount ((x) if such drawing is denominated in an Alternative L/C Currency, with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such reimbursement obligation hereunder converted to a reimbursement obligation in an amount equal to the</w:t>
      </w:r>
      <w:r>
        <w:rPr>
          <w:rFonts w:ascii="Arial" w:cs="Arial" w:eastAsia="Arial" w:hAnsi="Arial"/>
          <w:sz w:val="16"/>
          <w:szCs w:val="16"/>
          <w:color w:val="0000FF"/>
        </w:rPr>
        <w:t xml:space="preserve"> </w:t>
      </w:r>
      <w:r>
        <w:rPr>
          <w:rFonts w:ascii="Arial" w:cs="Arial" w:eastAsia="Arial" w:hAnsi="Arial"/>
          <w:sz w:val="16"/>
          <w:szCs w:val="16"/>
          <w:color w:val="000000"/>
        </w:rPr>
        <w:t>Dollar Equivalent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of such amount in such</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Alternative L/C Currency and (y) without regard to the minimum and multiples specified in Section 2.3(a))</w:t>
      </w:r>
      <w:r>
        <w:rPr>
          <w:rFonts w:ascii="Arial" w:cs="Arial" w:eastAsia="Arial" w:hAnsi="Arial"/>
          <w:sz w:val="16"/>
          <w:szCs w:val="16"/>
          <w:color w:val="0000FF"/>
        </w:rPr>
        <w:t xml:space="preserve"> </w:t>
      </w:r>
      <w:r>
        <w:rPr>
          <w:rFonts w:ascii="Arial" w:cs="Arial" w:eastAsia="Arial" w:hAnsi="Arial"/>
          <w:sz w:val="16"/>
          <w:szCs w:val="16"/>
          <w:color w:val="000000"/>
        </w:rPr>
        <w:t>of (i) such draft so paid and (ii) any amounts</w:t>
      </w:r>
      <w:r>
        <w:rPr>
          <w:rFonts w:ascii="Arial" w:cs="Arial" w:eastAsia="Arial" w:hAnsi="Arial"/>
          <w:sz w:val="16"/>
          <w:szCs w:val="16"/>
          <w:color w:val="0000FF"/>
        </w:rPr>
        <w:t xml:space="preserve"> </w:t>
      </w:r>
      <w:r>
        <w:rPr>
          <w:rFonts w:ascii="Arial" w:cs="Arial" w:eastAsia="Arial" w:hAnsi="Arial"/>
          <w:sz w:val="16"/>
          <w:szCs w:val="16"/>
          <w:color w:val="000000"/>
        </w:rPr>
        <w:t xml:space="preserve">referred to in </w:t>
      </w:r>
      <w:r>
        <w:rPr>
          <w:rFonts w:ascii="Arial" w:cs="Arial" w:eastAsia="Arial" w:hAnsi="Arial"/>
          <w:sz w:val="16"/>
          <w:szCs w:val="16"/>
          <w:u w:val="single" w:color="auto"/>
          <w:color w:val="000000"/>
        </w:rPr>
        <w:t>Section 3.3(c)</w:t>
      </w:r>
      <w:r>
        <w:rPr>
          <w:rFonts w:ascii="Arial" w:cs="Arial" w:eastAsia="Arial" w:hAnsi="Arial"/>
          <w:sz w:val="16"/>
          <w:szCs w:val="16"/>
          <w:color w:val="000000"/>
        </w:rPr>
        <w:t xml:space="preserve"> incurred by such Issuing Lender in connection with such payment (including</w:t>
      </w:r>
      <w:r>
        <w:rPr>
          <w:rFonts w:ascii="Arial" w:cs="Arial" w:eastAsia="Arial" w:hAnsi="Arial"/>
          <w:sz w:val="16"/>
          <w:szCs w:val="16"/>
          <w:color w:val="FF0000"/>
          <w:strike w:val="1"/>
        </w:rPr>
        <w:t>, without limitation,</w:t>
      </w:r>
      <w:r>
        <w:rPr>
          <w:rFonts w:ascii="Arial" w:cs="Arial" w:eastAsia="Arial" w:hAnsi="Arial"/>
          <w:sz w:val="16"/>
          <w:szCs w:val="16"/>
          <w:color w:val="000000"/>
        </w:rPr>
        <w:t xml:space="preserve"> any and all costs, fees and other expenses incurred by the </w:t>
      </w:r>
      <w:r>
        <w:rPr>
          <w:rFonts w:ascii="Arial" w:cs="Arial" w:eastAsia="Arial" w:hAnsi="Arial"/>
          <w:sz w:val="16"/>
          <w:szCs w:val="16"/>
          <w:u w:val="single" w:color="auto"/>
          <w:color w:val="0000FF"/>
        </w:rPr>
        <w:t>applicable</w:t>
      </w:r>
      <w:r>
        <w:rPr>
          <w:rFonts w:ascii="Arial" w:cs="Arial" w:eastAsia="Arial" w:hAnsi="Arial"/>
          <w:sz w:val="16"/>
          <w:szCs w:val="16"/>
          <w:color w:val="000000"/>
        </w:rPr>
        <w:t xml:space="preserve"> Issuing Lender in effecting the payment of any Letter of Credit denominated in an Alternative L/C Currency), and the Revolving Credit Lenders shall make a Revolving Credit Loan </w:t>
      </w:r>
      <w:r>
        <w:rPr>
          <w:rFonts w:ascii="Arial" w:cs="Arial" w:eastAsia="Arial" w:hAnsi="Arial"/>
          <w:sz w:val="16"/>
          <w:szCs w:val="16"/>
          <w:color w:val="FF0000"/>
          <w:strike w:val="1"/>
        </w:rPr>
        <w:t>funded</w:t>
      </w:r>
      <w:r>
        <w:rPr>
          <w:rFonts w:ascii="Arial" w:cs="Arial" w:eastAsia="Arial" w:hAnsi="Arial"/>
          <w:sz w:val="16"/>
          <w:szCs w:val="16"/>
          <w:u w:val="single" w:color="auto"/>
          <w:color w:val="0000FF"/>
        </w:rPr>
        <w:t>denominated</w:t>
      </w:r>
      <w:r>
        <w:rPr>
          <w:rFonts w:ascii="Arial" w:cs="Arial" w:eastAsia="Arial" w:hAnsi="Arial"/>
          <w:sz w:val="16"/>
          <w:szCs w:val="16"/>
          <w:color w:val="000000"/>
        </w:rPr>
        <w:t xml:space="preserve"> in Dollars as a Base Rate Loan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color w:val="FF0000"/>
          <w:strike w:val="1"/>
        </w:rPr>
        <w:t>without limitation,</w:t>
      </w:r>
      <w:r>
        <w:rPr>
          <w:rFonts w:ascii="Arial" w:cs="Arial" w:eastAsia="Arial" w:hAnsi="Arial"/>
          <w:sz w:val="16"/>
          <w:szCs w:val="16"/>
          <w:color w:val="FF0000"/>
        </w:rPr>
        <w:t xml:space="preserve"> </w:t>
      </w:r>
      <w:r>
        <w:rPr>
          <w:rFonts w:ascii="Arial" w:cs="Arial" w:eastAsia="Arial" w:hAnsi="Arial"/>
          <w:sz w:val="16"/>
          <w:szCs w:val="16"/>
          <w:color w:val="000000"/>
        </w:rPr>
        <w:t>non-satisfaction of the conditions set forth in</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2.3(a)</w:t>
      </w:r>
      <w:r>
        <w:rPr>
          <w:rFonts w:ascii="Arial" w:cs="Arial" w:eastAsia="Arial" w:hAnsi="Arial"/>
          <w:sz w:val="16"/>
          <w:szCs w:val="16"/>
          <w:color w:val="FF0000"/>
        </w:rPr>
        <w:t xml:space="preserve"> </w:t>
      </w:r>
      <w:r>
        <w:rPr>
          <w:rFonts w:ascii="Arial" w:cs="Arial" w:eastAsia="Arial" w:hAnsi="Arial"/>
          <w:sz w:val="16"/>
          <w:szCs w:val="16"/>
          <w:color w:val="000000"/>
        </w:rPr>
        <w:t>or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Article VI</w:t>
      </w:r>
      <w:r>
        <w:rPr>
          <w:rFonts w:ascii="Arial" w:cs="Arial" w:eastAsia="Arial" w:hAnsi="Arial"/>
          <w:sz w:val="16"/>
          <w:szCs w:val="16"/>
          <w:color w:val="000000"/>
        </w:rPr>
        <w:t>. If the Borrower has elected to pay the amount of such</w:t>
      </w:r>
      <w:r>
        <w:rPr>
          <w:rFonts w:ascii="Arial" w:cs="Arial" w:eastAsia="Arial" w:hAnsi="Arial"/>
          <w:sz w:val="16"/>
          <w:szCs w:val="16"/>
          <w:color w:val="FF0000"/>
        </w:rPr>
        <w:t xml:space="preserve"> </w:t>
      </w:r>
      <w:r>
        <w:rPr>
          <w:rFonts w:ascii="Arial" w:cs="Arial" w:eastAsia="Arial" w:hAnsi="Arial"/>
          <w:sz w:val="16"/>
          <w:szCs w:val="16"/>
          <w:color w:val="000000"/>
        </w:rPr>
        <w:t xml:space="preserve">drawing with funds from other sources and shall fail to reimburse such Issuing Lender </w:t>
      </w:r>
      <w:r>
        <w:rPr>
          <w:rFonts w:ascii="Arial" w:cs="Arial" w:eastAsia="Arial" w:hAnsi="Arial"/>
          <w:sz w:val="16"/>
          <w:szCs w:val="16"/>
          <w:u w:val="single" w:color="auto"/>
          <w:color w:val="0000FF"/>
        </w:rPr>
        <w:t>in the applicable Currency</w:t>
      </w:r>
      <w:r>
        <w:rPr>
          <w:rFonts w:ascii="Arial" w:cs="Arial" w:eastAsia="Arial" w:hAnsi="Arial"/>
          <w:sz w:val="16"/>
          <w:szCs w:val="16"/>
          <w:color w:val="000000"/>
        </w:rPr>
        <w:t xml:space="preserve"> as provided above, or if the amount of such drawing is not fully refunded through a Base Rate Loan as provided above, the unreimbursed amount of such drawing shall bear interest at the rate which would be payable on any outstanding Base Rate Loans which were then overdue from the date such amounts become payable (whether at stated maturity, by acceleration or otherwise) until </w:t>
      </w:r>
      <w:r>
        <w:rPr>
          <w:rFonts w:ascii="Arial" w:cs="Arial" w:eastAsia="Arial" w:hAnsi="Arial"/>
          <w:sz w:val="16"/>
          <w:szCs w:val="16"/>
          <w:color w:val="FF0000"/>
          <w:strike w:val="1"/>
        </w:rPr>
        <w:t>payment</w:t>
      </w:r>
      <w:r>
        <w:rPr>
          <w:rFonts w:ascii="Arial" w:cs="Arial" w:eastAsia="Arial" w:hAnsi="Arial"/>
          <w:sz w:val="16"/>
          <w:szCs w:val="16"/>
          <w:u w:val="single" w:color="auto"/>
          <w:color w:val="0000FF"/>
        </w:rPr>
        <w:t>paid</w:t>
      </w:r>
      <w:r>
        <w:rPr>
          <w:rFonts w:ascii="Arial" w:cs="Arial" w:eastAsia="Arial" w:hAnsi="Arial"/>
          <w:sz w:val="16"/>
          <w:szCs w:val="16"/>
          <w:color w:val="000000"/>
        </w:rPr>
        <w:t xml:space="preserve"> in full.</w:t>
      </w:r>
    </w:p>
    <w:p>
      <w:pPr>
        <w:spacing w:after="0" w:line="65" w:lineRule="exact"/>
        <w:rPr>
          <w:rFonts w:ascii="Arial" w:cs="Arial" w:eastAsia="Arial" w:hAnsi="Arial"/>
          <w:sz w:val="16"/>
          <w:szCs w:val="16"/>
          <w:color w:val="auto"/>
        </w:rPr>
      </w:pPr>
    </w:p>
    <w:p>
      <w:pPr>
        <w:ind w:right="60" w:firstLine="436"/>
        <w:spacing w:after="0" w:line="293" w:lineRule="auto"/>
        <w:tabs>
          <w:tab w:leader="none" w:pos="685" w:val="left"/>
        </w:tabs>
        <w:numPr>
          <w:ilvl w:val="0"/>
          <w:numId w:val="92"/>
        </w:numPr>
        <w:rPr>
          <w:rFonts w:ascii="Arial" w:cs="Arial" w:eastAsia="Arial" w:hAnsi="Arial"/>
          <w:sz w:val="16"/>
          <w:szCs w:val="16"/>
          <w:u w:val="single" w:color="auto"/>
          <w:color w:val="0000FF"/>
        </w:rPr>
      </w:pPr>
      <w:r>
        <w:rPr>
          <w:rFonts w:ascii="Arial" w:cs="Arial" w:eastAsia="Arial" w:hAnsi="Arial"/>
          <w:sz w:val="16"/>
          <w:szCs w:val="16"/>
          <w:color w:val="FF0000"/>
          <w:strike w:val="1"/>
        </w:rPr>
        <w:t>(c)</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Exchange Indemnification and Increased Costs</w:t>
      </w:r>
      <w:r>
        <w:rPr>
          <w:rFonts w:ascii="Arial" w:cs="Arial" w:eastAsia="Arial" w:hAnsi="Arial"/>
          <w:sz w:val="16"/>
          <w:szCs w:val="16"/>
          <w:color w:val="000000"/>
        </w:rPr>
        <w:t>. The Borrower shall, upon demand from any Issuing Lender or L/C Participant, pay to such</w:t>
      </w:r>
      <w:r>
        <w:rPr>
          <w:rFonts w:ascii="Arial" w:cs="Arial" w:eastAsia="Arial" w:hAnsi="Arial"/>
          <w:sz w:val="16"/>
          <w:szCs w:val="16"/>
          <w:color w:val="FF0000"/>
        </w:rPr>
        <w:t xml:space="preserve"> </w:t>
      </w:r>
      <w:r>
        <w:rPr>
          <w:rFonts w:ascii="Arial" w:cs="Arial" w:eastAsia="Arial" w:hAnsi="Arial"/>
          <w:sz w:val="16"/>
          <w:szCs w:val="16"/>
          <w:color w:val="000000"/>
        </w:rPr>
        <w:t>Issuing Lender or L/C Participant, the amount of (i) any loss or cost or increased cost incurred by such Issuing Lender or L/C Participant, (ii) any reduction in any amount payable to or in the effective return on the capital to such Issuing Lender or L/C Participant</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color w:val="0000FF"/>
        </w:rPr>
        <w:t>and</w:t>
      </w:r>
      <w:r>
        <w:rPr>
          <w:rFonts w:ascii="Arial" w:cs="Arial" w:eastAsia="Arial" w:hAnsi="Arial"/>
          <w:sz w:val="16"/>
          <w:szCs w:val="16"/>
          <w:color w:val="000000"/>
        </w:rPr>
        <w:t xml:space="preserve"> (iii) any currency exchange loss, in each case that such Issuing Lender or L/C Participant sustains as a result of the Borrower’s repayment in Dollars of any Letter of Credit denominated in an Alternative L/C Currency. A certificate of such Issuing Lender setting forth in reasonable detail the basis for determining such additional amount or amounts necessary to compensate such Issuing Lender shall be conclusively presumed to be correct save for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-434340</wp:posOffset>
            </wp:positionV>
            <wp:extent cx="1968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-460375</wp:posOffset>
            </wp:positionV>
            <wp:extent cx="1936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3.6 Obligations Absolute.</w:t>
      </w:r>
    </w:p>
    <w:p>
      <w:pPr>
        <w:spacing w:after="0" w:line="117" w:lineRule="exact"/>
        <w:rPr>
          <w:sz w:val="20"/>
          <w:szCs w:val="20"/>
          <w:color w:val="auto"/>
        </w:rPr>
      </w:pPr>
    </w:p>
    <w:p>
      <w:pPr>
        <w:ind w:right="460" w:firstLine="436"/>
        <w:spacing w:after="0" w:line="263" w:lineRule="auto"/>
        <w:tabs>
          <w:tab w:leader="none" w:pos="685" w:val="left"/>
        </w:tabs>
        <w:numPr>
          <w:ilvl w:val="0"/>
          <w:numId w:val="93"/>
        </w:numPr>
        <w:rPr>
          <w:rFonts w:ascii="Arial" w:cs="Arial" w:eastAsia="Arial" w:hAnsi="Arial"/>
          <w:sz w:val="18"/>
          <w:szCs w:val="18"/>
          <w:u w:val="single" w:color="auto"/>
          <w:color w:val="0000FF"/>
        </w:rPr>
      </w:pPr>
      <w:r>
        <w:rPr>
          <w:rFonts w:ascii="Arial" w:cs="Arial" w:eastAsia="Arial" w:hAnsi="Arial"/>
          <w:sz w:val="18"/>
          <w:szCs w:val="18"/>
          <w:color w:val="FF0000"/>
          <w:strike w:val="1"/>
        </w:rPr>
        <w:t>SECTION 3.6</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Obligations Absolute</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00000"/>
        </w:rPr>
        <w:t>The Borrower’s obligations under this</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Article III</w:t>
      </w:r>
      <w:r>
        <w:rPr>
          <w:rFonts w:ascii="Arial" w:cs="Arial" w:eastAsia="Arial" w:hAnsi="Arial"/>
          <w:sz w:val="18"/>
          <w:szCs w:val="18"/>
          <w:color w:val="FF0000"/>
        </w:rPr>
        <w:t xml:space="preserve"> </w:t>
      </w:r>
      <w:r>
        <w:rPr>
          <w:rFonts w:ascii="Arial" w:cs="Arial" w:eastAsia="Arial" w:hAnsi="Arial"/>
          <w:sz w:val="18"/>
          <w:szCs w:val="18"/>
          <w:color w:val="000000"/>
        </w:rPr>
        <w:t>(including</w:t>
      </w:r>
      <w:r>
        <w:rPr>
          <w:rFonts w:ascii="Arial" w:cs="Arial" w:eastAsia="Arial" w:hAnsi="Arial"/>
          <w:sz w:val="18"/>
          <w:szCs w:val="18"/>
          <w:color w:val="FF0000"/>
          <w:strike w:val="1"/>
        </w:rPr>
        <w:t>, without limitation,</w:t>
      </w:r>
      <w:r>
        <w:rPr>
          <w:rFonts w:ascii="Arial" w:cs="Arial" w:eastAsia="Arial" w:hAnsi="Arial"/>
          <w:sz w:val="18"/>
          <w:szCs w:val="18"/>
          <w:color w:val="FF0000"/>
        </w:rPr>
        <w:t xml:space="preserve"> </w:t>
      </w:r>
      <w:r>
        <w:rPr>
          <w:rFonts w:ascii="Arial" w:cs="Arial" w:eastAsia="Arial" w:hAnsi="Arial"/>
          <w:sz w:val="18"/>
          <w:szCs w:val="18"/>
          <w:color w:val="000000"/>
        </w:rPr>
        <w:t>the Reimbursement</w:t>
      </w:r>
      <w:r>
        <w:rPr>
          <w:rFonts w:ascii="Arial" w:cs="Arial" w:eastAsia="Arial" w:hAnsi="Arial"/>
          <w:sz w:val="18"/>
          <w:szCs w:val="18"/>
          <w:color w:val="FF0000"/>
        </w:rPr>
        <w:t xml:space="preserve"> </w:t>
      </w:r>
      <w:r>
        <w:rPr>
          <w:rFonts w:ascii="Arial" w:cs="Arial" w:eastAsia="Arial" w:hAnsi="Arial"/>
          <w:sz w:val="18"/>
          <w:szCs w:val="18"/>
          <w:color w:val="000000"/>
        </w:rPr>
        <w:t xml:space="preserve">Obligation) shall be absolute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unconditional </w:t>
      </w:r>
      <w:r>
        <w:rPr>
          <w:rFonts w:ascii="Arial" w:cs="Arial" w:eastAsia="Arial" w:hAnsi="Arial"/>
          <w:sz w:val="18"/>
          <w:szCs w:val="18"/>
          <w:u w:val="single" w:color="auto"/>
          <w:color w:val="0000FF"/>
        </w:rPr>
        <w:t>and irrevocable</w:t>
      </w:r>
      <w:r>
        <w:rPr>
          <w:rFonts w:ascii="Arial" w:cs="Arial" w:eastAsia="Arial" w:hAnsi="Arial"/>
          <w:sz w:val="18"/>
          <w:szCs w:val="18"/>
          <w:color w:val="000000"/>
        </w:rPr>
        <w:t xml:space="preserve"> under any and all circumstances </w:t>
      </w:r>
      <w:r>
        <w:rPr>
          <w:rFonts w:ascii="Arial" w:cs="Arial" w:eastAsia="Arial" w:hAnsi="Arial"/>
          <w:sz w:val="18"/>
          <w:szCs w:val="18"/>
          <w:u w:val="single" w:color="auto"/>
          <w:color w:val="0000FF"/>
        </w:rPr>
        <w:t>whatsoever, and shall be performed strictly in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accordance with the terms of this Agreement,</w:t>
      </w:r>
      <w:r>
        <w:rPr>
          <w:rFonts w:ascii="Arial" w:cs="Arial" w:eastAsia="Arial" w:hAnsi="Arial"/>
          <w:sz w:val="18"/>
          <w:szCs w:val="18"/>
          <w:color w:val="0000FF"/>
        </w:rPr>
        <w:t xml:space="preserve"> </w:t>
      </w:r>
      <w:r>
        <w:rPr>
          <w:rFonts w:ascii="Arial" w:cs="Arial" w:eastAsia="Arial" w:hAnsi="Arial"/>
          <w:sz w:val="18"/>
          <w:szCs w:val="18"/>
          <w:color w:val="000000"/>
        </w:rPr>
        <w:t>and irrespective of</w:t>
      </w:r>
      <w:r>
        <w:rPr>
          <w:rFonts w:ascii="Arial" w:cs="Arial" w:eastAsia="Arial" w:hAnsi="Arial"/>
          <w:sz w:val="18"/>
          <w:szCs w:val="18"/>
          <w:color w:val="0000FF"/>
        </w:rPr>
        <w:t xml:space="preserve"> </w:t>
      </w:r>
      <w:r>
        <w:rPr>
          <w:rFonts w:ascii="Arial" w:cs="Arial" w:eastAsia="Arial" w:hAnsi="Arial"/>
          <w:sz w:val="18"/>
          <w:szCs w:val="18"/>
          <w:color w:val="FF0000"/>
        </w:rPr>
        <w:t>any set off,</w:t>
      </w:r>
      <w:r>
        <w:rPr>
          <w:rFonts w:ascii="Arial" w:cs="Arial" w:eastAsia="Arial" w:hAnsi="Arial"/>
          <w:sz w:val="18"/>
          <w:szCs w:val="18"/>
          <w:u w:val="single" w:color="auto"/>
          <w:color w:val="0000FF"/>
        </w:rPr>
        <w:t>:</w:t>
      </w:r>
    </w:p>
    <w:p>
      <w:pPr>
        <w:spacing w:after="0" w:line="75" w:lineRule="exact"/>
        <w:rPr>
          <w:rFonts w:ascii="Arial" w:cs="Arial" w:eastAsia="Arial" w:hAnsi="Arial"/>
          <w:sz w:val="18"/>
          <w:szCs w:val="18"/>
          <w:u w:val="single" w:color="auto"/>
          <w:color w:val="0000FF"/>
        </w:rPr>
      </w:pPr>
    </w:p>
    <w:p>
      <w:pPr>
        <w:ind w:left="440" w:right="140" w:firstLine="419"/>
        <w:spacing w:after="0" w:line="277" w:lineRule="auto"/>
        <w:tabs>
          <w:tab w:leader="none" w:pos="1078" w:val="left"/>
        </w:tabs>
        <w:numPr>
          <w:ilvl w:val="1"/>
          <w:numId w:val="9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lack of validity or enforceability of any Letter of Credit, any Letter of Credit Document or this Agreement, or any term or provision therein or herein;</w:t>
      </w:r>
    </w:p>
    <w:p>
      <w:pPr>
        <w:spacing w:after="0" w:line="62" w:lineRule="exact"/>
        <w:rPr>
          <w:rFonts w:ascii="Arial" w:cs="Arial" w:eastAsia="Arial" w:hAnsi="Arial"/>
          <w:sz w:val="18"/>
          <w:szCs w:val="18"/>
          <w:u w:val="single" w:color="auto"/>
          <w:color w:val="0000FF"/>
        </w:rPr>
      </w:pPr>
    </w:p>
    <w:p>
      <w:pPr>
        <w:ind w:left="440" w:right="40" w:firstLine="419"/>
        <w:spacing w:after="0" w:line="279" w:lineRule="auto"/>
        <w:tabs>
          <w:tab w:leader="none" w:pos="1128" w:val="left"/>
        </w:tabs>
        <w:numPr>
          <w:ilvl w:val="1"/>
          <w:numId w:val="9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existence of any claim,</w:t>
      </w:r>
      <w:r>
        <w:rPr>
          <w:rFonts w:ascii="Arial" w:cs="Arial" w:eastAsia="Arial" w:hAnsi="Arial"/>
          <w:sz w:val="17"/>
          <w:szCs w:val="17"/>
          <w:color w:val="0000FF"/>
        </w:rPr>
        <w:t xml:space="preserve"> </w:t>
      </w:r>
      <w:r>
        <w:rPr>
          <w:rFonts w:ascii="Arial" w:cs="Arial" w:eastAsia="Arial" w:hAnsi="Arial"/>
          <w:sz w:val="17"/>
          <w:szCs w:val="17"/>
          <w:color w:val="000000"/>
        </w:rPr>
        <w:t>counterclaim</w:t>
      </w:r>
      <w:r>
        <w:rPr>
          <w:rFonts w:ascii="Arial" w:cs="Arial" w:eastAsia="Arial" w:hAnsi="Arial"/>
          <w:sz w:val="17"/>
          <w:szCs w:val="17"/>
          <w:color w:val="0000FF"/>
        </w:rPr>
        <w:t xml:space="preserve"> </w:t>
      </w:r>
      <w:r>
        <w:rPr>
          <w:rFonts w:ascii="Arial" w:cs="Arial" w:eastAsia="Arial" w:hAnsi="Arial"/>
          <w:sz w:val="17"/>
          <w:szCs w:val="17"/>
          <w:color w:val="FF0000"/>
        </w:rPr>
        <w:t>or</w:t>
      </w:r>
      <w:r>
        <w:rPr>
          <w:rFonts w:ascii="Arial" w:cs="Arial" w:eastAsia="Arial" w:hAnsi="Arial"/>
          <w:sz w:val="17"/>
          <w:szCs w:val="17"/>
          <w:u w:val="single" w:color="auto"/>
          <w:color w:val="0000FF"/>
        </w:rPr>
        <w:t>, setoff,</w:t>
      </w:r>
      <w:r>
        <w:rPr>
          <w:rFonts w:ascii="Arial" w:cs="Arial" w:eastAsia="Arial" w:hAnsi="Arial"/>
          <w:sz w:val="17"/>
          <w:szCs w:val="17"/>
          <w:color w:val="0000FF"/>
        </w:rPr>
        <w:t xml:space="preserve"> </w:t>
      </w:r>
      <w:r>
        <w:rPr>
          <w:rFonts w:ascii="Arial" w:cs="Arial" w:eastAsia="Arial" w:hAnsi="Arial"/>
          <w:sz w:val="17"/>
          <w:szCs w:val="17"/>
          <w:color w:val="000000"/>
        </w:rPr>
        <w:t>defense</w:t>
      </w:r>
      <w:r>
        <w:rPr>
          <w:rFonts w:ascii="Arial" w:cs="Arial" w:eastAsia="Arial" w:hAnsi="Arial"/>
          <w:sz w:val="17"/>
          <w:szCs w:val="17"/>
          <w:color w:val="0000FF"/>
        </w:rPr>
        <w:t xml:space="preserve"> </w:t>
      </w:r>
      <w:r>
        <w:rPr>
          <w:rFonts w:ascii="Arial" w:cs="Arial" w:eastAsia="Arial" w:hAnsi="Arial"/>
          <w:sz w:val="17"/>
          <w:szCs w:val="17"/>
          <w:color w:val="FF0000"/>
          <w:strike w:val="1"/>
        </w:rPr>
        <w:t>to payment which</w:t>
      </w:r>
      <w:r>
        <w:rPr>
          <w:rFonts w:ascii="Arial" w:cs="Arial" w:eastAsia="Arial" w:hAnsi="Arial"/>
          <w:sz w:val="17"/>
          <w:szCs w:val="17"/>
          <w:u w:val="single" w:color="auto"/>
          <w:color w:val="0000FF"/>
        </w:rPr>
        <w:t>or other right that</w:t>
      </w:r>
      <w:r>
        <w:rPr>
          <w:rFonts w:ascii="Arial" w:cs="Arial" w:eastAsia="Arial" w:hAnsi="Arial"/>
          <w:sz w:val="17"/>
          <w:szCs w:val="17"/>
          <w:color w:val="0000FF"/>
        </w:rPr>
        <w:t xml:space="preserve"> </w:t>
      </w:r>
      <w:r>
        <w:rPr>
          <w:rFonts w:ascii="Arial" w:cs="Arial" w:eastAsia="Arial" w:hAnsi="Arial"/>
          <w:sz w:val="17"/>
          <w:szCs w:val="17"/>
          <w:color w:val="000000"/>
        </w:rPr>
        <w:t>the Borrower may have or have had</w:t>
      </w:r>
      <w:r>
        <w:rPr>
          <w:rFonts w:ascii="Arial" w:cs="Arial" w:eastAsia="Arial" w:hAnsi="Arial"/>
          <w:sz w:val="17"/>
          <w:szCs w:val="17"/>
          <w:color w:val="0000FF"/>
        </w:rPr>
        <w:t xml:space="preserve"> </w:t>
      </w:r>
      <w:r>
        <w:rPr>
          <w:rFonts w:ascii="Arial" w:cs="Arial" w:eastAsia="Arial" w:hAnsi="Arial"/>
          <w:sz w:val="17"/>
          <w:szCs w:val="17"/>
          <w:color w:val="000000"/>
        </w:rPr>
        <w:t xml:space="preserve">against the applicable Issuing Lender or any beneficiary of a Letter of Credit </w:t>
      </w:r>
      <w:r>
        <w:rPr>
          <w:rFonts w:ascii="Arial" w:cs="Arial" w:eastAsia="Arial" w:hAnsi="Arial"/>
          <w:sz w:val="17"/>
          <w:szCs w:val="17"/>
          <w:u w:val="single" w:color="auto"/>
          <w:color w:val="0000FF"/>
        </w:rPr>
        <w:t>(or any Person for whom any such beneficiary or any such transferee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may be acting), the applicable Issuing Lender</w:t>
      </w:r>
      <w:r>
        <w:rPr>
          <w:rFonts w:ascii="Arial" w:cs="Arial" w:eastAsia="Arial" w:hAnsi="Arial"/>
          <w:sz w:val="17"/>
          <w:szCs w:val="17"/>
          <w:color w:val="0000FF"/>
        </w:rPr>
        <w:t xml:space="preserve"> </w:t>
      </w:r>
      <w:r>
        <w:rPr>
          <w:rFonts w:ascii="Arial" w:cs="Arial" w:eastAsia="Arial" w:hAnsi="Arial"/>
          <w:sz w:val="17"/>
          <w:szCs w:val="17"/>
          <w:color w:val="000000"/>
        </w:rPr>
        <w:t>or any other Person</w:t>
      </w:r>
      <w:r>
        <w:rPr>
          <w:rFonts w:ascii="Arial" w:cs="Arial" w:eastAsia="Arial" w:hAnsi="Arial"/>
          <w:sz w:val="17"/>
          <w:szCs w:val="17"/>
          <w:color w:val="FF0000"/>
          <w:strike w:val="1"/>
        </w:rPr>
        <w:t>.</w:t>
      </w:r>
      <w:r>
        <w:rPr>
          <w:rFonts w:ascii="Arial" w:cs="Arial" w:eastAsia="Arial" w:hAnsi="Arial"/>
          <w:sz w:val="17"/>
          <w:szCs w:val="17"/>
          <w:u w:val="single" w:color="auto"/>
          <w:color w:val="0000FF"/>
        </w:rPr>
        <w:t>, whether in connection with this Agreement, the transactions contemplated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hereby or by such Letter of Credit or any agreement or instrument relating thereto, or any unrelated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-1193165</wp:posOffset>
            </wp:positionV>
            <wp:extent cx="1936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-1056005</wp:posOffset>
            </wp:positionV>
            <wp:extent cx="53721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7210"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-507365</wp:posOffset>
            </wp:positionV>
            <wp:extent cx="1193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490" w:right="459" w:bottom="1440" w:gutter="0" w:footer="0" w:header="0"/>
        </w:sectPr>
      </w:pPr>
    </w:p>
    <w:bookmarkStart w:id="113" w:name="page114"/>
    <w:bookmarkEnd w:id="113"/>
    <w:p>
      <w:pPr>
        <w:jc w:val="both"/>
        <w:ind w:left="380" w:firstLine="419"/>
        <w:spacing w:after="0" w:line="311" w:lineRule="auto"/>
        <w:tabs>
          <w:tab w:leader="none" w:pos="1118" w:val="left"/>
        </w:tabs>
        <w:numPr>
          <w:ilvl w:val="1"/>
          <w:numId w:val="9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validity or genuineness of documents or of any endorsements thereon, even though such documents shall in fact prove to be invalid, fraudulent, forged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40" w:lineRule="exact"/>
        <w:rPr>
          <w:rFonts w:ascii="Arial" w:cs="Arial" w:eastAsia="Arial" w:hAnsi="Arial"/>
          <w:sz w:val="16"/>
          <w:szCs w:val="16"/>
          <w:u w:val="single" w:color="auto"/>
          <w:color w:val="0000FF"/>
        </w:rPr>
      </w:pPr>
    </w:p>
    <w:p>
      <w:pPr>
        <w:ind w:left="380" w:right="40" w:firstLine="419"/>
        <w:spacing w:after="0" w:line="277" w:lineRule="auto"/>
        <w:tabs>
          <w:tab w:leader="none" w:pos="1108" w:val="left"/>
        </w:tabs>
        <w:numPr>
          <w:ilvl w:val="1"/>
          <w:numId w:val="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payment by the Issuing Lender under a Letter of Credit against presentation of a draft or other document that does not comply with the terms of such Letter of Credit;</w:t>
      </w:r>
    </w:p>
    <w:p>
      <w:pPr>
        <w:spacing w:after="0" w:line="62" w:lineRule="exact"/>
        <w:rPr>
          <w:rFonts w:ascii="Arial" w:cs="Arial" w:eastAsia="Arial" w:hAnsi="Arial"/>
          <w:sz w:val="18"/>
          <w:szCs w:val="18"/>
          <w:u w:val="single" w:color="auto"/>
          <w:color w:val="0000FF"/>
        </w:rPr>
      </w:pPr>
    </w:p>
    <w:p>
      <w:pPr>
        <w:ind w:left="380" w:right="80" w:firstLine="419"/>
        <w:spacing w:after="0" w:line="277" w:lineRule="auto"/>
        <w:tabs>
          <w:tab w:leader="none" w:pos="1058" w:val="left"/>
        </w:tabs>
        <w:numPr>
          <w:ilvl w:val="1"/>
          <w:numId w:val="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adverse change in the relevant exchange rates or in the availability of</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 relevant Alternative L/C Currency</w:t>
      </w:r>
      <w:r>
        <w:rPr>
          <w:rFonts w:ascii="Arial" w:cs="Arial" w:eastAsia="Arial" w:hAnsi="Arial"/>
          <w:sz w:val="18"/>
          <w:szCs w:val="18"/>
          <w:color w:val="0000FF"/>
        </w:rPr>
        <w:t xml:space="preserve"> </w:t>
      </w:r>
      <w:r>
        <w:rPr>
          <w:rFonts w:ascii="Arial" w:cs="Arial" w:eastAsia="Arial" w:hAnsi="Arial"/>
          <w:sz w:val="18"/>
          <w:szCs w:val="18"/>
          <w:color w:val="008000"/>
        </w:rPr>
        <w:t>to the Borrower or any</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Subsidiary or in the relevant currency markets generally</w:t>
      </w:r>
      <w:r>
        <w:rPr>
          <w:rFonts w:ascii="Arial" w:cs="Arial" w:eastAsia="Arial" w:hAnsi="Arial"/>
          <w:sz w:val="18"/>
          <w:szCs w:val="18"/>
          <w:u w:val="single" w:color="auto"/>
          <w:color w:val="0000FF"/>
        </w:rPr>
        <w:t>;</w:t>
      </w:r>
    </w:p>
    <w:p>
      <w:pPr>
        <w:spacing w:after="0" w:line="62" w:lineRule="exact"/>
        <w:rPr>
          <w:rFonts w:ascii="Arial" w:cs="Arial" w:eastAsia="Arial" w:hAnsi="Arial"/>
          <w:sz w:val="18"/>
          <w:szCs w:val="18"/>
          <w:u w:val="single" w:color="auto"/>
          <w:color w:val="0000FF"/>
        </w:rPr>
      </w:pPr>
    </w:p>
    <w:p>
      <w:pPr>
        <w:ind w:left="380" w:right="660" w:firstLine="419"/>
        <w:spacing w:after="0" w:line="277" w:lineRule="auto"/>
        <w:tabs>
          <w:tab w:leader="none" w:pos="1108" w:val="left"/>
        </w:tabs>
        <w:numPr>
          <w:ilvl w:val="1"/>
          <w:numId w:val="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draft or other document presented under a Letter of Credit proving to be forged, fraudulent or invalid in any respect or any statement in such draft or other document being untrue or inaccurate in any respect; or</w:t>
      </w:r>
    </w:p>
    <w:p>
      <w:pPr>
        <w:spacing w:after="0" w:line="62" w:lineRule="exact"/>
        <w:rPr>
          <w:rFonts w:ascii="Arial" w:cs="Arial" w:eastAsia="Arial" w:hAnsi="Arial"/>
          <w:sz w:val="18"/>
          <w:szCs w:val="18"/>
          <w:u w:val="single" w:color="auto"/>
          <w:color w:val="0000FF"/>
        </w:rPr>
      </w:pPr>
    </w:p>
    <w:p>
      <w:pPr>
        <w:ind w:left="380" w:right="240" w:firstLine="419"/>
        <w:spacing w:after="0" w:line="308" w:lineRule="auto"/>
        <w:tabs>
          <w:tab w:leader="none" w:pos="1158" w:val="left"/>
        </w:tabs>
        <w:numPr>
          <w:ilvl w:val="1"/>
          <w:numId w:val="9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any other event or circumstance whatsoever, whether or not similar to any of the foregoing, that might, but for the provisions of this Section, constitute a legal or equitable discharge of, or provide a right of setoff against, the Borrower’s obligations hereunder.</w:t>
      </w:r>
    </w:p>
    <w:p>
      <w:pPr>
        <w:spacing w:after="0" w:line="38" w:lineRule="exact"/>
        <w:rPr>
          <w:rFonts w:ascii="Arial" w:cs="Arial" w:eastAsia="Arial" w:hAnsi="Arial"/>
          <w:sz w:val="17"/>
          <w:szCs w:val="17"/>
          <w:u w:val="single" w:color="auto"/>
          <w:color w:val="0000FF"/>
        </w:rPr>
      </w:pPr>
    </w:p>
    <w:p>
      <w:pPr>
        <w:ind w:left="-60" w:right="60" w:firstLine="436"/>
        <w:spacing w:after="0" w:line="267" w:lineRule="auto"/>
        <w:tabs>
          <w:tab w:leader="none" w:pos="632" w:val="left"/>
        </w:tabs>
        <w:numPr>
          <w:ilvl w:val="0"/>
          <w:numId w:val="95"/>
        </w:numPr>
        <w:rPr>
          <w:rFonts w:ascii="Arial" w:cs="Arial" w:eastAsia="Arial" w:hAnsi="Arial"/>
          <w:sz w:val="17"/>
          <w:szCs w:val="17"/>
          <w:u w:val="single" w:color="auto"/>
          <w:color w:val="0000FF"/>
        </w:rPr>
      </w:pPr>
      <w:r>
        <w:rPr>
          <w:rFonts w:ascii="Arial" w:cs="Arial" w:eastAsia="Arial" w:hAnsi="Arial"/>
          <w:sz w:val="17"/>
          <w:szCs w:val="17"/>
          <w:color w:val="auto"/>
        </w:rPr>
        <w:t xml:space="preserve">The Borrower also agrees that the applicable Issuing Lender and the L/C Participants shall not be responsible for, and the Borrower’s Reimbursement Obligation under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shall not be affected by, among other things, the validity or genuineness of documents or of any endorsements thereon, even though such documents shall in fact prove to be invalid, fraudulent or forged, </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any dispute between or among the Borrower and any beneficiary of any Letter of Credit or any other party to which such Letter of Credit may be transferred or any claims whatsoever of the Borrower against any beneficiary of such Letter of Credit or any such transferee </w:t>
      </w:r>
      <w:r>
        <w:rPr>
          <w:rFonts w:ascii="Arial" w:cs="Arial" w:eastAsia="Arial" w:hAnsi="Arial"/>
          <w:sz w:val="17"/>
          <w:szCs w:val="17"/>
          <w:color w:val="FF0000"/>
        </w:rPr>
        <w:t>or any</w:t>
      </w:r>
      <w:r>
        <w:rPr>
          <w:rFonts w:ascii="Arial" w:cs="Arial" w:eastAsia="Arial" w:hAnsi="Arial"/>
          <w:sz w:val="17"/>
          <w:szCs w:val="17"/>
          <w:color w:val="auto"/>
        </w:rPr>
        <w:t xml:space="preserve"> </w:t>
      </w:r>
      <w:r>
        <w:rPr>
          <w:rFonts w:ascii="Arial" w:cs="Arial" w:eastAsia="Arial" w:hAnsi="Arial"/>
          <w:sz w:val="17"/>
          <w:szCs w:val="17"/>
          <w:color w:val="008000"/>
          <w:strike w:val="1"/>
        </w:rPr>
        <w:t>adverse change in the relevant exchange rates or in the</w:t>
      </w:r>
      <w:r>
        <w:rPr>
          <w:rFonts w:ascii="Arial" w:cs="Arial" w:eastAsia="Arial" w:hAnsi="Arial"/>
          <w:sz w:val="17"/>
          <w:szCs w:val="17"/>
          <w:color w:val="auto"/>
        </w:rPr>
        <w:t xml:space="preserve"> </w:t>
      </w:r>
      <w:r>
        <w:rPr>
          <w:rFonts w:ascii="Arial" w:cs="Arial" w:eastAsia="Arial" w:hAnsi="Arial"/>
          <w:sz w:val="17"/>
          <w:szCs w:val="17"/>
          <w:color w:val="008000"/>
          <w:strike w:val="1"/>
        </w:rPr>
        <w:t xml:space="preserve">availability of </w:t>
      </w:r>
      <w:r>
        <w:rPr>
          <w:rFonts w:ascii="Arial" w:cs="Arial" w:eastAsia="Arial" w:hAnsi="Arial"/>
          <w:sz w:val="17"/>
          <w:szCs w:val="17"/>
          <w:color w:val="FF0000"/>
          <w:strike w:val="1"/>
        </w:rPr>
        <w:t>any applicable currency</w:t>
      </w:r>
      <w:r>
        <w:rPr>
          <w:rFonts w:ascii="Arial" w:cs="Arial" w:eastAsia="Arial" w:hAnsi="Arial"/>
          <w:sz w:val="17"/>
          <w:szCs w:val="17"/>
          <w:color w:val="008000"/>
          <w:strike w:val="1"/>
        </w:rPr>
        <w:t xml:space="preserve"> to the Borrower or any </w:t>
      </w:r>
      <w:r>
        <w:rPr>
          <w:rFonts w:ascii="Arial" w:cs="Arial" w:eastAsia="Arial" w:hAnsi="Arial"/>
          <w:sz w:val="17"/>
          <w:szCs w:val="17"/>
          <w:color w:val="FF0000"/>
          <w:strike w:val="1"/>
        </w:rPr>
        <w:t>applicable</w:t>
      </w:r>
      <w:r>
        <w:rPr>
          <w:rFonts w:ascii="Arial" w:cs="Arial" w:eastAsia="Arial" w:hAnsi="Arial"/>
          <w:sz w:val="17"/>
          <w:szCs w:val="17"/>
          <w:color w:val="008000"/>
          <w:strike w:val="1"/>
        </w:rPr>
        <w:t xml:space="preserve"> Subsidiary or in the relevant currency markets generally</w:t>
      </w:r>
      <w:r>
        <w:rPr>
          <w:rFonts w:ascii="Arial" w:cs="Arial" w:eastAsia="Arial" w:hAnsi="Arial"/>
          <w:sz w:val="17"/>
          <w:szCs w:val="17"/>
          <w:color w:val="FF0000"/>
          <w:strike w:val="1"/>
        </w:rPr>
        <w:t>. No Issuing Lender</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shall be liable for</w:t>
      </w:r>
      <w:r>
        <w:rPr>
          <w:rFonts w:ascii="Arial" w:cs="Arial" w:eastAsia="Arial" w:hAnsi="Arial"/>
          <w:sz w:val="17"/>
          <w:szCs w:val="17"/>
          <w:u w:val="single" w:color="auto"/>
          <w:color w:val="0000FF"/>
          <w:strike w:val="1"/>
        </w:rPr>
        <w:t>. The applicable Issuing Lender, the L/C Participants and their respective Related Parties shall not have any liability or responsibility</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by reason of or in connection with the issuance or transfer of any Letter of Credit, or any payment or failure to make any payment thereunder (irrespective of any of the circumstances referred to in the preceding sentence), or</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any error, omission, interruption</w:t>
      </w:r>
      <w:r>
        <w:rPr>
          <w:rFonts w:ascii="Arial" w:cs="Arial" w:eastAsia="Arial" w:hAnsi="Arial"/>
          <w:sz w:val="17"/>
          <w:szCs w:val="17"/>
          <w:u w:val="single" w:color="auto"/>
          <w:color w:val="0000FF"/>
          <w:strike w:val="1"/>
        </w:rPr>
        <w:t>, loss</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or delay in transmission</w:t>
      </w:r>
      <w:r>
        <w:rPr>
          <w:rFonts w:ascii="Arial" w:cs="Arial" w:eastAsia="Arial" w:hAnsi="Arial"/>
          <w:sz w:val="17"/>
          <w:szCs w:val="17"/>
          <w:color w:val="FF0000"/>
          <w:strike w:val="1"/>
        </w:rPr>
        <w:t>,</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 xml:space="preserve">dispatch </w:t>
      </w:r>
      <w:r>
        <w:rPr>
          <w:rFonts w:ascii="Arial" w:cs="Arial" w:eastAsia="Arial" w:hAnsi="Arial"/>
          <w:sz w:val="17"/>
          <w:szCs w:val="17"/>
          <w:color w:val="000000"/>
          <w:strike w:val="1"/>
        </w:rPr>
        <w:t>or delivery of any</w:t>
      </w:r>
      <w:r>
        <w:rPr>
          <w:rFonts w:ascii="Arial" w:cs="Arial" w:eastAsia="Arial" w:hAnsi="Arial"/>
          <w:sz w:val="17"/>
          <w:szCs w:val="17"/>
          <w:color w:val="FF0000"/>
          <w:strike w:val="1"/>
        </w:rPr>
        <w:t xml:space="preserve"> message or advice, however transmitted, in connection with</w:t>
      </w:r>
      <w:r>
        <w:rPr>
          <w:rFonts w:ascii="Arial" w:cs="Arial" w:eastAsia="Arial" w:hAnsi="Arial"/>
          <w:sz w:val="17"/>
          <w:szCs w:val="17"/>
          <w:u w:val="single" w:color="auto"/>
          <w:color w:val="0000FF"/>
          <w:strike w:val="1"/>
        </w:rPr>
        <w:t>draft, notice or other communication under or relating to</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any</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Letter of Credit </w:t>
      </w:r>
      <w:r>
        <w:rPr>
          <w:rFonts w:ascii="Arial" w:cs="Arial" w:eastAsia="Arial" w:hAnsi="Arial"/>
          <w:sz w:val="17"/>
          <w:szCs w:val="17"/>
          <w:color w:val="FF0000"/>
          <w:strike w:val="1"/>
        </w:rPr>
        <w:t>issued by it, except for errors or omissions</w:t>
      </w:r>
      <w:r>
        <w:rPr>
          <w:rFonts w:ascii="Arial" w:cs="Arial" w:eastAsia="Arial" w:hAnsi="Arial"/>
          <w:sz w:val="17"/>
          <w:szCs w:val="17"/>
          <w:u w:val="single" w:color="auto"/>
          <w:color w:val="0000FF"/>
          <w:strike w:val="1"/>
        </w:rPr>
        <w:t>(including any document required to make a drawing thereunder), any error in interpretation</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of technical terms or any consequence arising from causes beyond the control of the applicable Issuing Lender; provided that the foregoing shall not be construed to excuse an Issuing Lender from liability to the Borrower to the extent of any direct damages (as opposed to special, indirect, consequential or punitive damages, claims in respect of which are hereby waived by the Borrower to the extent permitted by Applicable Law) suffered by the Borrower that are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caused by such Issuing Lender’s</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failure to exercise care when determining whether drafts and other documents presented under a</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Letter of Credit comply with the terms thereof. The parties hereto expressly agree that, in the absence of</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gross negligence or willful misconduct</w:t>
      </w:r>
      <w:r>
        <w:rPr>
          <w:rFonts w:ascii="Arial" w:cs="Arial" w:eastAsia="Arial" w:hAnsi="Arial"/>
          <w:sz w:val="17"/>
          <w:szCs w:val="17"/>
          <w:color w:val="FF0000"/>
          <w:strike w:val="1"/>
        </w:rPr>
        <w:t>, as</w:t>
      </w:r>
      <w:r>
        <w:rPr>
          <w:rFonts w:ascii="Arial" w:cs="Arial" w:eastAsia="Arial" w:hAnsi="Arial"/>
          <w:sz w:val="17"/>
          <w:szCs w:val="17"/>
          <w:color w:val="0000FF"/>
          <w:strike w:val="1"/>
        </w:rPr>
        <w:t xml:space="preserve"> on </w:t>
      </w:r>
      <w:r>
        <w:rPr>
          <w:rFonts w:ascii="Arial" w:cs="Arial" w:eastAsia="Arial" w:hAnsi="Arial"/>
          <w:sz w:val="17"/>
          <w:szCs w:val="17"/>
          <w:u w:val="single" w:color="auto"/>
          <w:color w:val="0000FF"/>
          <w:strike w:val="1"/>
        </w:rPr>
        <w:t>the part of the applicable Issuing Lender (as finally</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determined by a court of competent jurisdiction</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by final nonappealable judgment. The Borrower</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agrees that any action taken or omitted by any</w:t>
      </w:r>
      <w:r>
        <w:rPr>
          <w:rFonts w:ascii="Arial" w:cs="Arial" w:eastAsia="Arial" w:hAnsi="Arial"/>
          <w:sz w:val="17"/>
          <w:szCs w:val="17"/>
          <w:u w:val="single" w:color="auto"/>
          <w:color w:val="0000FF"/>
          <w:strike w:val="1"/>
        </w:rPr>
        <w:t>), such</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Issuing Lender</w:t>
      </w:r>
      <w:r>
        <w:rPr>
          <w:rFonts w:ascii="Arial" w:cs="Arial" w:eastAsia="Arial" w:hAnsi="Arial"/>
          <w:sz w:val="17"/>
          <w:szCs w:val="17"/>
          <w:color w:val="FF0000"/>
          <w:strike w:val="1"/>
        </w:rPr>
        <w:t xml:space="preserve"> under or in connection</w:t>
      </w:r>
      <w:r>
        <w:rPr>
          <w:rFonts w:ascii="Arial" w:cs="Arial" w:eastAsia="Arial" w:hAnsi="Arial"/>
          <w:sz w:val="17"/>
          <w:szCs w:val="17"/>
          <w:u w:val="single" w:color="auto"/>
          <w:color w:val="0000FF"/>
          <w:strike w:val="1"/>
        </w:rPr>
        <w:t>shall be deemed to have exercised care in each such</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5788660</wp:posOffset>
            </wp:positionH>
            <wp:positionV relativeFrom="paragraph">
              <wp:posOffset>-3505200</wp:posOffset>
            </wp:positionV>
            <wp:extent cx="10718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-3531235</wp:posOffset>
            </wp:positionV>
            <wp:extent cx="10693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69340" cy="825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-2005330</wp:posOffset>
            </wp:positionV>
            <wp:extent cx="3460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6075" cy="889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-419100</wp:posOffset>
            </wp:positionV>
            <wp:extent cx="137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-445135</wp:posOffset>
            </wp:positionV>
            <wp:extent cx="1428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-359410</wp:posOffset>
            </wp:positionV>
            <wp:extent cx="22282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880"/>
          </w:cols>
          <w:pgMar w:left="500" w:top="490" w:right="519" w:bottom="1440" w:gutter="0" w:footer="0" w:header="0"/>
        </w:sectPr>
      </w:pPr>
    </w:p>
    <w:bookmarkStart w:id="114" w:name="page115"/>
    <w:bookmarkEnd w:id="114"/>
    <w:p>
      <w:pPr>
        <w:ind w:right="20" w:firstLine="436"/>
        <w:spacing w:after="0" w:line="287" w:lineRule="auto"/>
        <w:tabs>
          <w:tab w:leader="none" w:pos="685" w:val="left"/>
        </w:tabs>
        <w:numPr>
          <w:ilvl w:val="0"/>
          <w:numId w:val="96"/>
        </w:numPr>
        <w:rPr>
          <w:rFonts w:ascii="Arial" w:cs="Arial" w:eastAsia="Arial" w:hAnsi="Arial"/>
          <w:sz w:val="16"/>
          <w:szCs w:val="16"/>
          <w:u w:val="single" w:color="auto"/>
          <w:color w:val="0000FF"/>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with any Letter of Credit issued by it or the related drafts or documents, if done in the absence of gross negligence or willful misconduct shall be binding on the Borrower and shall not result in any liability of such Issuing Lender or any L/C Participant to the Borrower</w:t>
      </w:r>
      <w:r>
        <w:rPr>
          <w:rFonts w:ascii="Arial" w:cs="Arial" w:eastAsia="Arial" w:hAnsi="Arial"/>
          <w:sz w:val="16"/>
          <w:szCs w:val="16"/>
          <w:u w:val="single" w:color="auto"/>
          <w:color w:val="0000FF"/>
          <w:strike w:val="1"/>
        </w:rPr>
        <w:t>In furtherance of the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foregoing and without limiting the generality thereof, the parties agree that (i)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(ii) an Issuing Lender may act upon any instruction or request relative to a Letter of Credit or requested Letter of Credit that such Issuing Lender in good faith believes to have been given by a Person authorized to give such instruction or request and (iii) an Issuing Lender may replace a purportedly lost, stolen, or destroyed original Letter of Credit or missing amendment thereto with a certified true copy marked as such or waive a requirement for its presentation</w:t>
      </w:r>
      <w:r>
        <w:rPr>
          <w:rFonts w:ascii="Arial" w:cs="Arial" w:eastAsia="Arial" w:hAnsi="Arial"/>
          <w:sz w:val="16"/>
          <w:szCs w:val="16"/>
          <w:color w:val="000000"/>
          <w:strike w:val="1"/>
        </w:rPr>
        <w:t>. The responsibility</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of any Issuing Lender to the Borrower in connection with any draft presented for payment under any Letter of Credit issued </w:t>
      </w:r>
      <w:r>
        <w:rPr>
          <w:rFonts w:ascii="Arial" w:cs="Arial" w:eastAsia="Arial" w:hAnsi="Arial"/>
          <w:sz w:val="16"/>
          <w:szCs w:val="16"/>
          <w:color w:val="FF0000"/>
          <w:strike w:val="1"/>
        </w:rPr>
        <w:t>to</w:t>
      </w:r>
      <w:r>
        <w:rPr>
          <w:rFonts w:ascii="Arial" w:cs="Arial" w:eastAsia="Arial" w:hAnsi="Arial"/>
          <w:sz w:val="16"/>
          <w:szCs w:val="16"/>
          <w:u w:val="single" w:color="auto"/>
          <w:color w:val="0000FF"/>
          <w:strike w:val="1"/>
        </w:rPr>
        <w:t>by</w:t>
      </w:r>
      <w:r>
        <w:rPr>
          <w:rFonts w:ascii="Arial" w:cs="Arial" w:eastAsia="Arial" w:hAnsi="Arial"/>
          <w:sz w:val="16"/>
          <w:szCs w:val="16"/>
          <w:color w:val="000000"/>
          <w:strike w:val="1"/>
        </w:rPr>
        <w:t xml:space="preserve">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59" w:lineRule="exact"/>
        <w:rPr>
          <w:rFonts w:ascii="Arial" w:cs="Arial" w:eastAsia="Arial" w:hAnsi="Arial"/>
          <w:sz w:val="16"/>
          <w:szCs w:val="16"/>
          <w:u w:val="single" w:color="auto"/>
          <w:color w:val="0000FF"/>
        </w:rPr>
      </w:pPr>
    </w:p>
    <w:p>
      <w:pPr>
        <w:ind w:right="40" w:firstLine="436"/>
        <w:spacing w:after="0" w:line="273" w:lineRule="auto"/>
        <w:tabs>
          <w:tab w:leader="none" w:pos="695" w:val="left"/>
        </w:tabs>
        <w:numPr>
          <w:ilvl w:val="0"/>
          <w:numId w:val="96"/>
        </w:numPr>
        <w:rPr>
          <w:rFonts w:ascii="Arial" w:cs="Arial" w:eastAsia="Arial" w:hAnsi="Arial"/>
          <w:sz w:val="17"/>
          <w:szCs w:val="17"/>
          <w:u w:val="single" w:color="auto"/>
          <w:color w:val="0000FF"/>
        </w:rPr>
      </w:pPr>
      <w:r>
        <w:rPr>
          <w:rFonts w:ascii="Arial" w:cs="Arial" w:eastAsia="Arial" w:hAnsi="Arial"/>
          <w:sz w:val="17"/>
          <w:szCs w:val="17"/>
          <w:u w:val="single" w:color="auto"/>
          <w:color w:val="008000"/>
        </w:rPr>
        <w:t xml:space="preserve">Notwithstanding anything to the contrary </w:t>
      </w:r>
      <w:r>
        <w:rPr>
          <w:rFonts w:ascii="Arial" w:cs="Arial" w:eastAsia="Arial" w:hAnsi="Arial"/>
          <w:sz w:val="17"/>
          <w:szCs w:val="17"/>
          <w:u w:val="single" w:color="auto"/>
          <w:color w:val="0000FF"/>
        </w:rPr>
        <w:t>herein, no Issuing Lender shall be responsible to the Borrower for, and such Issuing Lender’s rights</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and remedies against the Borrower shall not be impaired by, any action or inaction of such Issuing Lender required or permitted under any law, order, or practice that is required or permitted to be applied to any Letter of Credit or this Agreement, including the Applicable Laws or any order of a jurisdiction in which such Issuing Lender or the beneficiary is located, the practice stated in the ISP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178"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Effect of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Application</w:t>
      </w:r>
      <w:r>
        <w:rPr>
          <w:rFonts w:ascii="Arial" w:cs="Arial" w:eastAsia="Arial" w:hAnsi="Arial"/>
          <w:sz w:val="16"/>
          <w:szCs w:val="16"/>
          <w:u w:val="single" w:color="auto"/>
          <w:color w:val="0000FF"/>
        </w:rPr>
        <w:t>Documents</w:t>
      </w:r>
      <w:r>
        <w:rPr>
          <w:rFonts w:ascii="Arial" w:cs="Arial" w:eastAsia="Arial" w:hAnsi="Arial"/>
          <w:sz w:val="16"/>
          <w:szCs w:val="16"/>
          <w:color w:val="auto"/>
        </w:rPr>
        <w:t xml:space="preserve"> . To the extent that any provision of any Letter of Credit </w:t>
      </w:r>
      <w:r>
        <w:rPr>
          <w:rFonts w:ascii="Arial" w:cs="Arial" w:eastAsia="Arial" w:hAnsi="Arial"/>
          <w:sz w:val="16"/>
          <w:szCs w:val="16"/>
          <w:color w:val="FF0000"/>
          <w:strike w:val="1"/>
        </w:rPr>
        <w:t>Application</w:t>
      </w:r>
      <w:r>
        <w:rPr>
          <w:rFonts w:ascii="Arial" w:cs="Arial" w:eastAsia="Arial" w:hAnsi="Arial"/>
          <w:sz w:val="16"/>
          <w:szCs w:val="16"/>
          <w:u w:val="single" w:color="auto"/>
          <w:color w:val="0000FF"/>
        </w:rPr>
        <w:t>Documents</w:t>
      </w:r>
      <w:r>
        <w:rPr>
          <w:rFonts w:ascii="Arial" w:cs="Arial" w:eastAsia="Arial" w:hAnsi="Arial"/>
          <w:sz w:val="16"/>
          <w:szCs w:val="16"/>
          <w:color w:val="auto"/>
        </w:rPr>
        <w:t xml:space="preserve"> related to any Letter of Credit is inconsistent with the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apply.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Resignation of Issuing Lenders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5" w:lineRule="auto"/>
        <w:tabs>
          <w:tab w:leader="none" w:pos="6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u w:val="single" w:color="auto"/>
          <w:color w:val="0000FF"/>
        </w:rPr>
        <w:t>Issuing</w:t>
      </w:r>
      <w:r>
        <w:rPr>
          <w:rFonts w:ascii="Arial" w:cs="Arial" w:eastAsia="Arial" w:hAnsi="Arial"/>
          <w:sz w:val="18"/>
          <w:szCs w:val="18"/>
          <w:color w:val="auto"/>
        </w:rPr>
        <w:t xml:space="preserve"> Lender may </w:t>
      </w:r>
      <w:r>
        <w:rPr>
          <w:rFonts w:ascii="Arial" w:cs="Arial" w:eastAsia="Arial" w:hAnsi="Arial"/>
          <w:sz w:val="18"/>
          <w:szCs w:val="18"/>
          <w:u w:val="single" w:color="auto"/>
          <w:color w:val="0000FF"/>
        </w:rPr>
        <w:t>resign</w:t>
      </w:r>
      <w:r>
        <w:rPr>
          <w:rFonts w:ascii="Arial" w:cs="Arial" w:eastAsia="Arial" w:hAnsi="Arial"/>
          <w:sz w:val="18"/>
          <w:szCs w:val="18"/>
          <w:color w:val="auto"/>
        </w:rPr>
        <w:t xml:space="preserve"> at any time </w:t>
      </w:r>
      <w:r>
        <w:rPr>
          <w:rFonts w:ascii="Arial" w:cs="Arial" w:eastAsia="Arial" w:hAnsi="Arial"/>
          <w:sz w:val="18"/>
          <w:szCs w:val="18"/>
          <w:color w:val="FF0000"/>
          <w:strike w:val="1"/>
        </w:rPr>
        <w:t>resign from its role 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by giving 30 days’ prior</w:t>
      </w:r>
      <w:r>
        <w:rPr>
          <w:rFonts w:ascii="Arial" w:cs="Arial" w:eastAsia="Arial" w:hAnsi="Arial"/>
          <w:sz w:val="18"/>
          <w:szCs w:val="18"/>
          <w:color w:val="auto"/>
        </w:rPr>
        <w:t xml:space="preserve"> </w:t>
      </w:r>
      <w:r>
        <w:rPr>
          <w:rFonts w:ascii="Arial" w:cs="Arial" w:eastAsia="Arial" w:hAnsi="Arial"/>
          <w:sz w:val="18"/>
          <w:szCs w:val="18"/>
          <w:u w:val="single" w:color="auto"/>
          <w:color w:val="008000"/>
        </w:rPr>
        <w:t>notice to the Administrative Agent</w:t>
      </w:r>
      <w:r>
        <w:rPr>
          <w:rFonts w:ascii="Arial" w:cs="Arial" w:eastAsia="Arial" w:hAnsi="Arial"/>
          <w:sz w:val="18"/>
          <w:szCs w:val="18"/>
          <w:u w:val="single" w:color="auto"/>
          <w:color w:val="0000FF"/>
        </w:rPr>
        <w:t>, the Lenders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Borrower. After the resignation of</w:t>
      </w:r>
      <w:r>
        <w:rPr>
          <w:rFonts w:ascii="Arial" w:cs="Arial" w:eastAsia="Arial" w:hAnsi="Arial"/>
          <w:sz w:val="18"/>
          <w:szCs w:val="18"/>
          <w:color w:val="0000FF"/>
        </w:rPr>
        <w:t xml:space="preserve"> </w:t>
      </w:r>
      <w:r>
        <w:rPr>
          <w:rFonts w:ascii="Arial" w:cs="Arial" w:eastAsia="Arial" w:hAnsi="Arial"/>
          <w:sz w:val="18"/>
          <w:szCs w:val="18"/>
          <w:color w:val="000000"/>
        </w:rPr>
        <w:t>an Issuing Lender hereunder</w:t>
      </w:r>
      <w:r>
        <w:rPr>
          <w:rFonts w:ascii="Arial" w:cs="Arial" w:eastAsia="Arial" w:hAnsi="Arial"/>
          <w:sz w:val="18"/>
          <w:szCs w:val="18"/>
          <w:color w:val="0000FF"/>
        </w:rPr>
        <w:t xml:space="preserve"> </w:t>
      </w:r>
      <w:r>
        <w:rPr>
          <w:rFonts w:ascii="Arial" w:cs="Arial" w:eastAsia="Arial" w:hAnsi="Arial"/>
          <w:sz w:val="18"/>
          <w:szCs w:val="18"/>
          <w:color w:val="FF0000"/>
          <w:strike w:val="1"/>
        </w:rPr>
        <w:t>upon not less than thirty (30) days prior notice to the Borrower and the</w:t>
      </w:r>
      <w:r>
        <w:rPr>
          <w:rFonts w:ascii="Arial" w:cs="Arial" w:eastAsia="Arial" w:hAnsi="Arial"/>
          <w:sz w:val="18"/>
          <w:szCs w:val="18"/>
          <w:color w:val="0000FF"/>
        </w:rPr>
        <w:t xml:space="preserve"> </w:t>
      </w:r>
      <w:r>
        <w:rPr>
          <w:rFonts w:ascii="Arial" w:cs="Arial" w:eastAsia="Arial" w:hAnsi="Arial"/>
          <w:sz w:val="18"/>
          <w:szCs w:val="18"/>
          <w:color w:val="FF0000"/>
          <w:strike w:val="1"/>
        </w:rPr>
        <w:t>Administrative Agent (or such shorter period of time as may be acceptable to the Borrower and the Administrative Agent).</w:t>
      </w:r>
      <w:r>
        <w:rPr>
          <w:rFonts w:ascii="Arial" w:cs="Arial" w:eastAsia="Arial" w:hAnsi="Arial"/>
          <w:sz w:val="18"/>
          <w:szCs w:val="18"/>
          <w:u w:val="single" w:color="auto"/>
          <w:color w:val="0000FF"/>
          <w:strike w:val="1"/>
        </w:rPr>
        <w:t>, the retiring Issuing Lender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the outstanding Letter of Credit.</w:t>
      </w:r>
    </w:p>
    <w:p>
      <w:pPr>
        <w:spacing w:after="0" w:line="84" w:lineRule="exact"/>
        <w:rPr>
          <w:rFonts w:ascii="Arial" w:cs="Arial" w:eastAsia="Arial" w:hAnsi="Arial"/>
          <w:sz w:val="18"/>
          <w:szCs w:val="18"/>
          <w:color w:val="auto"/>
        </w:rPr>
      </w:pPr>
    </w:p>
    <w:p>
      <w:pPr>
        <w:ind w:firstLine="436"/>
        <w:spacing w:after="0" w:line="271" w:lineRule="auto"/>
        <w:tabs>
          <w:tab w:leader="none" w:pos="685"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resigning Issuing Lender shall retain all the rights, powers, privileges and duties of an Issuing Lender hereunder with respect to all Letters of Credit issued by it that are outstanding as of the effective date of its resignation as an Issuing Lender and all L/C Obligations with respect thereto (including</w:t>
      </w:r>
      <w:r>
        <w:rPr>
          <w:rFonts w:ascii="Arial" w:cs="Arial" w:eastAsia="Arial" w:hAnsi="Arial"/>
          <w:sz w:val="17"/>
          <w:szCs w:val="17"/>
          <w:color w:val="FF0000"/>
          <w:strike w:val="1"/>
        </w:rPr>
        <w:t>, without limitation,</w:t>
      </w:r>
      <w:r>
        <w:rPr>
          <w:rFonts w:ascii="Arial" w:cs="Arial" w:eastAsia="Arial" w:hAnsi="Arial"/>
          <w:sz w:val="17"/>
          <w:szCs w:val="17"/>
          <w:color w:val="auto"/>
        </w:rPr>
        <w:t xml:space="preserve"> the right to require the </w:t>
      </w:r>
      <w:r>
        <w:rPr>
          <w:rFonts w:ascii="Arial" w:cs="Arial" w:eastAsia="Arial" w:hAnsi="Arial"/>
          <w:sz w:val="17"/>
          <w:szCs w:val="17"/>
          <w:u w:val="single" w:color="auto"/>
          <w:color w:val="0000FF"/>
        </w:rPr>
        <w:t>Revolving Credit</w:t>
      </w:r>
      <w:r>
        <w:rPr>
          <w:rFonts w:ascii="Arial" w:cs="Arial" w:eastAsia="Arial" w:hAnsi="Arial"/>
          <w:sz w:val="17"/>
          <w:szCs w:val="17"/>
          <w:color w:val="auto"/>
        </w:rPr>
        <w:t xml:space="preserve"> Lenders to take such actions as are required under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Without limiting the foregoing, upon the resignation of a Lender as an Issuing Lender hereunder, the Borrower may, or at the request of such resigned Issuing Lender the Borrower shall, use commercially reasonable efforts to, arrange for one or more of the other Issuing Lenders to issue Letters of Credit </w:t>
      </w:r>
      <w:r>
        <w:rPr>
          <w:rFonts w:ascii="Arial" w:cs="Arial" w:eastAsia="Arial" w:hAnsi="Arial"/>
          <w:sz w:val="17"/>
          <w:szCs w:val="17"/>
          <w:u w:val="single" w:color="auto"/>
          <w:color w:val="0000FF"/>
        </w:rPr>
        <w:t>in the applicable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Currency</w:t>
      </w:r>
      <w:r>
        <w:rPr>
          <w:rFonts w:ascii="Arial" w:cs="Arial" w:eastAsia="Arial" w:hAnsi="Arial"/>
          <w:sz w:val="17"/>
          <w:szCs w:val="17"/>
          <w:color w:val="0000FF"/>
        </w:rPr>
        <w:t xml:space="preserve"> </w:t>
      </w:r>
      <w:r>
        <w:rPr>
          <w:rFonts w:ascii="Arial" w:cs="Arial" w:eastAsia="Arial" w:hAnsi="Arial"/>
          <w:sz w:val="17"/>
          <w:szCs w:val="17"/>
          <w:color w:val="000000"/>
        </w:rPr>
        <w:t>hereunder in substitution for the Letters of Credit, if any, issued by such resigned Issuing Lender and outstanding at the time of such</w:t>
      </w:r>
      <w:r>
        <w:rPr>
          <w:rFonts w:ascii="Arial" w:cs="Arial" w:eastAsia="Arial" w:hAnsi="Arial"/>
          <w:sz w:val="17"/>
          <w:szCs w:val="17"/>
          <w:color w:val="0000FF"/>
        </w:rPr>
        <w:t xml:space="preserve"> </w:t>
      </w:r>
      <w:r>
        <w:rPr>
          <w:rFonts w:ascii="Arial" w:cs="Arial" w:eastAsia="Arial" w:hAnsi="Arial"/>
          <w:sz w:val="17"/>
          <w:szCs w:val="17"/>
          <w:color w:val="000000"/>
        </w:rPr>
        <w:t>resignation, or make other arrangements satisfactory to the resigned Issuing Lender to effectively cause another Issuing Lender to assume the obligations of the resigned Issuing Lender with respect to any such Letters of Credit.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490" w:right="439" w:bottom="1440" w:gutter="0" w:footer="0" w:header="0"/>
        </w:sectPr>
      </w:pPr>
    </w:p>
    <w:bookmarkStart w:id="115" w:name="page116"/>
    <w:bookmarkEnd w:id="115"/>
    <w:p>
      <w:pPr>
        <w:jc w:val="both"/>
        <w:ind w:left="4" w:right="3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3.9 </w:t>
      </w:r>
      <w:r>
        <w:rPr>
          <w:rFonts w:ascii="Arial" w:cs="Arial" w:eastAsia="Arial" w:hAnsi="Arial"/>
          <w:sz w:val="16"/>
          <w:szCs w:val="16"/>
          <w:u w:val="single" w:color="auto"/>
          <w:color w:val="auto"/>
        </w:rPr>
        <w:t>Reporting of Letter of Credit Information and L/C Commitment</w:t>
      </w:r>
      <w:r>
        <w:rPr>
          <w:rFonts w:ascii="Arial" w:cs="Arial" w:eastAsia="Arial" w:hAnsi="Arial"/>
          <w:sz w:val="16"/>
          <w:szCs w:val="16"/>
          <w:color w:val="auto"/>
        </w:rPr>
        <w:t xml:space="preserve">. At any time that there is an Issuing Lender that is not also the financial institution acting as Administrative Agent, then (a) </w:t>
      </w:r>
      <w:r>
        <w:rPr>
          <w:rFonts w:ascii="Arial" w:cs="Arial" w:eastAsia="Arial" w:hAnsi="Arial"/>
          <w:sz w:val="16"/>
          <w:szCs w:val="16"/>
          <w:color w:val="FF0000"/>
          <w:strike w:val="1"/>
        </w:rPr>
        <w:t>o</w:t>
      </w:r>
      <w:r>
        <w:rPr>
          <w:rFonts w:ascii="Arial" w:cs="Arial" w:eastAsia="Arial" w:hAnsi="Arial"/>
          <w:sz w:val="16"/>
          <w:szCs w:val="16"/>
          <w:color w:val="auto"/>
        </w:rPr>
        <w:t>n</w:t>
      </w:r>
      <w:r>
        <w:rPr>
          <w:rFonts w:ascii="Arial" w:cs="Arial" w:eastAsia="Arial" w:hAnsi="Arial"/>
          <w:sz w:val="16"/>
          <w:szCs w:val="16"/>
          <w:u w:val="single" w:color="auto"/>
          <w:color w:val="0000FF"/>
        </w:rPr>
        <w:t>o later than</w:t>
      </w:r>
      <w:r>
        <w:rPr>
          <w:rFonts w:ascii="Arial" w:cs="Arial" w:eastAsia="Arial" w:hAnsi="Arial"/>
          <w:sz w:val="16"/>
          <w:szCs w:val="16"/>
          <w:color w:val="auto"/>
        </w:rPr>
        <w:t xml:space="preserve"> the </w:t>
      </w:r>
      <w:r>
        <w:rPr>
          <w:rFonts w:ascii="Arial" w:cs="Arial" w:eastAsia="Arial" w:hAnsi="Arial"/>
          <w:sz w:val="16"/>
          <w:szCs w:val="16"/>
          <w:color w:val="FF0000"/>
          <w:strike w:val="1"/>
        </w:rPr>
        <w:t>last</w:t>
      </w:r>
      <w:r>
        <w:rPr>
          <w:rFonts w:ascii="Arial" w:cs="Arial" w:eastAsia="Arial" w:hAnsi="Arial"/>
          <w:sz w:val="16"/>
          <w:szCs w:val="16"/>
          <w:u w:val="single" w:color="auto"/>
          <w:color w:val="0000FF"/>
        </w:rPr>
        <w:t>fifth</w:t>
      </w:r>
      <w:r>
        <w:rPr>
          <w:rFonts w:ascii="Arial" w:cs="Arial" w:eastAsia="Arial" w:hAnsi="Arial"/>
          <w:sz w:val="16"/>
          <w:szCs w:val="16"/>
          <w:color w:val="auto"/>
        </w:rPr>
        <w:t xml:space="preserve"> Business Day </w:t>
      </w:r>
      <w:r>
        <w:rPr>
          <w:rFonts w:ascii="Arial" w:cs="Arial" w:eastAsia="Arial" w:hAnsi="Arial"/>
          <w:sz w:val="16"/>
          <w:szCs w:val="16"/>
          <w:u w:val="single" w:color="auto"/>
          <w:color w:val="0000FF"/>
        </w:rPr>
        <w:t>following the last day</w:t>
      </w:r>
      <w:r>
        <w:rPr>
          <w:rFonts w:ascii="Arial" w:cs="Arial" w:eastAsia="Arial" w:hAnsi="Arial"/>
          <w:sz w:val="16"/>
          <w:szCs w:val="16"/>
          <w:color w:val="auto"/>
        </w:rPr>
        <w:t xml:space="preserve"> of each calendar month,</w:t>
      </w:r>
    </w:p>
    <w:p>
      <w:pPr>
        <w:ind w:left="4" w:right="20" w:hanging="4"/>
        <w:spacing w:after="0" w:line="251" w:lineRule="auto"/>
        <w:tabs>
          <w:tab w:leader="none" w:pos="259"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w:t>
      </w:r>
      <w:r>
        <w:rPr>
          <w:rFonts w:ascii="Arial" w:cs="Arial" w:eastAsia="Arial" w:hAnsi="Arial"/>
          <w:sz w:val="18"/>
          <w:szCs w:val="18"/>
          <w:color w:val="FF0000"/>
          <w:strike w:val="1"/>
        </w:rPr>
        <w:t>, without limitation,</w:t>
      </w:r>
      <w:r>
        <w:rPr>
          <w:rFonts w:ascii="Arial" w:cs="Arial" w:eastAsia="Arial" w:hAnsi="Arial"/>
          <w:sz w:val="18"/>
          <w:szCs w:val="18"/>
          <w:color w:val="auto"/>
        </w:rPr>
        <w:t xml:space="preserve">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limit the obligations of the Borrower or any Revolving Credit Lender hereunder with respect to its reimbursement and participation obligations hereunder.</w:t>
      </w:r>
    </w:p>
    <w:p>
      <w:pPr>
        <w:spacing w:after="0" w:line="19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xml:space="preserve">. Notwithstanding that a Letter of Credit issued or outstanding hereunder is in support of any obligations of, or is for the account of, a Subsidiary, </w:t>
      </w:r>
      <w:r>
        <w:rPr>
          <w:rFonts w:ascii="Arial" w:cs="Arial" w:eastAsia="Arial" w:hAnsi="Arial"/>
          <w:sz w:val="17"/>
          <w:szCs w:val="17"/>
          <w:u w:val="single" w:color="auto"/>
          <w:color w:val="0000FF"/>
        </w:rPr>
        <w:t>or states that a Subsidiary is the “account party,” “applicant,” “customer,” “instructing party,” 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like of or for such Letter of Credit, and without derogating from any rights of the applicable Issuing Lender (whether arising by contract, at law, in equity or otherwise) against such Subsidiary in respect of such Letter of Credit,</w:t>
      </w:r>
      <w:r>
        <w:rPr>
          <w:rFonts w:ascii="Arial" w:cs="Arial" w:eastAsia="Arial" w:hAnsi="Arial"/>
          <w:sz w:val="17"/>
          <w:szCs w:val="17"/>
          <w:color w:val="0000FF"/>
        </w:rPr>
        <w:t xml:space="preserve"> </w:t>
      </w:r>
      <w:r>
        <w:rPr>
          <w:rFonts w:ascii="Arial" w:cs="Arial" w:eastAsia="Arial" w:hAnsi="Arial"/>
          <w:sz w:val="17"/>
          <w:szCs w:val="17"/>
          <w:color w:val="000000"/>
        </w:rPr>
        <w:t>the Borrower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w:t>
      </w:r>
      <w:r>
        <w:rPr>
          <w:rFonts w:ascii="Arial" w:cs="Arial" w:eastAsia="Arial" w:hAnsi="Arial"/>
          <w:sz w:val="17"/>
          <w:szCs w:val="17"/>
          <w:color w:val="0000FF"/>
        </w:rPr>
        <w:t xml:space="preserve"> </w:t>
      </w:r>
      <w:r>
        <w:rPr>
          <w:rFonts w:ascii="Arial" w:cs="Arial" w:eastAsia="Arial" w:hAnsi="Arial"/>
          <w:sz w:val="17"/>
          <w:szCs w:val="17"/>
          <w:color w:val="000000"/>
        </w:rPr>
        <w:t>shall be obligated to reimburse, or to cause the</w:t>
      </w:r>
      <w:r>
        <w:rPr>
          <w:rFonts w:ascii="Arial" w:cs="Arial" w:eastAsia="Arial" w:hAnsi="Arial"/>
          <w:sz w:val="17"/>
          <w:szCs w:val="17"/>
          <w:color w:val="0000FF"/>
        </w:rPr>
        <w:t xml:space="preserve"> </w:t>
      </w:r>
      <w:r>
        <w:rPr>
          <w:rFonts w:ascii="Arial" w:cs="Arial" w:eastAsia="Arial" w:hAnsi="Arial"/>
          <w:sz w:val="17"/>
          <w:szCs w:val="17"/>
          <w:color w:val="000000"/>
        </w:rPr>
        <w:t xml:space="preserve">applicable Subsidiary to reimburse, the applicable Issuing Lender hereunder for any and all drawings under </w:t>
      </w:r>
      <w:r>
        <w:rPr>
          <w:rFonts w:ascii="Arial" w:cs="Arial" w:eastAsia="Arial" w:hAnsi="Arial"/>
          <w:sz w:val="17"/>
          <w:szCs w:val="17"/>
          <w:u w:val="single" w:color="auto"/>
          <w:color w:val="0000FF"/>
        </w:rPr>
        <w:t>such Letter of Credit as if such Letter of</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Credit had been issued solely for the account of the Borrower and (b) irrevocably waives any and all defenses that might otherwise be available to it as a guarantor or surety of any or all of the obligations of such Subsidiary in respect of</w:t>
      </w:r>
      <w:r>
        <w:rPr>
          <w:rFonts w:ascii="Arial" w:cs="Arial" w:eastAsia="Arial" w:hAnsi="Arial"/>
          <w:sz w:val="17"/>
          <w:szCs w:val="17"/>
          <w:color w:val="0000FF"/>
        </w:rPr>
        <w:t xml:space="preserve"> </w:t>
      </w:r>
      <w:r>
        <w:rPr>
          <w:rFonts w:ascii="Arial" w:cs="Arial" w:eastAsia="Arial" w:hAnsi="Arial"/>
          <w:sz w:val="17"/>
          <w:szCs w:val="17"/>
          <w:color w:val="000000"/>
        </w:rPr>
        <w:t>such Letter of Credit. The Borrower hereby acknowledges that the</w:t>
      </w:r>
      <w:r>
        <w:rPr>
          <w:rFonts w:ascii="Arial" w:cs="Arial" w:eastAsia="Arial" w:hAnsi="Arial"/>
          <w:sz w:val="17"/>
          <w:szCs w:val="17"/>
          <w:color w:val="0000FF"/>
        </w:rPr>
        <w:t xml:space="preserve"> </w:t>
      </w:r>
      <w:r>
        <w:rPr>
          <w:rFonts w:ascii="Arial" w:cs="Arial" w:eastAsia="Arial" w:hAnsi="Arial"/>
          <w:sz w:val="17"/>
          <w:szCs w:val="17"/>
          <w:color w:val="000000"/>
        </w:rPr>
        <w:t>issuance of Letters of Credit for the account of any of its Subsidiaries inures to the benefit of the Borrower and that the Borrower’s business derives substantial benefits from the businesses of such Subsidiaries.</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TERM LOAN FACILITY</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Initial Term Loan</w:t>
      </w:r>
      <w:r>
        <w:rPr>
          <w:rFonts w:ascii="Arial" w:cs="Arial" w:eastAsia="Arial" w:hAnsi="Arial"/>
          <w:sz w:val="18"/>
          <w:szCs w:val="18"/>
          <w:color w:val="auto"/>
        </w:rPr>
        <w:t>. Subject to the terms and conditions of this Agreement and the other Loan Documents, and in reliance upon the representations and warranties set forth in this Agreement and the other Loan Documents, each Term Loan Lender severally agrees to make the Initial Term Loan to the Borrower in Dollars on the Closing Date in a principal amount equal to such Lender’s Term Loan Commitment as of the Closing Date. Notwithstanding the foregoing, if the total Term Loan Commitment as of the Closing Date is not drawn on the Closing Date, the undrawn amount shall automatically be cancelled.</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Procedure for Advance of Term Loan</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96" w:lineRule="auto"/>
        <w:tabs>
          <w:tab w:leader="none" w:pos="689"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Initial Term Loan</w:t>
      </w:r>
      <w:r>
        <w:rPr>
          <w:rFonts w:ascii="Arial" w:cs="Arial" w:eastAsia="Arial" w:hAnsi="Arial"/>
          <w:sz w:val="16"/>
          <w:szCs w:val="16"/>
          <w:color w:val="auto"/>
        </w:rPr>
        <w:t xml:space="preserve">. The Borrower shall give the Administrative Agent an irrevocable Notice of Borrowing prior to 11:00 a.m. on the Closing Date requesting that the Term Loan Lenders make the Initial Term Loan </w:t>
      </w:r>
      <w:r>
        <w:rPr>
          <w:rFonts w:ascii="Arial" w:cs="Arial" w:eastAsia="Arial" w:hAnsi="Arial"/>
          <w:sz w:val="16"/>
          <w:szCs w:val="16"/>
          <w:color w:val="FF0000"/>
        </w:rPr>
        <w:t>as a Base Rate Loan on such date (provided that the Borrower may request, no</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later than </w:t>
      </w:r>
      <w:r>
        <w:rPr>
          <w:rFonts w:ascii="Arial" w:cs="Arial" w:eastAsia="Arial" w:hAnsi="Arial"/>
          <w:sz w:val="16"/>
          <w:szCs w:val="16"/>
          <w:color w:val="008000"/>
          <w:strike w:val="1"/>
        </w:rPr>
        <w:t>three (3) Business Days prior to the</w:t>
      </w:r>
      <w:r>
        <w:rPr>
          <w:rFonts w:ascii="Arial" w:cs="Arial" w:eastAsia="Arial" w:hAnsi="Arial"/>
          <w:sz w:val="16"/>
          <w:szCs w:val="16"/>
          <w:color w:val="FF0000"/>
          <w:strike w:val="1"/>
        </w:rPr>
        <w:t xml:space="preserve"> Closing Date, that the Lenders make the Initial Term Loan as a Eurocurrency Rate Loan if the Borrower has </w:t>
      </w:r>
      <w:r>
        <w:rPr>
          <w:rFonts w:ascii="Arial" w:cs="Arial" w:eastAsia="Arial" w:hAnsi="Arial"/>
          <w:sz w:val="16"/>
          <w:szCs w:val="16"/>
          <w:color w:val="008000"/>
          <w:strike w:val="1"/>
        </w:rPr>
        <w:t>delivered to the Administrative Agent</w:t>
      </w:r>
      <w:r>
        <w:rPr>
          <w:rFonts w:ascii="Arial" w:cs="Arial" w:eastAsia="Arial" w:hAnsi="Arial"/>
          <w:sz w:val="16"/>
          <w:szCs w:val="16"/>
          <w:color w:val="FF0000"/>
          <w:strike w:val="1"/>
        </w:rPr>
        <w:t xml:space="preserve"> a letter in form and substance reasonably satisfactory to the Administrative Agent indemnifying the Lenders in the manner set forth in Section 5.9 of this Agreement)</w:t>
      </w:r>
      <w:r>
        <w:rPr>
          <w:rFonts w:ascii="Arial" w:cs="Arial" w:eastAsia="Arial" w:hAnsi="Arial"/>
          <w:sz w:val="16"/>
          <w:szCs w:val="16"/>
          <w:color w:val="000000"/>
          <w:strike w:val="1"/>
        </w:rPr>
        <w:t>. Upon receipt of such Notice of Borrowing from the Borrower,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-513715</wp:posOffset>
            </wp:positionV>
            <wp:extent cx="36169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616960" cy="8255"/>
                    </a:xfrm>
                    <a:prstGeom prst="rect">
                      <a:avLst/>
                    </a:prstGeom>
                    <a:noFill/>
                  </pic:spPr>
                </pic:pic>
              </a:graphicData>
            </a:graphic>
          </wp:anchor>
        </w:drawing>
      </w:r>
    </w:p>
    <w:p>
      <w:pPr>
        <w:spacing w:after="0" w:line="7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4"/>
          </w:cols>
          <w:pgMar w:left="436" w:top="490" w:right="459" w:bottom="1440" w:gutter="0" w:footer="0" w:header="0"/>
        </w:sectPr>
      </w:pPr>
    </w:p>
    <w:bookmarkStart w:id="116" w:name="page117"/>
    <w:bookmarkEnd w:id="11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Administrative Agent shall promptly notify each Term Loan Lender thereof. Not later than 1:00 p.m. on the Closing Date, each Term Loan Lender will make available to the Administrative Agent for the account of the Borrower, at the Administrative Agent’s Office in </w:t>
      </w:r>
      <w:r>
        <w:rPr>
          <w:rFonts w:ascii="Arial" w:cs="Arial" w:eastAsia="Arial" w:hAnsi="Arial"/>
          <w:sz w:val="17"/>
          <w:szCs w:val="17"/>
          <w:color w:val="FF0000"/>
          <w:strike w:val="1"/>
        </w:rPr>
        <w:t>immediately available</w:t>
      </w:r>
      <w:r>
        <w:rPr>
          <w:rFonts w:ascii="Arial" w:cs="Arial" w:eastAsia="Arial" w:hAnsi="Arial"/>
          <w:sz w:val="17"/>
          <w:szCs w:val="17"/>
          <w:u w:val="single" w:color="auto"/>
          <w:color w:val="0000FF"/>
        </w:rPr>
        <w:t>Same Day</w:t>
      </w:r>
      <w:r>
        <w:rPr>
          <w:rFonts w:ascii="Arial" w:cs="Arial" w:eastAsia="Arial" w:hAnsi="Arial"/>
          <w:sz w:val="17"/>
          <w:szCs w:val="17"/>
          <w:color w:val="auto"/>
        </w:rPr>
        <w:t xml:space="preserve"> </w:t>
      </w:r>
      <w:r>
        <w:rPr>
          <w:rFonts w:ascii="Arial" w:cs="Arial" w:eastAsia="Arial" w:hAnsi="Arial"/>
          <w:sz w:val="17"/>
          <w:szCs w:val="17"/>
          <w:color w:val="FF0000"/>
          <w:strike w:val="1"/>
        </w:rPr>
        <w:t>f</w:t>
      </w:r>
      <w:r>
        <w:rPr>
          <w:rFonts w:ascii="Arial" w:cs="Arial" w:eastAsia="Arial" w:hAnsi="Arial"/>
          <w:sz w:val="17"/>
          <w:szCs w:val="17"/>
          <w:u w:val="single" w:color="auto"/>
          <w:color w:val="0000FF"/>
        </w:rPr>
        <w:t>F</w:t>
      </w:r>
      <w:r>
        <w:rPr>
          <w:rFonts w:ascii="Arial" w:cs="Arial" w:eastAsia="Arial" w:hAnsi="Arial"/>
          <w:sz w:val="17"/>
          <w:szCs w:val="17"/>
          <w:color w:val="000000"/>
        </w:rPr>
        <w:t>unds</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in Dollars</w:t>
      </w:r>
      <w:r>
        <w:rPr>
          <w:rFonts w:ascii="Arial" w:cs="Arial" w:eastAsia="Arial" w:hAnsi="Arial"/>
          <w:sz w:val="17"/>
          <w:szCs w:val="17"/>
          <w:color w:val="000000"/>
        </w:rPr>
        <w:t>, the amount of such Initial Term Loan to be made by such Term Loan Lender on the Closing Date. The Borrower hereby irrevocably</w:t>
      </w:r>
      <w:r>
        <w:rPr>
          <w:rFonts w:ascii="Arial" w:cs="Arial" w:eastAsia="Arial" w:hAnsi="Arial"/>
          <w:sz w:val="17"/>
          <w:szCs w:val="17"/>
          <w:color w:val="FF0000"/>
        </w:rPr>
        <w:t xml:space="preserve"> </w:t>
      </w:r>
      <w:r>
        <w:rPr>
          <w:rFonts w:ascii="Arial" w:cs="Arial" w:eastAsia="Arial" w:hAnsi="Arial"/>
          <w:sz w:val="17"/>
          <w:szCs w:val="17"/>
          <w:color w:val="000000"/>
        </w:rPr>
        <w:t xml:space="preserve">authorizes the Administrative Agent to disburse the proceeds of the Initial Term Loan in </w:t>
      </w:r>
      <w:r>
        <w:rPr>
          <w:rFonts w:ascii="Arial" w:cs="Arial" w:eastAsia="Arial" w:hAnsi="Arial"/>
          <w:sz w:val="17"/>
          <w:szCs w:val="17"/>
          <w:color w:val="FF0000"/>
          <w:strike w:val="1"/>
        </w:rPr>
        <w:t>immediately available</w:t>
      </w:r>
      <w:r>
        <w:rPr>
          <w:rFonts w:ascii="Arial" w:cs="Arial" w:eastAsia="Arial" w:hAnsi="Arial"/>
          <w:sz w:val="17"/>
          <w:szCs w:val="17"/>
          <w:u w:val="single" w:color="auto"/>
          <w:color w:val="0000FF"/>
        </w:rPr>
        <w:t>Same Day</w:t>
      </w:r>
      <w:r>
        <w:rPr>
          <w:rFonts w:ascii="Arial" w:cs="Arial" w:eastAsia="Arial" w:hAnsi="Arial"/>
          <w:sz w:val="17"/>
          <w:szCs w:val="17"/>
          <w:color w:val="000000"/>
        </w:rPr>
        <w:t xml:space="preserve"> </w:t>
      </w:r>
      <w:r>
        <w:rPr>
          <w:rFonts w:ascii="Arial" w:cs="Arial" w:eastAsia="Arial" w:hAnsi="Arial"/>
          <w:sz w:val="17"/>
          <w:szCs w:val="17"/>
          <w:color w:val="FF0000"/>
        </w:rPr>
        <w:t>f</w:t>
      </w:r>
      <w:r>
        <w:rPr>
          <w:rFonts w:ascii="Arial" w:cs="Arial" w:eastAsia="Arial" w:hAnsi="Arial"/>
          <w:sz w:val="17"/>
          <w:szCs w:val="17"/>
          <w:u w:val="single" w:color="auto"/>
          <w:color w:val="0000FF"/>
        </w:rPr>
        <w:t>F</w:t>
      </w:r>
      <w:r>
        <w:rPr>
          <w:rFonts w:ascii="Arial" w:cs="Arial" w:eastAsia="Arial" w:hAnsi="Arial"/>
          <w:sz w:val="17"/>
          <w:szCs w:val="17"/>
          <w:color w:val="000000"/>
        </w:rPr>
        <w:t xml:space="preserve">unds </w:t>
      </w:r>
      <w:r>
        <w:rPr>
          <w:rFonts w:ascii="Arial" w:cs="Arial" w:eastAsia="Arial" w:hAnsi="Arial"/>
          <w:sz w:val="17"/>
          <w:szCs w:val="17"/>
          <w:u w:val="single" w:color="auto"/>
          <w:color w:val="0000FF"/>
        </w:rPr>
        <w:t>in Dollars</w:t>
      </w:r>
      <w:r>
        <w:rPr>
          <w:rFonts w:ascii="Arial" w:cs="Arial" w:eastAsia="Arial" w:hAnsi="Arial"/>
          <w:sz w:val="17"/>
          <w:szCs w:val="17"/>
          <w:color w:val="000000"/>
        </w:rPr>
        <w:t xml:space="preserve"> by wire transfer to such Person or Persons as may be designated by the Borrower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-229870</wp:posOffset>
            </wp:positionV>
            <wp:extent cx="666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48" w:lineRule="exact"/>
        <w:rPr>
          <w:sz w:val="20"/>
          <w:szCs w:val="20"/>
          <w:color w:val="auto"/>
        </w:rPr>
      </w:pPr>
    </w:p>
    <w:p>
      <w:pPr>
        <w:ind w:left="700" w:hanging="264"/>
        <w:spacing w:after="0"/>
        <w:tabs>
          <w:tab w:leader="none" w:pos="700" w:val="left"/>
        </w:tabs>
        <w:numPr>
          <w:ilvl w:val="0"/>
          <w:numId w:val="100"/>
        </w:numPr>
        <w:rPr>
          <w:rFonts w:ascii="Arial" w:cs="Arial" w:eastAsia="Arial" w:hAnsi="Arial"/>
          <w:sz w:val="17"/>
          <w:szCs w:val="17"/>
          <w:color w:val="auto"/>
        </w:rPr>
      </w:pPr>
      <w:r>
        <w:rPr>
          <w:rFonts w:ascii="Arial" w:cs="Arial" w:eastAsia="Arial" w:hAnsi="Arial"/>
          <w:sz w:val="17"/>
          <w:szCs w:val="17"/>
          <w:color w:val="FF0000"/>
          <w:strike w:val="1"/>
        </w:rPr>
        <w:t>Incremental Term Loans. Any Incremental Term Loans shall be borrowed pursuant to, and in accordance with Section 5.13</w:t>
      </w:r>
      <w:r>
        <w:rPr>
          <w:rFonts w:ascii="Arial" w:cs="Arial" w:eastAsia="Arial" w:hAnsi="Arial"/>
          <w:sz w:val="17"/>
          <w:szCs w:val="17"/>
          <w:u w:val="single" w:color="auto"/>
          <w:color w:val="0000FF"/>
        </w:rPr>
        <w:t>[Reserved]</w:t>
      </w:r>
      <w:r>
        <w:rPr>
          <w:rFonts w:ascii="Arial" w:cs="Arial" w:eastAsia="Arial" w:hAnsi="Arial"/>
          <w:sz w:val="17"/>
          <w:szCs w:val="17"/>
          <w:color w:val="000000"/>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Repayment of Term Loans</w:t>
      </w:r>
      <w:r>
        <w:rPr>
          <w:rFonts w:ascii="Arial" w:cs="Arial" w:eastAsia="Arial" w:hAnsi="Arial"/>
          <w:sz w:val="18"/>
          <w:szCs w:val="18"/>
          <w:color w:val="auto"/>
        </w:rPr>
        <w:t>.</w:t>
      </w:r>
    </w:p>
    <w:p>
      <w:pPr>
        <w:spacing w:after="0" w:line="117" w:lineRule="exact"/>
        <w:rPr>
          <w:sz w:val="20"/>
          <w:szCs w:val="20"/>
          <w:color w:val="auto"/>
        </w:rPr>
      </w:pPr>
    </w:p>
    <w:p>
      <w:pPr>
        <w:jc w:val="both"/>
        <w:ind w:right="260" w:firstLine="436"/>
        <w:spacing w:after="0" w:line="286" w:lineRule="auto"/>
        <w:tabs>
          <w:tab w:leader="none" w:pos="685"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Initial Term Loan</w:t>
      </w:r>
      <w:r>
        <w:rPr>
          <w:rFonts w:ascii="Arial" w:cs="Arial" w:eastAsia="Arial" w:hAnsi="Arial"/>
          <w:sz w:val="17"/>
          <w:szCs w:val="17"/>
          <w:color w:val="auto"/>
        </w:rPr>
        <w:t xml:space="preserve">. The Borrower shall repay the aggregate outstanding principal amount of the Initial Term Loan in consecutive quarterly installments on the last Business Day of each of March, June, September and December commencing </w:t>
      </w:r>
      <w:r>
        <w:rPr>
          <w:rFonts w:ascii="Arial" w:cs="Arial" w:eastAsia="Arial" w:hAnsi="Arial"/>
          <w:sz w:val="17"/>
          <w:szCs w:val="17"/>
          <w:color w:val="FF0000"/>
          <w:strike w:val="1"/>
        </w:rPr>
        <w:t>December 31, 2018</w:t>
      </w:r>
      <w:r>
        <w:rPr>
          <w:rFonts w:ascii="Arial" w:cs="Arial" w:eastAsia="Arial" w:hAnsi="Arial"/>
          <w:sz w:val="17"/>
          <w:szCs w:val="17"/>
          <w:u w:val="single" w:color="auto"/>
          <w:color w:val="0000FF"/>
        </w:rPr>
        <w:t>June 30, 2023</w:t>
      </w:r>
      <w:r>
        <w:rPr>
          <w:rFonts w:ascii="Arial" w:cs="Arial" w:eastAsia="Arial" w:hAnsi="Arial"/>
          <w:sz w:val="17"/>
          <w:szCs w:val="17"/>
          <w:color w:val="auto"/>
        </w:rPr>
        <w:t xml:space="preserve"> as set forth below, </w:t>
      </w:r>
      <w:r>
        <w:rPr>
          <w:rFonts w:ascii="Arial" w:cs="Arial" w:eastAsia="Arial" w:hAnsi="Arial"/>
          <w:sz w:val="17"/>
          <w:szCs w:val="17"/>
          <w:u w:val="single" w:color="auto"/>
          <w:color w:val="0000FF"/>
        </w:rPr>
        <w:t>in Dollars,</w:t>
      </w:r>
      <w:r>
        <w:rPr>
          <w:rFonts w:ascii="Arial" w:cs="Arial" w:eastAsia="Arial" w:hAnsi="Arial"/>
          <w:sz w:val="17"/>
          <w:szCs w:val="17"/>
          <w:color w:val="auto"/>
        </w:rPr>
        <w:t xml:space="preserve"> except as the amounts of individual installments may be adjusted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hereof:</w:t>
      </w:r>
    </w:p>
    <w:p>
      <w:pPr>
        <w:spacing w:after="0" w:line="17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68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680" w:type="dxa"/>
            <w:vAlign w:val="bottom"/>
            <w:gridSpan w:val="22"/>
            <w:vMerge w:val="continue"/>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INSTALLMENT</w:t>
            </w: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8"/>
                <w:szCs w:val="18"/>
                <w:color w:val="FF0000"/>
                <w:strike w:val="1"/>
                <w:w w:val="95"/>
              </w:rPr>
              <w:t>December 31,</w:t>
            </w:r>
          </w:p>
        </w:tc>
        <w:tc>
          <w:tcPr>
            <w:tcW w:w="30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FF0000"/>
                <w:strike w:val="1"/>
                <w:w w:val="73"/>
              </w:rPr>
              <w:t>2018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FF0000"/>
                <w:strike w:val="1"/>
              </w:rPr>
              <w:t>2,812,500.00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8"/>
          </w:tcPr>
          <w:p>
            <w:pPr>
              <w:spacing w:after="0"/>
              <w:rPr>
                <w:sz w:val="20"/>
                <w:szCs w:val="20"/>
                <w:color w:val="auto"/>
              </w:rPr>
            </w:pPr>
            <w:r>
              <w:rPr>
                <w:rFonts w:ascii="Arial" w:cs="Arial" w:eastAsia="Arial" w:hAnsi="Arial"/>
                <w:sz w:val="18"/>
                <w:szCs w:val="18"/>
                <w:color w:val="FF0000"/>
                <w:strike w:val="1"/>
                <w:w w:val="87"/>
              </w:rPr>
              <w:t>March 31, 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FF0000"/>
                <w:strike w:val="1"/>
              </w:rPr>
              <w:t>2,812,500.00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June 30,</w:t>
            </w:r>
          </w:p>
        </w:tc>
        <w:tc>
          <w:tcPr>
            <w:tcW w:w="3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4"/>
              </w:rPr>
              <w:t>2019</w:t>
            </w:r>
          </w:p>
        </w:tc>
        <w:tc>
          <w:tcPr>
            <w:tcW w:w="360" w:type="dxa"/>
            <w:vAlign w:val="bottom"/>
            <w:tcBorders>
              <w:bottom w:val="single" w:sz="8" w:color="0000FF"/>
            </w:tcBorders>
            <w:gridSpan w:val="9"/>
            <w:shd w:val="clear" w:color="auto" w:fill="CCEEFF"/>
          </w:tcPr>
          <w:p>
            <w:pPr>
              <w:jc w:val="right"/>
              <w:spacing w:after="0" w:line="176" w:lineRule="exact"/>
              <w:rPr>
                <w:sz w:val="20"/>
                <w:szCs w:val="20"/>
                <w:color w:val="auto"/>
              </w:rPr>
            </w:pPr>
            <w:r>
              <w:rPr>
                <w:rFonts w:ascii="Arial" w:cs="Arial" w:eastAsia="Arial" w:hAnsi="Arial"/>
                <w:sz w:val="18"/>
                <w:szCs w:val="18"/>
                <w:color w:val="0000FF"/>
                <w:w w:val="84"/>
              </w:rPr>
              <w:t>2023</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7"/>
              </w:rPr>
              <w:t>2,812,500.00</w:t>
            </w:r>
          </w:p>
        </w:tc>
        <w:tc>
          <w:tcPr>
            <w:tcW w:w="72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87"/>
              </w:rPr>
              <w:t>3,937,500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w w:val="82"/>
              </w:rPr>
              <w:t>September 30,</w:t>
            </w: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7"/>
          </w:tcPr>
          <w:p>
            <w:pPr>
              <w:jc w:val="right"/>
              <w:spacing w:after="0" w:line="155" w:lineRule="exact"/>
              <w:rPr>
                <w:sz w:val="20"/>
                <w:szCs w:val="20"/>
                <w:color w:val="auto"/>
              </w:rPr>
            </w:pPr>
            <w:r>
              <w:rPr>
                <w:rFonts w:ascii="Arial" w:cs="Arial" w:eastAsia="Arial" w:hAnsi="Arial"/>
                <w:sz w:val="17"/>
                <w:szCs w:val="17"/>
                <w:color w:val="FF0000"/>
                <w:strike w:val="1"/>
                <w:w w:val="73"/>
              </w:rPr>
              <w:t>2019</w:t>
            </w: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240" w:type="dxa"/>
            <w:vAlign w:val="bottom"/>
            <w:tcBorders>
              <w:top w:val="single" w:sz="8" w:color="CCEEFF"/>
            </w:tcBorders>
            <w:gridSpan w:val="6"/>
          </w:tcPr>
          <w:p>
            <w:pPr>
              <w:spacing w:after="0" w:line="156" w:lineRule="exact"/>
              <w:rPr>
                <w:sz w:val="20"/>
                <w:szCs w:val="20"/>
                <w:color w:val="auto"/>
              </w:rPr>
            </w:pPr>
            <w:r>
              <w:rPr>
                <w:rFonts w:ascii="Arial" w:cs="Arial" w:eastAsia="Arial" w:hAnsi="Arial"/>
                <w:sz w:val="18"/>
                <w:szCs w:val="18"/>
                <w:color w:val="0000FF"/>
              </w:rPr>
              <w:t>2023</w:t>
            </w:r>
          </w:p>
        </w:tc>
        <w:tc>
          <w:tcPr>
            <w:tcW w:w="10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7"/>
              </w:rPr>
              <w:t>2,812,500.00</w:t>
            </w: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0000FF"/>
            </w:tcBorders>
          </w:tcPr>
          <w:p>
            <w:pPr>
              <w:jc w:val="right"/>
              <w:spacing w:after="0" w:line="156" w:lineRule="exact"/>
              <w:rPr>
                <w:sz w:val="20"/>
                <w:szCs w:val="20"/>
                <w:color w:val="auto"/>
              </w:rPr>
            </w:pPr>
            <w:r>
              <w:rPr>
                <w:rFonts w:ascii="Arial" w:cs="Arial" w:eastAsia="Arial" w:hAnsi="Arial"/>
                <w:sz w:val="18"/>
                <w:szCs w:val="18"/>
                <w:color w:val="0000FF"/>
                <w:w w:val="84"/>
              </w:rPr>
              <w:t>3,937,500</w:t>
            </w:r>
          </w:p>
        </w:tc>
        <w:tc>
          <w:tcPr>
            <w:tcW w:w="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7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40" w:type="dxa"/>
            <w:vAlign w:val="bottom"/>
            <w:tcBorders>
              <w:bottom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auto"/>
                <w:w w:val="90"/>
              </w:rPr>
              <w:t>December 31,</w:t>
            </w:r>
          </w:p>
        </w:tc>
        <w:tc>
          <w:tcPr>
            <w:tcW w:w="360" w:type="dxa"/>
            <w:vAlign w:val="bottom"/>
            <w:tcBorders>
              <w:bottom w:val="single" w:sz="8" w:color="CCEEFF"/>
            </w:tcBorders>
            <w:gridSpan w:val="9"/>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4"/>
              </w:rPr>
              <w:t>2019</w:t>
            </w:r>
          </w:p>
        </w:tc>
        <w:tc>
          <w:tcPr>
            <w:tcW w:w="20" w:type="dxa"/>
            <w:vAlign w:val="bottom"/>
            <w:tcBorders>
              <w:bottom w:val="single" w:sz="8" w:color="0000FF"/>
            </w:tcBorders>
            <w:shd w:val="clear" w:color="auto" w:fill="CCEEFF"/>
          </w:tcPr>
          <w:p>
            <w:pPr>
              <w:spacing w:after="0"/>
              <w:rPr>
                <w:sz w:val="17"/>
                <w:szCs w:val="17"/>
                <w:color w:val="auto"/>
              </w:rPr>
            </w:pPr>
          </w:p>
        </w:tc>
        <w:tc>
          <w:tcPr>
            <w:tcW w:w="340" w:type="dxa"/>
            <w:vAlign w:val="bottom"/>
            <w:tcBorders>
              <w:bottom w:val="single" w:sz="8" w:color="0000FF"/>
            </w:tcBorders>
            <w:gridSpan w:val="4"/>
            <w:shd w:val="clear" w:color="auto" w:fill="CCEEFF"/>
          </w:tcPr>
          <w:p>
            <w:pPr>
              <w:spacing w:after="0" w:line="156" w:lineRule="exact"/>
              <w:rPr>
                <w:sz w:val="20"/>
                <w:szCs w:val="20"/>
                <w:color w:val="auto"/>
              </w:rPr>
            </w:pPr>
            <w:r>
              <w:rPr>
                <w:rFonts w:ascii="Arial" w:cs="Arial" w:eastAsia="Arial" w:hAnsi="Arial"/>
                <w:sz w:val="18"/>
                <w:szCs w:val="18"/>
                <w:color w:val="0000FF"/>
                <w:w w:val="79"/>
              </w:rPr>
              <w:t>2023</w:t>
            </w:r>
          </w:p>
        </w:tc>
        <w:tc>
          <w:tcPr>
            <w:tcW w:w="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7"/>
              </w:rPr>
              <w:t>2,812,500.00</w:t>
            </w:r>
          </w:p>
        </w:tc>
        <w:tc>
          <w:tcPr>
            <w:tcW w:w="20" w:type="dxa"/>
            <w:vAlign w:val="bottom"/>
            <w:tcBorders>
              <w:bottom w:val="single" w:sz="8" w:color="0000FF"/>
            </w:tcBorders>
            <w:shd w:val="clear" w:color="auto" w:fill="CCEEFF"/>
          </w:tcPr>
          <w:p>
            <w:pPr>
              <w:spacing w:after="0"/>
              <w:rPr>
                <w:sz w:val="17"/>
                <w:szCs w:val="17"/>
                <w:color w:val="auto"/>
              </w:rPr>
            </w:pPr>
          </w:p>
        </w:tc>
        <w:tc>
          <w:tcPr>
            <w:tcW w:w="70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84"/>
              </w:rPr>
              <w:t>3,937,500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40" w:type="dxa"/>
            <w:vAlign w:val="bottom"/>
            <w:tcBorders>
              <w:top w:val="single" w:sz="8" w:color="CCEEFF"/>
            </w:tcBorders>
            <w:gridSpan w:val="5"/>
          </w:tcPr>
          <w:p>
            <w:pPr>
              <w:spacing w:after="0" w:line="156" w:lineRule="exact"/>
              <w:rPr>
                <w:sz w:val="20"/>
                <w:szCs w:val="20"/>
                <w:color w:val="auto"/>
              </w:rPr>
            </w:pPr>
            <w:r>
              <w:rPr>
                <w:rFonts w:ascii="Arial" w:cs="Arial" w:eastAsia="Arial" w:hAnsi="Arial"/>
                <w:sz w:val="18"/>
                <w:szCs w:val="18"/>
                <w:color w:val="auto"/>
                <w:w w:val="88"/>
              </w:rPr>
              <w:t>March 31, 202</w:t>
            </w:r>
          </w:p>
        </w:tc>
        <w:tc>
          <w:tcPr>
            <w:tcW w:w="80" w:type="dxa"/>
            <w:vAlign w:val="bottom"/>
            <w:tcBorders>
              <w:top w:val="single" w:sz="8" w:color="CCEEFF"/>
            </w:tcBorders>
            <w:gridSpan w:val="3"/>
          </w:tcPr>
          <w:p>
            <w:pPr>
              <w:jc w:val="right"/>
              <w:spacing w:after="0" w:line="156" w:lineRule="exact"/>
              <w:rPr>
                <w:sz w:val="20"/>
                <w:szCs w:val="20"/>
                <w:color w:val="auto"/>
              </w:rPr>
            </w:pPr>
            <w:r>
              <w:rPr>
                <w:rFonts w:ascii="Arial" w:cs="Arial" w:eastAsia="Arial" w:hAnsi="Arial"/>
                <w:sz w:val="15"/>
                <w:szCs w:val="15"/>
                <w:color w:val="FF0000"/>
                <w:strike w:val="1"/>
                <w:w w:val="71"/>
              </w:rPr>
              <w:t>0</w:t>
            </w:r>
          </w:p>
        </w:tc>
        <w:tc>
          <w:tcPr>
            <w:tcW w:w="120" w:type="dxa"/>
            <w:vAlign w:val="bottom"/>
            <w:tcBorders>
              <w:top w:val="single" w:sz="8" w:color="CCEEFF"/>
              <w:bottom w:val="single" w:sz="8" w:color="0000FF"/>
            </w:tcBorders>
            <w:gridSpan w:val="2"/>
          </w:tcPr>
          <w:p>
            <w:pPr>
              <w:jc w:val="right"/>
              <w:ind w:right="20"/>
              <w:spacing w:after="0" w:line="156" w:lineRule="exact"/>
              <w:rPr>
                <w:sz w:val="20"/>
                <w:szCs w:val="20"/>
                <w:color w:val="auto"/>
              </w:rPr>
            </w:pPr>
            <w:r>
              <w:rPr>
                <w:rFonts w:ascii="Arial" w:cs="Arial" w:eastAsia="Arial" w:hAnsi="Arial"/>
                <w:sz w:val="18"/>
                <w:szCs w:val="18"/>
                <w:color w:val="0000FF"/>
                <w:w w:val="79"/>
              </w:rPr>
              <w:t>4</w:t>
            </w: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7"/>
              </w:rPr>
              <w:t>2,812,500.00</w:t>
            </w:r>
          </w:p>
        </w:tc>
        <w:tc>
          <w:tcPr>
            <w:tcW w:w="20" w:type="dxa"/>
            <w:vAlign w:val="bottom"/>
            <w:tcBorders>
              <w:top w:val="single" w:sz="8" w:color="CCEEFF"/>
              <w:bottom w:val="single" w:sz="8" w:color="0000FF"/>
            </w:tcBorders>
          </w:tcPr>
          <w:p>
            <w:pPr>
              <w:spacing w:after="0"/>
              <w:rPr>
                <w:sz w:val="13"/>
                <w:szCs w:val="13"/>
                <w:color w:val="auto"/>
              </w:rPr>
            </w:pPr>
          </w:p>
        </w:tc>
        <w:tc>
          <w:tcPr>
            <w:tcW w:w="700" w:type="dxa"/>
            <w:vAlign w:val="bottom"/>
            <w:tcBorders>
              <w:top w:val="single" w:sz="8" w:color="0000FF"/>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84"/>
              </w:rPr>
              <w:t>3,937,500</w:t>
            </w:r>
          </w:p>
        </w:tc>
        <w:tc>
          <w:tcPr>
            <w:tcW w:w="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4"/>
              </w:rPr>
              <w:t>June 30, 202</w:t>
            </w:r>
          </w:p>
        </w:tc>
        <w:tc>
          <w:tcPr>
            <w:tcW w:w="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FF0000"/>
                <w:strike w:val="1"/>
                <w:w w:val="71"/>
              </w:rPr>
              <w:t>0</w:t>
            </w:r>
          </w:p>
        </w:tc>
        <w:tc>
          <w:tcPr>
            <w:tcW w:w="100" w:type="dxa"/>
            <w:vAlign w:val="bottom"/>
            <w:tcBorders>
              <w:bottom w:val="single" w:sz="8" w:color="0000FF"/>
            </w:tcBorders>
            <w:gridSpan w:val="3"/>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4</w:t>
            </w: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7"/>
              </w:rPr>
              <w:t>2,812,500.00</w:t>
            </w:r>
          </w:p>
        </w:tc>
        <w:tc>
          <w:tcPr>
            <w:tcW w:w="20" w:type="dxa"/>
            <w:vAlign w:val="bottom"/>
            <w:tcBorders>
              <w:bottom w:val="single" w:sz="8" w:color="0000FF"/>
            </w:tcBorders>
            <w:shd w:val="clear" w:color="auto" w:fill="CCEEFF"/>
          </w:tcPr>
          <w:p>
            <w:pPr>
              <w:spacing w:after="0"/>
              <w:rPr>
                <w:sz w:val="17"/>
                <w:szCs w:val="17"/>
                <w:color w:val="auto"/>
              </w:rPr>
            </w:pPr>
          </w:p>
        </w:tc>
        <w:tc>
          <w:tcPr>
            <w:tcW w:w="70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84"/>
              </w:rPr>
              <w:t>3,937,500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w w:val="82"/>
              </w:rPr>
              <w:t>September 30,</w:t>
            </w: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CCEEFF"/>
            </w:tcBorders>
            <w:gridSpan w:val="6"/>
          </w:tcPr>
          <w:p>
            <w:pPr>
              <w:jc w:val="right"/>
              <w:spacing w:after="0" w:line="156" w:lineRule="exact"/>
              <w:rPr>
                <w:sz w:val="20"/>
                <w:szCs w:val="20"/>
                <w:color w:val="auto"/>
              </w:rPr>
            </w:pPr>
            <w:r>
              <w:rPr>
                <w:rFonts w:ascii="Arial" w:cs="Arial" w:eastAsia="Arial" w:hAnsi="Arial"/>
                <w:sz w:val="18"/>
                <w:szCs w:val="18"/>
                <w:color w:val="auto"/>
                <w:w w:val="79"/>
              </w:rPr>
              <w:t>202</w:t>
            </w:r>
          </w:p>
        </w:tc>
        <w:tc>
          <w:tcPr>
            <w:tcW w:w="80" w:type="dxa"/>
            <w:vAlign w:val="bottom"/>
            <w:tcBorders>
              <w:top w:val="single" w:sz="8" w:color="CCEEFF"/>
            </w:tcBorders>
            <w:gridSpan w:val="3"/>
          </w:tcPr>
          <w:p>
            <w:pPr>
              <w:jc w:val="right"/>
              <w:spacing w:after="0" w:line="156" w:lineRule="exact"/>
              <w:rPr>
                <w:sz w:val="20"/>
                <w:szCs w:val="20"/>
                <w:color w:val="auto"/>
              </w:rPr>
            </w:pPr>
            <w:r>
              <w:rPr>
                <w:rFonts w:ascii="Arial" w:cs="Arial" w:eastAsia="Arial" w:hAnsi="Arial"/>
                <w:sz w:val="15"/>
                <w:szCs w:val="15"/>
                <w:color w:val="FF0000"/>
                <w:strike w:val="1"/>
                <w:w w:val="71"/>
              </w:rPr>
              <w:t>0</w:t>
            </w:r>
          </w:p>
        </w:tc>
        <w:tc>
          <w:tcPr>
            <w:tcW w:w="100" w:type="dxa"/>
            <w:vAlign w:val="bottom"/>
            <w:tcBorders>
              <w:top w:val="single" w:sz="8" w:color="CCEEFF"/>
            </w:tcBorders>
            <w:gridSpan w:val="3"/>
          </w:tcPr>
          <w:p>
            <w:pPr>
              <w:spacing w:after="0" w:line="156" w:lineRule="exact"/>
              <w:rPr>
                <w:sz w:val="20"/>
                <w:szCs w:val="20"/>
                <w:color w:val="auto"/>
              </w:rPr>
            </w:pPr>
            <w:r>
              <w:rPr>
                <w:rFonts w:ascii="Arial" w:cs="Arial" w:eastAsia="Arial" w:hAnsi="Arial"/>
                <w:sz w:val="18"/>
                <w:szCs w:val="18"/>
                <w:color w:val="0000FF"/>
                <w:w w:val="79"/>
              </w:rPr>
              <w:t>4</w:t>
            </w:r>
          </w:p>
        </w:tc>
        <w:tc>
          <w:tcPr>
            <w:tcW w:w="4140" w:type="dxa"/>
            <w:vAlign w:val="bottom"/>
            <w:tcBorders>
              <w:top w:val="single" w:sz="8" w:color="CCEEFF"/>
            </w:tcBorders>
            <w:gridSpan w:val="3"/>
          </w:tcPr>
          <w:p>
            <w:pPr>
              <w:spacing w:after="0"/>
              <w:rPr>
                <w:sz w:val="13"/>
                <w:szCs w:val="13"/>
                <w:color w:val="auto"/>
              </w:rPr>
            </w:pPr>
          </w:p>
        </w:tc>
        <w:tc>
          <w:tcPr>
            <w:tcW w:w="10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7"/>
              </w:rPr>
              <w:t>2,812,500.00</w:t>
            </w: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0000FF"/>
            </w:tcBorders>
          </w:tcPr>
          <w:p>
            <w:pPr>
              <w:jc w:val="right"/>
              <w:spacing w:after="0" w:line="156" w:lineRule="exact"/>
              <w:rPr>
                <w:sz w:val="20"/>
                <w:szCs w:val="20"/>
                <w:color w:val="auto"/>
              </w:rPr>
            </w:pPr>
            <w:r>
              <w:rPr>
                <w:rFonts w:ascii="Arial" w:cs="Arial" w:eastAsia="Arial" w:hAnsi="Arial"/>
                <w:sz w:val="18"/>
                <w:szCs w:val="18"/>
                <w:color w:val="0000FF"/>
                <w:w w:val="84"/>
              </w:rPr>
              <w:t>3,937,500</w:t>
            </w:r>
          </w:p>
        </w:tc>
        <w:tc>
          <w:tcPr>
            <w:tcW w:w="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7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00" w:type="dxa"/>
            <w:vAlign w:val="bottom"/>
            <w:tcBorders>
              <w:bottom w:val="single" w:sz="8" w:color="CCEEFF"/>
            </w:tcBorders>
            <w:gridSpan w:val="11"/>
            <w:shd w:val="clear" w:color="auto" w:fill="CCEEFF"/>
          </w:tcPr>
          <w:p>
            <w:pPr>
              <w:spacing w:after="0" w:line="156" w:lineRule="exact"/>
              <w:rPr>
                <w:sz w:val="20"/>
                <w:szCs w:val="20"/>
                <w:color w:val="auto"/>
              </w:rPr>
            </w:pPr>
            <w:r>
              <w:rPr>
                <w:rFonts w:ascii="Arial" w:cs="Arial" w:eastAsia="Arial" w:hAnsi="Arial"/>
                <w:sz w:val="18"/>
                <w:szCs w:val="18"/>
                <w:color w:val="auto"/>
                <w:w w:val="86"/>
              </w:rPr>
              <w:t>December 31, 202</w:t>
            </w:r>
          </w:p>
        </w:tc>
        <w:tc>
          <w:tcPr>
            <w:tcW w:w="100" w:type="dxa"/>
            <w:vAlign w:val="bottom"/>
            <w:tcBorders>
              <w:bottom w:val="single" w:sz="8" w:color="CCEEFF"/>
            </w:tcBorders>
            <w:gridSpan w:val="3"/>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79"/>
              </w:rPr>
              <w:t>0</w:t>
            </w:r>
          </w:p>
        </w:tc>
        <w:tc>
          <w:tcPr>
            <w:tcW w:w="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0000FF"/>
                <w:w w:val="71"/>
              </w:rPr>
              <w:t>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7"/>
              </w:rPr>
              <w:t>5,625,000.00</w:t>
            </w:r>
          </w:p>
        </w:tc>
        <w:tc>
          <w:tcPr>
            <w:tcW w:w="72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87"/>
              </w:rPr>
              <w:t>3,937,500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Borders>
              <w:top w:val="single" w:sz="8" w:color="CCEEFF"/>
            </w:tcBorders>
            <w:gridSpan w:val="5"/>
          </w:tcPr>
          <w:p>
            <w:pPr>
              <w:spacing w:after="0" w:line="156" w:lineRule="exact"/>
              <w:rPr>
                <w:sz w:val="20"/>
                <w:szCs w:val="20"/>
                <w:color w:val="auto"/>
              </w:rPr>
            </w:pPr>
            <w:r>
              <w:rPr>
                <w:rFonts w:ascii="Arial" w:cs="Arial" w:eastAsia="Arial" w:hAnsi="Arial"/>
                <w:sz w:val="18"/>
                <w:szCs w:val="18"/>
                <w:color w:val="auto"/>
                <w:w w:val="88"/>
              </w:rPr>
              <w:t>March 31, 202</w:t>
            </w:r>
          </w:p>
        </w:tc>
        <w:tc>
          <w:tcPr>
            <w:tcW w:w="80" w:type="dxa"/>
            <w:vAlign w:val="bottom"/>
            <w:tcBorders>
              <w:top w:val="single" w:sz="8" w:color="CCEEFF"/>
            </w:tcBorders>
            <w:gridSpan w:val="3"/>
          </w:tcPr>
          <w:p>
            <w:pPr>
              <w:jc w:val="right"/>
              <w:spacing w:after="0" w:line="156" w:lineRule="exact"/>
              <w:rPr>
                <w:sz w:val="20"/>
                <w:szCs w:val="20"/>
                <w:color w:val="auto"/>
              </w:rPr>
            </w:pPr>
            <w:r>
              <w:rPr>
                <w:rFonts w:ascii="Arial" w:cs="Arial" w:eastAsia="Arial" w:hAnsi="Arial"/>
                <w:sz w:val="15"/>
                <w:szCs w:val="15"/>
                <w:color w:val="FF0000"/>
                <w:strike w:val="1"/>
                <w:w w:val="71"/>
              </w:rPr>
              <w:t>1</w:t>
            </w:r>
          </w:p>
        </w:tc>
        <w:tc>
          <w:tcPr>
            <w:tcW w:w="260" w:type="dxa"/>
            <w:vAlign w:val="bottom"/>
            <w:tcBorders>
              <w:top w:val="single" w:sz="8" w:color="CCEEFF"/>
            </w:tcBorders>
            <w:gridSpan w:val="5"/>
          </w:tcPr>
          <w:p>
            <w:pPr>
              <w:jc w:val="right"/>
              <w:ind w:right="87"/>
              <w:spacing w:after="0" w:line="156" w:lineRule="exact"/>
              <w:rPr>
                <w:sz w:val="20"/>
                <w:szCs w:val="20"/>
                <w:color w:val="auto"/>
              </w:rPr>
            </w:pPr>
            <w:r>
              <w:rPr>
                <w:rFonts w:ascii="Arial" w:cs="Arial" w:eastAsia="Arial" w:hAnsi="Arial"/>
                <w:sz w:val="18"/>
                <w:szCs w:val="18"/>
                <w:color w:val="0000FF"/>
                <w:w w:val="79"/>
              </w:rPr>
              <w:t>5</w:t>
            </w: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7"/>
              </w:rPr>
              <w:t>5,625,000.00</w:t>
            </w: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0000FF"/>
            </w:tcBorders>
          </w:tcPr>
          <w:p>
            <w:pPr>
              <w:jc w:val="right"/>
              <w:spacing w:after="0" w:line="156" w:lineRule="exact"/>
              <w:rPr>
                <w:sz w:val="20"/>
                <w:szCs w:val="20"/>
                <w:color w:val="auto"/>
              </w:rPr>
            </w:pPr>
            <w:r>
              <w:rPr>
                <w:rFonts w:ascii="Arial" w:cs="Arial" w:eastAsia="Arial" w:hAnsi="Arial"/>
                <w:sz w:val="18"/>
                <w:szCs w:val="18"/>
                <w:color w:val="0000FF"/>
                <w:w w:val="84"/>
              </w:rPr>
              <w:t>3,937,500</w:t>
            </w:r>
          </w:p>
        </w:tc>
        <w:tc>
          <w:tcPr>
            <w:tcW w:w="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7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FF0000"/>
                <w:strike w:val="1"/>
                <w:w w:val="84"/>
              </w:rPr>
              <w:t>June 30, 2021</w:t>
            </w:r>
          </w:p>
        </w:tc>
        <w:tc>
          <w:tcPr>
            <w:tcW w:w="140" w:type="dxa"/>
            <w:vAlign w:val="bottom"/>
            <w:gridSpan w:val="5"/>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FF0000"/>
                <w:strike w:val="1"/>
                <w:w w:val="79"/>
              </w:rPr>
              <w:t>$</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FF0000"/>
                <w:strike w:val="1"/>
                <w:w w:val="72"/>
              </w:rPr>
              <w:t>5,625,000.00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15"/>
          </w:tcPr>
          <w:p>
            <w:pPr>
              <w:spacing w:after="0"/>
              <w:rPr>
                <w:sz w:val="20"/>
                <w:szCs w:val="20"/>
                <w:color w:val="auto"/>
              </w:rPr>
            </w:pPr>
            <w:r>
              <w:rPr>
                <w:rFonts w:ascii="Arial" w:cs="Arial" w:eastAsia="Arial" w:hAnsi="Arial"/>
                <w:sz w:val="18"/>
                <w:szCs w:val="18"/>
                <w:color w:val="FF0000"/>
                <w:strike w:val="1"/>
                <w:w w:val="85"/>
              </w:rPr>
              <w:t>September 30, 2021</w:t>
            </w:r>
          </w:p>
        </w:tc>
        <w:tc>
          <w:tcPr>
            <w:tcW w:w="424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FF0000"/>
                <w:strike w:val="1"/>
              </w:rPr>
              <w:t>5,625,000.00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14"/>
            <w:shd w:val="clear" w:color="auto" w:fill="CCEEFF"/>
          </w:tcPr>
          <w:p>
            <w:pPr>
              <w:spacing w:after="0"/>
              <w:rPr>
                <w:sz w:val="20"/>
                <w:szCs w:val="20"/>
                <w:color w:val="auto"/>
              </w:rPr>
            </w:pPr>
            <w:r>
              <w:rPr>
                <w:rFonts w:ascii="Arial" w:cs="Arial" w:eastAsia="Arial" w:hAnsi="Arial"/>
                <w:sz w:val="18"/>
                <w:szCs w:val="18"/>
                <w:color w:val="FF0000"/>
                <w:strike w:val="1"/>
                <w:w w:val="87"/>
              </w:rPr>
              <w:t>December 31, 2021</w:t>
            </w:r>
          </w:p>
        </w:tc>
        <w:tc>
          <w:tcPr>
            <w:tcW w:w="4260" w:type="dxa"/>
            <w:vAlign w:val="bottom"/>
            <w:gridSpan w:val="7"/>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FF0000"/>
                <w:strike w:val="1"/>
              </w:rPr>
              <w:t>8,437,500.00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8"/>
          </w:tcPr>
          <w:p>
            <w:pPr>
              <w:spacing w:after="0"/>
              <w:rPr>
                <w:sz w:val="20"/>
                <w:szCs w:val="20"/>
                <w:color w:val="auto"/>
              </w:rPr>
            </w:pPr>
            <w:r>
              <w:rPr>
                <w:rFonts w:ascii="Arial" w:cs="Arial" w:eastAsia="Arial" w:hAnsi="Arial"/>
                <w:sz w:val="18"/>
                <w:szCs w:val="18"/>
                <w:color w:val="FF0000"/>
                <w:strike w:val="1"/>
                <w:w w:val="87"/>
              </w:rPr>
              <w:t>March 31, 2022</w:t>
            </w:r>
          </w:p>
        </w:tc>
        <w:tc>
          <w:tcPr>
            <w:tcW w:w="4540" w:type="dxa"/>
            <w:vAlign w:val="bottom"/>
            <w:gridSpan w:val="1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FF0000"/>
                <w:strike w:val="1"/>
              </w:rPr>
              <w:t>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FF0000"/>
                <w:strike w:val="1"/>
                <w:w w:val="84"/>
              </w:rPr>
              <w:t>June 30, 2022</w:t>
            </w:r>
          </w:p>
        </w:tc>
        <w:tc>
          <w:tcPr>
            <w:tcW w:w="4680" w:type="dxa"/>
            <w:vAlign w:val="bottom"/>
            <w:gridSpan w:val="18"/>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FF0000"/>
                <w:strike w:val="1"/>
              </w:rPr>
              <w:t>8,437,500.00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15"/>
          </w:tcPr>
          <w:p>
            <w:pPr>
              <w:spacing w:after="0"/>
              <w:rPr>
                <w:sz w:val="20"/>
                <w:szCs w:val="20"/>
                <w:color w:val="auto"/>
              </w:rPr>
            </w:pPr>
            <w:r>
              <w:rPr>
                <w:rFonts w:ascii="Arial" w:cs="Arial" w:eastAsia="Arial" w:hAnsi="Arial"/>
                <w:sz w:val="18"/>
                <w:szCs w:val="18"/>
                <w:color w:val="FF0000"/>
                <w:strike w:val="1"/>
                <w:w w:val="85"/>
              </w:rPr>
              <w:t>September 30, 2022</w:t>
            </w:r>
          </w:p>
        </w:tc>
        <w:tc>
          <w:tcPr>
            <w:tcW w:w="424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FF0000"/>
                <w:strike w:val="1"/>
              </w:rPr>
              <w:t>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14"/>
            <w:shd w:val="clear" w:color="auto" w:fill="CCEEFF"/>
          </w:tcPr>
          <w:p>
            <w:pPr>
              <w:spacing w:after="0"/>
              <w:rPr>
                <w:sz w:val="20"/>
                <w:szCs w:val="20"/>
                <w:color w:val="auto"/>
              </w:rPr>
            </w:pPr>
            <w:r>
              <w:rPr>
                <w:rFonts w:ascii="Arial" w:cs="Arial" w:eastAsia="Arial" w:hAnsi="Arial"/>
                <w:sz w:val="18"/>
                <w:szCs w:val="18"/>
                <w:color w:val="FF0000"/>
                <w:strike w:val="1"/>
                <w:w w:val="87"/>
              </w:rPr>
              <w:t>December 31, 2022</w:t>
            </w:r>
          </w:p>
        </w:tc>
        <w:tc>
          <w:tcPr>
            <w:tcW w:w="4260" w:type="dxa"/>
            <w:vAlign w:val="bottom"/>
            <w:gridSpan w:val="7"/>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FF0000"/>
                <w:strike w:val="1"/>
              </w:rPr>
              <w:t>8,437,500.00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8"/>
          </w:tcPr>
          <w:p>
            <w:pPr>
              <w:spacing w:after="0"/>
              <w:rPr>
                <w:sz w:val="20"/>
                <w:szCs w:val="20"/>
                <w:color w:val="auto"/>
              </w:rPr>
            </w:pPr>
            <w:r>
              <w:rPr>
                <w:rFonts w:ascii="Arial" w:cs="Arial" w:eastAsia="Arial" w:hAnsi="Arial"/>
                <w:sz w:val="18"/>
                <w:szCs w:val="18"/>
                <w:color w:val="FF0000"/>
                <w:strike w:val="1"/>
                <w:w w:val="87"/>
              </w:rPr>
              <w:t>March 31, 2023</w:t>
            </w:r>
          </w:p>
        </w:tc>
        <w:tc>
          <w:tcPr>
            <w:tcW w:w="4540" w:type="dxa"/>
            <w:vAlign w:val="bottom"/>
            <w:gridSpan w:val="1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FF0000"/>
                <w:strike w:val="1"/>
              </w:rPr>
              <w:t>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FF0000"/>
                <w:strike w:val="1"/>
                <w:w w:val="84"/>
              </w:rPr>
              <w:t>June 30, 2023</w:t>
            </w:r>
          </w:p>
        </w:tc>
        <w:tc>
          <w:tcPr>
            <w:tcW w:w="4680" w:type="dxa"/>
            <w:vAlign w:val="bottom"/>
            <w:gridSpan w:val="18"/>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FF0000"/>
                <w:strike w:val="1"/>
                <w:w w:val="79"/>
              </w:rPr>
              <w: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FF0000"/>
                <w:strike w:val="1"/>
              </w:rPr>
              <w:t>8,437,500.00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1"/>
          </w:tcPr>
          <w:p>
            <w:pPr>
              <w:spacing w:after="0" w:line="201" w:lineRule="exact"/>
              <w:rPr>
                <w:sz w:val="20"/>
                <w:szCs w:val="20"/>
                <w:color w:val="auto"/>
              </w:rPr>
            </w:pPr>
            <w:r>
              <w:rPr>
                <w:rFonts w:ascii="Arial" w:cs="Arial" w:eastAsia="Arial" w:hAnsi="Arial"/>
                <w:sz w:val="18"/>
                <w:szCs w:val="18"/>
                <w:color w:val="auto"/>
              </w:rPr>
              <w:t>Term Loan Maturity Date</w:t>
            </w:r>
          </w:p>
        </w:tc>
        <w:tc>
          <w:tcPr>
            <w:tcW w:w="100" w:type="dxa"/>
            <w:vAlign w:val="bottom"/>
          </w:tcPr>
          <w:p>
            <w:pPr>
              <w:spacing w:after="0"/>
              <w:rPr>
                <w:sz w:val="17"/>
                <w:szCs w:val="17"/>
                <w:color w:val="auto"/>
              </w:rPr>
            </w:pPr>
          </w:p>
        </w:tc>
        <w:tc>
          <w:tcPr>
            <w:tcW w:w="1700" w:type="dxa"/>
            <w:vAlign w:val="bottom"/>
            <w:gridSpan w:val="4"/>
          </w:tcPr>
          <w:p>
            <w:pPr>
              <w:jc w:val="center"/>
              <w:ind w:right="40"/>
              <w:spacing w:after="0" w:line="201" w:lineRule="exact"/>
              <w:rPr>
                <w:sz w:val="20"/>
                <w:szCs w:val="20"/>
                <w:color w:val="auto"/>
              </w:rPr>
            </w:pPr>
            <w:r>
              <w:rPr>
                <w:rFonts w:ascii="Arial" w:cs="Arial" w:eastAsia="Arial" w:hAnsi="Arial"/>
                <w:sz w:val="18"/>
                <w:szCs w:val="18"/>
                <w:color w:val="auto"/>
                <w:w w:val="92"/>
              </w:rPr>
              <w:t>Remaining principal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amount of the Initial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Term Loan</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If not sooner paid, the Initial Term Loan shall be paid in full, together with accrued interest thereon, on the Term Loan Maturity Date. Amounts repaid under the Term Loan Facility pursuant to this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may not be reborrowed.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860"/>
          </w:cols>
          <w:pgMar w:left="440" w:top="490" w:right="599" w:bottom="1440" w:gutter="0" w:footer="0" w:header="0"/>
        </w:sectPr>
      </w:pPr>
    </w:p>
    <w:bookmarkStart w:id="117" w:name="page118"/>
    <w:bookmarkEnd w:id="117"/>
    <w:p>
      <w:pPr>
        <w:ind w:left="-20" w:right="360" w:firstLine="436"/>
        <w:spacing w:after="0" w:line="277" w:lineRule="auto"/>
        <w:tabs>
          <w:tab w:leader="none" w:pos="67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Incremental Term Loans</w:t>
      </w:r>
      <w:r>
        <w:rPr>
          <w:rFonts w:ascii="Arial" w:cs="Arial" w:eastAsia="Arial" w:hAnsi="Arial"/>
          <w:sz w:val="18"/>
          <w:szCs w:val="18"/>
          <w:color w:val="FF0000"/>
          <w:strike w:val="1"/>
        </w:rPr>
        <w:t>. The Borrower shall repay the aggregate outstanding principal amount of each Incremental Term Loan (if any) as</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determined pursuant to, and in accordance with, </w:t>
      </w:r>
      <w:r>
        <w:rPr>
          <w:rFonts w:ascii="Arial" w:cs="Arial" w:eastAsia="Arial" w:hAnsi="Arial"/>
          <w:sz w:val="18"/>
          <w:szCs w:val="18"/>
          <w:u w:val="single" w:color="auto"/>
          <w:color w:val="FF0000"/>
          <w:strike w:val="1"/>
        </w:rPr>
        <w:t>Section 5.13</w:t>
      </w:r>
      <w:r>
        <w:rPr>
          <w:rFonts w:ascii="Arial" w:cs="Arial" w:eastAsia="Arial" w:hAnsi="Arial"/>
          <w:sz w:val="18"/>
          <w:szCs w:val="18"/>
          <w:u w:val="single" w:color="auto"/>
          <w:color w:val="0000FF"/>
          <w:strike w:val="1"/>
        </w:rPr>
        <w:t>[Reserved]</w:t>
      </w:r>
      <w:r>
        <w:rPr>
          <w:rFonts w:ascii="Arial" w:cs="Arial" w:eastAsia="Arial" w:hAnsi="Arial"/>
          <w:sz w:val="18"/>
          <w:szCs w:val="18"/>
          <w:color w:val="000000"/>
          <w:strike w:val="1"/>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Prepayments of Term Loans</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85" w:lineRule="auto"/>
        <w:tabs>
          <w:tab w:leader="none" w:pos="66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shall have the right at any time and from time to time, without premium or penalty, </w:t>
      </w:r>
      <w:r>
        <w:rPr>
          <w:rFonts w:ascii="Arial" w:cs="Arial" w:eastAsia="Arial" w:hAnsi="Arial"/>
          <w:sz w:val="16"/>
          <w:szCs w:val="16"/>
          <w:u w:val="single" w:color="auto"/>
          <w:color w:val="0000FF"/>
        </w:rPr>
        <w:t>except as set forth in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Section 5.9,</w:t>
      </w:r>
      <w:r>
        <w:rPr>
          <w:rFonts w:ascii="Arial" w:cs="Arial" w:eastAsia="Arial" w:hAnsi="Arial"/>
          <w:sz w:val="16"/>
          <w:szCs w:val="16"/>
          <w:color w:val="0000FF"/>
        </w:rPr>
        <w:t xml:space="preserve"> </w:t>
      </w:r>
      <w:r>
        <w:rPr>
          <w:rFonts w:ascii="Arial" w:cs="Arial" w:eastAsia="Arial" w:hAnsi="Arial"/>
          <w:sz w:val="16"/>
          <w:szCs w:val="16"/>
          <w:color w:val="000000"/>
        </w:rPr>
        <w:t>to prepay the Term Loans, in whole or in part, upon delivery to the Administrative Agent of a Notice of Prepayment not later than 11:00</w:t>
      </w:r>
      <w:r>
        <w:rPr>
          <w:rFonts w:ascii="Arial" w:cs="Arial" w:eastAsia="Arial" w:hAnsi="Arial"/>
          <w:sz w:val="16"/>
          <w:szCs w:val="16"/>
          <w:color w:val="0000FF"/>
        </w:rPr>
        <w:t xml:space="preserve"> </w:t>
      </w:r>
      <w:r>
        <w:rPr>
          <w:rFonts w:ascii="Arial" w:cs="Arial" w:eastAsia="Arial" w:hAnsi="Arial"/>
          <w:sz w:val="16"/>
          <w:szCs w:val="16"/>
          <w:color w:val="000000"/>
        </w:rPr>
        <w:t xml:space="preserve">a.m. (i) on the same Business Day as </w:t>
      </w:r>
      <w:r>
        <w:rPr>
          <w:rFonts w:ascii="Arial" w:cs="Arial" w:eastAsia="Arial" w:hAnsi="Arial"/>
          <w:sz w:val="16"/>
          <w:szCs w:val="16"/>
          <w:u w:val="single" w:color="auto"/>
          <w:color w:val="0000FF"/>
        </w:rPr>
        <w:t>the prepayment of</w:t>
      </w:r>
      <w:r>
        <w:rPr>
          <w:rFonts w:ascii="Arial" w:cs="Arial" w:eastAsia="Arial" w:hAnsi="Arial"/>
          <w:sz w:val="16"/>
          <w:szCs w:val="16"/>
          <w:color w:val="000000"/>
        </w:rPr>
        <w:t xml:space="preserve"> each Base Rate Loan and (ii) at least three (3) </w:t>
      </w:r>
      <w:r>
        <w:rPr>
          <w:rFonts w:ascii="Arial" w:cs="Arial" w:eastAsia="Arial" w:hAnsi="Arial"/>
          <w:sz w:val="16"/>
          <w:szCs w:val="16"/>
          <w:u w:val="single" w:color="auto"/>
          <w:color w:val="0000FF"/>
        </w:rPr>
        <w:t>RFR</w:t>
      </w:r>
      <w:r>
        <w:rPr>
          <w:rFonts w:ascii="Arial" w:cs="Arial" w:eastAsia="Arial" w:hAnsi="Arial"/>
          <w:sz w:val="16"/>
          <w:szCs w:val="16"/>
          <w:color w:val="000000"/>
        </w:rPr>
        <w:t xml:space="preserve"> Business Days before each </w:t>
      </w:r>
      <w:r>
        <w:rPr>
          <w:rFonts w:ascii="Arial" w:cs="Arial" w:eastAsia="Arial" w:hAnsi="Arial"/>
          <w:sz w:val="16"/>
          <w:szCs w:val="16"/>
          <w:color w:val="FF0000"/>
          <w:strike w:val="1"/>
        </w:rPr>
        <w:t>Eurocurrency</w:t>
      </w:r>
      <w:r>
        <w:rPr>
          <w:rFonts w:ascii="Arial" w:cs="Arial" w:eastAsia="Arial" w:hAnsi="Arial"/>
          <w:sz w:val="16"/>
          <w:szCs w:val="16"/>
          <w:color w:val="000000"/>
        </w:rPr>
        <w:t xml:space="preserve"> </w:t>
      </w:r>
      <w:r>
        <w:rPr>
          <w:rFonts w:ascii="Arial" w:cs="Arial" w:eastAsia="Arial" w:hAnsi="Arial"/>
          <w:sz w:val="16"/>
          <w:szCs w:val="16"/>
          <w:color w:val="FF0000"/>
          <w:strike w:val="1"/>
        </w:rPr>
        <w:t>Rate</w:t>
      </w:r>
      <w:r>
        <w:rPr>
          <w:rFonts w:ascii="Arial" w:cs="Arial" w:eastAsia="Arial" w:hAnsi="Arial"/>
          <w:sz w:val="16"/>
          <w:szCs w:val="16"/>
          <w:u w:val="single" w:color="auto"/>
          <w:color w:val="0000FF"/>
        </w:rPr>
        <w:t>Term SOFR</w:t>
      </w:r>
      <w:r>
        <w:rPr>
          <w:rFonts w:ascii="Arial" w:cs="Arial" w:eastAsia="Arial" w:hAnsi="Arial"/>
          <w:sz w:val="16"/>
          <w:szCs w:val="16"/>
          <w:color w:val="FF0000"/>
        </w:rPr>
        <w:t xml:space="preserve"> </w:t>
      </w:r>
      <w:r>
        <w:rPr>
          <w:rFonts w:ascii="Arial" w:cs="Arial" w:eastAsia="Arial" w:hAnsi="Arial"/>
          <w:sz w:val="16"/>
          <w:szCs w:val="16"/>
          <w:color w:val="000000"/>
        </w:rPr>
        <w:t>Loan,</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in each case</w:t>
      </w:r>
      <w:r>
        <w:rPr>
          <w:rFonts w:ascii="Arial" w:cs="Arial" w:eastAsia="Arial" w:hAnsi="Arial"/>
          <w:sz w:val="16"/>
          <w:szCs w:val="16"/>
          <w:color w:val="FF0000"/>
        </w:rPr>
        <w:t xml:space="preserve"> </w:t>
      </w:r>
      <w:r>
        <w:rPr>
          <w:rFonts w:ascii="Arial" w:cs="Arial" w:eastAsia="Arial" w:hAnsi="Arial"/>
          <w:sz w:val="16"/>
          <w:szCs w:val="16"/>
          <w:color w:val="000000"/>
        </w:rPr>
        <w:t>specifying the date and amount of</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p</w:t>
      </w:r>
      <w:r>
        <w:rPr>
          <w:rFonts w:ascii="Arial" w:cs="Arial" w:eastAsia="Arial" w:hAnsi="Arial"/>
          <w:sz w:val="16"/>
          <w:szCs w:val="16"/>
          <w:color w:val="000000"/>
        </w:rPr>
        <w:t>repayment, whether the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p</w:t>
      </w:r>
      <w:r>
        <w:rPr>
          <w:rFonts w:ascii="Arial" w:cs="Arial" w:eastAsia="Arial" w:hAnsi="Arial"/>
          <w:sz w:val="16"/>
          <w:szCs w:val="16"/>
          <w:color w:val="000000"/>
        </w:rPr>
        <w:t>repayment is of</w:t>
      </w:r>
      <w:r>
        <w:rPr>
          <w:rFonts w:ascii="Arial" w:cs="Arial" w:eastAsia="Arial" w:hAnsi="Arial"/>
          <w:sz w:val="16"/>
          <w:szCs w:val="16"/>
          <w:color w:val="FF0000"/>
        </w:rPr>
        <w:t xml:space="preserve">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FF0000"/>
        </w:rPr>
        <w:t xml:space="preserve"> </w:t>
      </w:r>
      <w:r>
        <w:rPr>
          <w:rFonts w:ascii="Arial" w:cs="Arial" w:eastAsia="Arial" w:hAnsi="Arial"/>
          <w:sz w:val="16"/>
          <w:szCs w:val="16"/>
          <w:color w:val="000000"/>
        </w:rPr>
        <w:t>Loans</w:t>
      </w:r>
      <w:r>
        <w:rPr>
          <w:rFonts w:ascii="Arial" w:cs="Arial" w:eastAsia="Arial" w:hAnsi="Arial"/>
          <w:sz w:val="16"/>
          <w:szCs w:val="16"/>
          <w:color w:val="FF0000"/>
        </w:rPr>
        <w:t xml:space="preserve"> </w:t>
      </w:r>
      <w:r>
        <w:rPr>
          <w:rFonts w:ascii="Arial" w:cs="Arial" w:eastAsia="Arial" w:hAnsi="Arial"/>
          <w:sz w:val="16"/>
          <w:szCs w:val="16"/>
          <w:color w:val="000000"/>
        </w:rPr>
        <w:t xml:space="preserve">or Base Rate Loans or a combination thereof, and if </w:t>
      </w:r>
      <w:r>
        <w:rPr>
          <w:rFonts w:ascii="Arial" w:cs="Arial" w:eastAsia="Arial" w:hAnsi="Arial"/>
          <w:sz w:val="16"/>
          <w:szCs w:val="16"/>
          <w:u w:val="single" w:color="auto"/>
          <w:color w:val="0000FF"/>
        </w:rPr>
        <w:t>of</w:t>
      </w:r>
      <w:r>
        <w:rPr>
          <w:rFonts w:ascii="Arial" w:cs="Arial" w:eastAsia="Arial" w:hAnsi="Arial"/>
          <w:sz w:val="16"/>
          <w:szCs w:val="16"/>
          <w:color w:val="000000"/>
        </w:rPr>
        <w:t xml:space="preserve"> a combination thereof</w:t>
      </w:r>
      <w:r>
        <w:rPr>
          <w:rFonts w:ascii="Arial" w:cs="Arial" w:eastAsia="Arial" w:hAnsi="Arial"/>
          <w:sz w:val="16"/>
          <w:szCs w:val="16"/>
          <w:color w:val="FF0000"/>
          <w:strike w:val="1"/>
        </w:rPr>
        <w:t>, the amount allocable to each and whether the repayment is of the Initial</w:t>
      </w:r>
      <w:r>
        <w:rPr>
          <w:rFonts w:ascii="Arial" w:cs="Arial" w:eastAsia="Arial" w:hAnsi="Arial"/>
          <w:sz w:val="16"/>
          <w:szCs w:val="16"/>
          <w:color w:val="000000"/>
        </w:rPr>
        <w:t xml:space="preserve"> </w:t>
      </w:r>
      <w:r>
        <w:rPr>
          <w:rFonts w:ascii="Arial" w:cs="Arial" w:eastAsia="Arial" w:hAnsi="Arial"/>
          <w:sz w:val="16"/>
          <w:szCs w:val="16"/>
          <w:color w:val="FF0000"/>
          <w:strike w:val="1"/>
        </w:rPr>
        <w:t>Term Loan, an Incremental Term Loan or a combination thereof, and if a combination thereof</w:t>
      </w:r>
      <w:r>
        <w:rPr>
          <w:rFonts w:ascii="Arial" w:cs="Arial" w:eastAsia="Arial" w:hAnsi="Arial"/>
          <w:sz w:val="16"/>
          <w:szCs w:val="16"/>
          <w:color w:val="000000"/>
        </w:rPr>
        <w:t>, the amount allocable to each. Each optional prepayment</w:t>
      </w:r>
      <w:r>
        <w:rPr>
          <w:rFonts w:ascii="Arial" w:cs="Arial" w:eastAsia="Arial" w:hAnsi="Arial"/>
          <w:sz w:val="16"/>
          <w:szCs w:val="16"/>
          <w:color w:val="FF0000"/>
        </w:rPr>
        <w:t xml:space="preserve"> </w:t>
      </w:r>
      <w:r>
        <w:rPr>
          <w:rFonts w:ascii="Arial" w:cs="Arial" w:eastAsia="Arial" w:hAnsi="Arial"/>
          <w:sz w:val="16"/>
          <w:szCs w:val="16"/>
          <w:color w:val="000000"/>
        </w:rPr>
        <w:t xml:space="preserve">of the Term Loans hereunder shall be in an aggregate principal amount of at least $5,000,000 or any whole multiple of $1,000,000 in excess thereof and shall be applied as directed by the Borrower (or in the absence of such direction, in direct order of maturity) to the outstanding principal installments of the Initial Term Loan </w:t>
      </w:r>
      <w:r>
        <w:rPr>
          <w:rFonts w:ascii="Arial" w:cs="Arial" w:eastAsia="Arial" w:hAnsi="Arial"/>
          <w:sz w:val="16"/>
          <w:szCs w:val="16"/>
          <w:color w:val="FF0000"/>
          <w:strike w:val="1"/>
        </w:rPr>
        <w:t>and, if applicable, any Incremental Term Loans as directed by the Borrower</w:t>
      </w:r>
      <w:r>
        <w:rPr>
          <w:rFonts w:ascii="Arial" w:cs="Arial" w:eastAsia="Arial" w:hAnsi="Arial"/>
          <w:sz w:val="16"/>
          <w:szCs w:val="16"/>
          <w:color w:val="000000"/>
        </w:rPr>
        <w:t xml:space="preserve">. Each repayment shall be accompanied by any amount required to be paid pursuant to </w:t>
      </w:r>
      <w:r>
        <w:rPr>
          <w:rFonts w:ascii="Arial" w:cs="Arial" w:eastAsia="Arial" w:hAnsi="Arial"/>
          <w:sz w:val="16"/>
          <w:szCs w:val="16"/>
          <w:u w:val="single" w:color="auto"/>
          <w:color w:val="000000"/>
        </w:rPr>
        <w:t>Section 5.9</w:t>
      </w:r>
      <w:r>
        <w:rPr>
          <w:rFonts w:ascii="Arial" w:cs="Arial" w:eastAsia="Arial" w:hAnsi="Arial"/>
          <w:sz w:val="16"/>
          <w:szCs w:val="16"/>
          <w:color w:val="000000"/>
        </w:rPr>
        <w:t xml:space="preserve"> hereof. A Notice of Prepayment received after 11:00 a.m. shall be deemed received on the next Business Day</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or RFR Business Day, as applicable.</w:t>
      </w:r>
      <w:r>
        <w:rPr>
          <w:rFonts w:ascii="Arial" w:cs="Arial" w:eastAsia="Arial" w:hAnsi="Arial"/>
          <w:sz w:val="16"/>
          <w:szCs w:val="16"/>
          <w:color w:val="0000FF"/>
        </w:rPr>
        <w:t xml:space="preserve"> </w:t>
      </w:r>
      <w:r>
        <w:rPr>
          <w:rFonts w:ascii="Arial" w:cs="Arial" w:eastAsia="Arial" w:hAnsi="Arial"/>
          <w:sz w:val="16"/>
          <w:szCs w:val="16"/>
          <w:color w:val="000000"/>
        </w:rPr>
        <w:t>The Administrative Agent shall promptly notify the applicable Term Loan Lenders of each Notice of Prepayment.</w:t>
      </w:r>
      <w:r>
        <w:rPr>
          <w:rFonts w:ascii="Arial" w:cs="Arial" w:eastAsia="Arial" w:hAnsi="Arial"/>
          <w:sz w:val="16"/>
          <w:szCs w:val="16"/>
          <w:color w:val="0000FF"/>
        </w:rPr>
        <w:t xml:space="preserve"> </w:t>
      </w:r>
      <w:r>
        <w:rPr>
          <w:rFonts w:ascii="Arial" w:cs="Arial" w:eastAsia="Arial" w:hAnsi="Arial"/>
          <w:sz w:val="16"/>
          <w:szCs w:val="16"/>
          <w:color w:val="000000"/>
        </w:rPr>
        <w:t>Notwithstanding the foregoing, any Notice of Prepayment delivered in connection with any refinancing of all of the Credit Facility with the proceeds of such refinancing or of any other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delay or failure of such contingency shall not relieve the Borrower from its obligations in respect thereof under </w:t>
      </w:r>
      <w:r>
        <w:rPr>
          <w:rFonts w:ascii="Arial" w:cs="Arial" w:eastAsia="Arial" w:hAnsi="Arial"/>
          <w:sz w:val="16"/>
          <w:szCs w:val="16"/>
          <w:u w:val="single" w:color="auto"/>
          <w:color w:val="000000"/>
        </w:rPr>
        <w:t>Section 5.9</w:t>
      </w:r>
      <w:r>
        <w:rPr>
          <w:rFonts w:ascii="Arial" w:cs="Arial" w:eastAsia="Arial" w:hAnsi="Arial"/>
          <w:sz w:val="16"/>
          <w:szCs w:val="16"/>
          <w:color w:val="000000"/>
        </w:rPr>
        <w:t xml:space="preserve">). Any optional prepayment of the Term Loans pursuant to this </w:t>
      </w:r>
      <w:r>
        <w:rPr>
          <w:rFonts w:ascii="Arial" w:cs="Arial" w:eastAsia="Arial" w:hAnsi="Arial"/>
          <w:sz w:val="16"/>
          <w:szCs w:val="16"/>
          <w:u w:val="single" w:color="auto"/>
          <w:color w:val="000000"/>
        </w:rPr>
        <w:t>Section 4.4(a)</w:t>
      </w:r>
      <w:r>
        <w:rPr>
          <w:rFonts w:ascii="Arial" w:cs="Arial" w:eastAsia="Arial" w:hAnsi="Arial"/>
          <w:sz w:val="16"/>
          <w:szCs w:val="16"/>
          <w:color w:val="000000"/>
        </w:rPr>
        <w:t xml:space="preserve"> shall be applied to reduce the scheduled amortization payments on the Term Loan Facility as directed by the Borrower (or in the absence of such direction, in direct order of maturity)</w:t>
      </w:r>
      <w:r>
        <w:rPr>
          <w:rFonts w:ascii="Arial" w:cs="Arial" w:eastAsia="Arial" w:hAnsi="Arial"/>
          <w:sz w:val="16"/>
          <w:szCs w:val="16"/>
          <w:u w:val="single" w:color="auto"/>
          <w:color w:val="0000FF"/>
        </w:rPr>
        <w:t>; provided that the prepayment of the Initial Term Loans in connection with the Fourth Amendment shall not reduce the scheduled</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amortization payments set forth in Section 4.3(a)</w:t>
      </w:r>
      <w:r>
        <w:rPr>
          <w:rFonts w:ascii="Arial" w:cs="Arial" w:eastAsia="Arial" w:hAnsi="Arial"/>
          <w:sz w:val="16"/>
          <w:szCs w:val="16"/>
          <w:color w:val="000000"/>
        </w:rPr>
        <w:t>.</w:t>
      </w:r>
    </w:p>
    <w:p>
      <w:pPr>
        <w:spacing w:after="0" w:line="60" w:lineRule="exact"/>
        <w:rPr>
          <w:rFonts w:ascii="Arial" w:cs="Arial" w:eastAsia="Arial" w:hAnsi="Arial"/>
          <w:sz w:val="16"/>
          <w:szCs w:val="16"/>
          <w:color w:val="auto"/>
        </w:rPr>
      </w:pPr>
    </w:p>
    <w:p>
      <w:pPr>
        <w:ind w:left="680" w:hanging="264"/>
        <w:spacing w:after="0"/>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sz w:val="20"/>
          <w:szCs w:val="20"/>
          <w:color w:val="auto"/>
        </w:rPr>
      </w:pPr>
    </w:p>
    <w:p>
      <w:pPr>
        <w:ind w:left="1060" w:hanging="221"/>
        <w:spacing w:after="0"/>
        <w:tabs>
          <w:tab w:leader="none" w:pos="1060"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Debt Issuances</w:t>
      </w:r>
      <w:r>
        <w:rPr>
          <w:rFonts w:ascii="Arial" w:cs="Arial" w:eastAsia="Arial" w:hAnsi="Arial"/>
          <w:sz w:val="17"/>
          <w:szCs w:val="17"/>
          <w:color w:val="auto"/>
        </w:rPr>
        <w:t>. The Borrower shall make mandatory principal prepayments of the Term Loans in the manner set forth in clause</w:t>
      </w:r>
    </w:p>
    <w:p>
      <w:pPr>
        <w:spacing w:after="0" w:line="34" w:lineRule="exact"/>
        <w:rPr>
          <w:rFonts w:ascii="Arial" w:cs="Arial" w:eastAsia="Arial" w:hAnsi="Arial"/>
          <w:sz w:val="17"/>
          <w:szCs w:val="17"/>
          <w:color w:val="auto"/>
        </w:rPr>
      </w:pPr>
    </w:p>
    <w:p>
      <w:pPr>
        <w:jc w:val="both"/>
        <w:ind w:left="420" w:right="320" w:hanging="4"/>
        <w:spacing w:after="0" w:line="277" w:lineRule="auto"/>
        <w:tabs>
          <w:tab w:leader="none" w:pos="72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below in an amount equal to one hundred percent (100%) of the aggregate Net Cash Proceeds from any incurrence of Indebtedness by the Borrower or any of its Subsidiaries not otherwise permitted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 Such prepayment shall be made within three (3) Business Days after the date of receipt of the Net Cash Proceeds of any such incurrence of Indebtedness.</w:t>
      </w:r>
    </w:p>
    <w:p>
      <w:pPr>
        <w:spacing w:after="0" w:line="64" w:lineRule="exact"/>
        <w:rPr>
          <w:rFonts w:ascii="Arial" w:cs="Arial" w:eastAsia="Arial" w:hAnsi="Arial"/>
          <w:sz w:val="17"/>
          <w:szCs w:val="17"/>
          <w:color w:val="auto"/>
        </w:rPr>
      </w:pPr>
    </w:p>
    <w:p>
      <w:pPr>
        <w:ind w:left="420" w:right="20" w:firstLine="419"/>
        <w:spacing w:after="0" w:line="287" w:lineRule="auto"/>
        <w:tabs>
          <w:tab w:leader="none" w:pos="1108"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Dispositions and Casualty Events</w:t>
      </w:r>
      <w:r>
        <w:rPr>
          <w:rFonts w:ascii="Arial" w:cs="Arial" w:eastAsia="Arial" w:hAnsi="Arial"/>
          <w:sz w:val="16"/>
          <w:szCs w:val="16"/>
          <w:color w:val="auto"/>
        </w:rPr>
        <w:t xml:space="preserve">. The Borrower shall make mandatory principal prepayments of the Term Loans in the manner set forth in </w:t>
      </w:r>
      <w:r>
        <w:rPr>
          <w:rFonts w:ascii="Arial" w:cs="Arial" w:eastAsia="Arial" w:hAnsi="Arial"/>
          <w:sz w:val="16"/>
          <w:szCs w:val="16"/>
          <w:u w:val="single" w:color="auto"/>
          <w:color w:val="auto"/>
        </w:rPr>
        <w:t>clause (</w:t>
      </w:r>
      <w:r>
        <w:rPr>
          <w:rFonts w:ascii="Arial" w:cs="Arial" w:eastAsia="Arial" w:hAnsi="Arial"/>
          <w:sz w:val="16"/>
          <w:szCs w:val="16"/>
          <w:u w:val="single" w:color="auto"/>
          <w:color w:val="0000FF"/>
        </w:rPr>
        <w:t>v</w:t>
      </w:r>
      <w:r>
        <w:rPr>
          <w:rFonts w:ascii="Arial" w:cs="Arial" w:eastAsia="Arial" w:hAnsi="Arial"/>
          <w:sz w:val="16"/>
          <w:szCs w:val="16"/>
          <w:u w:val="single" w:color="auto"/>
          <w:color w:val="auto"/>
        </w:rPr>
        <w:t>i</w:t>
      </w:r>
      <w:r>
        <w:rPr>
          <w:rFonts w:ascii="Arial" w:cs="Arial" w:eastAsia="Arial" w:hAnsi="Arial"/>
          <w:sz w:val="16"/>
          <w:szCs w:val="16"/>
          <w:color w:val="FF0000"/>
          <w:strike w:val="1"/>
        </w:rPr>
        <w:t>v</w:t>
      </w:r>
      <w:r>
        <w:rPr>
          <w:rFonts w:ascii="Arial" w:cs="Arial" w:eastAsia="Arial" w:hAnsi="Arial"/>
          <w:sz w:val="16"/>
          <w:szCs w:val="16"/>
          <w:u w:val="single" w:color="auto"/>
          <w:color w:val="auto"/>
        </w:rPr>
        <w:t>)</w:t>
      </w:r>
      <w:r>
        <w:rPr>
          <w:rFonts w:ascii="Arial" w:cs="Arial" w:eastAsia="Arial" w:hAnsi="Arial"/>
          <w:sz w:val="16"/>
          <w:szCs w:val="16"/>
          <w:color w:val="auto"/>
        </w:rPr>
        <w:t xml:space="preserve"> below in amounts equal to one hundred percent (100%) of the aggregate Net Cash Proceeds from (A) any Disposition by the Borrower or any of its Subsidiaries (other than any Disposition permitted pursuant to, and in accordance with,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(excluding</w:t>
      </w:r>
    </w:p>
    <w:p>
      <w:pPr>
        <w:spacing w:after="0" w:line="2" w:lineRule="exact"/>
        <w:rPr>
          <w:rFonts w:ascii="Arial" w:cs="Arial" w:eastAsia="Arial" w:hAnsi="Arial"/>
          <w:sz w:val="16"/>
          <w:szCs w:val="16"/>
          <w:color w:val="auto"/>
        </w:rPr>
      </w:pPr>
    </w:p>
    <w:p>
      <w:pPr>
        <w:ind w:left="420" w:right="4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9.5(g)</w:t>
      </w:r>
      <w:r>
        <w:rPr>
          <w:rFonts w:ascii="Arial" w:cs="Arial" w:eastAsia="Arial" w:hAnsi="Arial"/>
          <w:sz w:val="18"/>
          <w:szCs w:val="18"/>
          <w:color w:val="auto"/>
        </w:rPr>
        <w:t>, (</w:t>
      </w:r>
      <w:r>
        <w:rPr>
          <w:rFonts w:ascii="Arial" w:cs="Arial" w:eastAsia="Arial" w:hAnsi="Arial"/>
          <w:sz w:val="18"/>
          <w:szCs w:val="18"/>
          <w:u w:val="single" w:color="auto"/>
          <w:color w:val="auto"/>
        </w:rPr>
        <w:t>i</w:t>
      </w:r>
      <w:r>
        <w:rPr>
          <w:rFonts w:ascii="Arial" w:cs="Arial" w:eastAsia="Arial" w:hAnsi="Arial"/>
          <w:sz w:val="18"/>
          <w:szCs w:val="18"/>
          <w:color w:val="auto"/>
        </w:rPr>
        <w:t>) and (</w:t>
      </w:r>
      <w:r>
        <w:rPr>
          <w:rFonts w:ascii="Arial" w:cs="Arial" w:eastAsia="Arial" w:hAnsi="Arial"/>
          <w:sz w:val="18"/>
          <w:szCs w:val="18"/>
          <w:u w:val="single" w:color="auto"/>
          <w:color w:val="auto"/>
        </w:rPr>
        <w:t>o</w:t>
      </w:r>
      <w:r>
        <w:rPr>
          <w:rFonts w:ascii="Arial" w:cs="Arial" w:eastAsia="Arial" w:hAnsi="Arial"/>
          <w:sz w:val="18"/>
          <w:szCs w:val="18"/>
          <w:color w:val="auto"/>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or (B) any Casualty Event. Such prepayments shall be made within three (3) Business Days after the date of receipt of the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make any such prepayment in connection with any Disposition or Casualty Event by a direct or indirect Foreign Subsidiary of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460" w:top="490" w:right="47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Borrower or a Domestic Subsidiary of any Foreign Subsidiary of the Borrower to the extent that and for so long as the application of such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proceeds would (i) be prohibited by Applicable Law (and the Borrower hereby agrees to, and to cause the applicable Foreign Subsidiary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Domestic Subsidiary to, promptly take all actions reasonably required by Applicable Law to permit such application) or (ii) result in material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adverse tax consequences to the Borrower and its Subsidiaries, as determined in good faith by the Borrower (taking into account any foreign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credit or benefit that would be actually realized in connection with the repatriation of such funds);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w:t>
      </w:r>
      <w:r>
        <w:rPr>
          <w:rFonts w:ascii="Arial" w:cs="Arial" w:eastAsia="Arial" w:hAnsi="Arial"/>
          <w:sz w:val="17"/>
          <w:szCs w:val="17"/>
          <w:color w:val="FF0000"/>
          <w:strike w:val="1"/>
        </w:rPr>
        <w:t>other than during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Limited Waiver Period and</w:t>
      </w:r>
      <w:r>
        <w:rPr>
          <w:rFonts w:ascii="Arial" w:cs="Arial" w:eastAsia="Arial" w:hAnsi="Arial"/>
          <w:sz w:val="17"/>
          <w:szCs w:val="17"/>
          <w:color w:val="FF0000"/>
        </w:rPr>
        <w:t xml:space="preserve"> </w:t>
      </w:r>
      <w:r>
        <w:rPr>
          <w:rFonts w:ascii="Arial" w:cs="Arial" w:eastAsia="Arial" w:hAnsi="Arial"/>
          <w:sz w:val="17"/>
          <w:szCs w:val="17"/>
          <w:color w:val="000000"/>
        </w:rPr>
        <w:t>so long as no Event of Default has occurred and is continuing, no prepayment shall be required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4.4(b)(ii)</w:t>
      </w:r>
      <w:r>
        <w:rPr>
          <w:rFonts w:ascii="Arial" w:cs="Arial" w:eastAsia="Arial" w:hAnsi="Arial"/>
          <w:sz w:val="16"/>
          <w:szCs w:val="16"/>
          <w:color w:val="auto"/>
        </w:rPr>
        <w:t xml:space="preserve"> with respect to (x) such portion of such Net Cash Proceeds that the Borrower shall have, on or prior to such date given written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notice to the Administrative Agent of its intent to reinvest in accordance with </w:t>
      </w:r>
      <w:r>
        <w:rPr>
          <w:rFonts w:ascii="Arial" w:cs="Arial" w:eastAsia="Arial" w:hAnsi="Arial"/>
          <w:sz w:val="17"/>
          <w:szCs w:val="17"/>
          <w:u w:val="single" w:color="auto"/>
          <w:color w:val="auto"/>
        </w:rPr>
        <w:t>Section 4.4(b)(iii)</w:t>
      </w:r>
      <w:r>
        <w:rPr>
          <w:rFonts w:ascii="Arial" w:cs="Arial" w:eastAsia="Arial" w:hAnsi="Arial"/>
          <w:sz w:val="17"/>
          <w:szCs w:val="17"/>
          <w:color w:val="auto"/>
        </w:rPr>
        <w:t xml:space="preserve"> and (y) Dispositions with aggregate Net Cash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Proceeds not to exceed $100,000,000 during the term of this Agreement.</w:t>
      </w:r>
    </w:p>
    <w:p>
      <w:pPr>
        <w:spacing w:after="0" w:line="103" w:lineRule="exact"/>
        <w:rPr>
          <w:sz w:val="20"/>
          <w:szCs w:val="20"/>
          <w:color w:val="auto"/>
        </w:rPr>
      </w:pPr>
    </w:p>
    <w:p>
      <w:pPr>
        <w:ind w:firstLine="419"/>
        <w:spacing w:after="0" w:line="287" w:lineRule="auto"/>
        <w:tabs>
          <w:tab w:leader="none" w:pos="738"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Reinvestment Option</w:t>
      </w:r>
      <w:r>
        <w:rPr>
          <w:rFonts w:ascii="Arial" w:cs="Arial" w:eastAsia="Arial" w:hAnsi="Arial"/>
          <w:sz w:val="16"/>
          <w:szCs w:val="16"/>
          <w:color w:val="auto"/>
        </w:rPr>
        <w:t xml:space="preserve">. With respect to any Net Cash Proceeds realized or received with respect to any Disposition or any Casualty Event by the Borrower or any of its Subsidiaries (in each case, to the extent not excluded pursuant to </w:t>
      </w:r>
      <w:r>
        <w:rPr>
          <w:rFonts w:ascii="Arial" w:cs="Arial" w:eastAsia="Arial" w:hAnsi="Arial"/>
          <w:sz w:val="16"/>
          <w:szCs w:val="16"/>
          <w:u w:val="single" w:color="auto"/>
          <w:color w:val="auto"/>
        </w:rPr>
        <w:t>Section 4.4(b)(ii)</w:t>
      </w:r>
      <w:r>
        <w:rPr>
          <w:rFonts w:ascii="Arial" w:cs="Arial" w:eastAsia="Arial" w:hAnsi="Arial"/>
          <w:sz w:val="16"/>
          <w:szCs w:val="16"/>
          <w:color w:val="auto"/>
        </w:rPr>
        <w:t xml:space="preserve">), and </w:t>
      </w:r>
      <w:r>
        <w:rPr>
          <w:rFonts w:ascii="Arial" w:cs="Arial" w:eastAsia="Arial" w:hAnsi="Arial"/>
          <w:sz w:val="16"/>
          <w:szCs w:val="16"/>
          <w:color w:val="FF0000"/>
          <w:strike w:val="1"/>
        </w:rPr>
        <w:t>other than during the</w:t>
      </w:r>
      <w:r>
        <w:rPr>
          <w:rFonts w:ascii="Arial" w:cs="Arial" w:eastAsia="Arial" w:hAnsi="Arial"/>
          <w:sz w:val="16"/>
          <w:szCs w:val="16"/>
          <w:color w:val="auto"/>
        </w:rPr>
        <w:t xml:space="preserve"> </w:t>
      </w:r>
      <w:r>
        <w:rPr>
          <w:rFonts w:ascii="Arial" w:cs="Arial" w:eastAsia="Arial" w:hAnsi="Arial"/>
          <w:sz w:val="16"/>
          <w:szCs w:val="16"/>
          <w:color w:val="FF0000"/>
          <w:strike w:val="1"/>
        </w:rPr>
        <w:t>Limited Waiver Period and</w:t>
      </w:r>
      <w:r>
        <w:rPr>
          <w:rFonts w:ascii="Arial" w:cs="Arial" w:eastAsia="Arial" w:hAnsi="Arial"/>
          <w:sz w:val="16"/>
          <w:szCs w:val="16"/>
          <w:color w:val="FF0000"/>
        </w:rPr>
        <w:t xml:space="preserve"> </w:t>
      </w:r>
      <w:r>
        <w:rPr>
          <w:rFonts w:ascii="Arial" w:cs="Arial" w:eastAsia="Arial" w:hAnsi="Arial"/>
          <w:sz w:val="16"/>
          <w:szCs w:val="16"/>
          <w:color w:val="000000"/>
        </w:rPr>
        <w:t>so long as no Event of Default has occurred and is continuing, at the option of the Borrower, the Borrower or such</w:t>
      </w:r>
      <w:r>
        <w:rPr>
          <w:rFonts w:ascii="Arial" w:cs="Arial" w:eastAsia="Arial" w:hAnsi="Arial"/>
          <w:sz w:val="16"/>
          <w:szCs w:val="16"/>
          <w:color w:val="FF0000"/>
        </w:rPr>
        <w:t xml:space="preserve"> </w:t>
      </w:r>
      <w:r>
        <w:rPr>
          <w:rFonts w:ascii="Arial" w:cs="Arial" w:eastAsia="Arial" w:hAnsi="Arial"/>
          <w:sz w:val="16"/>
          <w:szCs w:val="16"/>
          <w:color w:val="000000"/>
        </w:rPr>
        <w:t xml:space="preserve">Subsidiary may reinvest all or any portion of such Net Cash Proceeds in assets used or useful for the business of the Borrower or any of its Subsidiaries within (x) twelve (12) months following receipt of such Net Cash Proceeds or (y) if such Credit Party enters into a binding commitment to reinvest such Net Cash Proceeds within twelve (12) months following receipt thereof, within six (6) months of the date of such binding commitment;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any Net Cash Proceeds are no longer intended to be or cannot be so reinvested at any time after delivery of a notice of reinvestment election, an amount equal to any such Net Cash Proceeds shall be applied within three (3) Business Days after the Borrower or such Subsidiary reasonably determines that such Net Cash Proceeds are no longer intended to be or cannot be so reinvested to the prepayment of the Loans as set forth in this </w:t>
      </w:r>
      <w:r>
        <w:rPr>
          <w:rFonts w:ascii="Arial" w:cs="Arial" w:eastAsia="Arial" w:hAnsi="Arial"/>
          <w:sz w:val="16"/>
          <w:szCs w:val="16"/>
          <w:u w:val="single" w:color="auto"/>
          <w:color w:val="000000"/>
        </w:rPr>
        <w:t>Section 4.4(b)</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any Net Cash Proceeds relating to a Credit Party shall be reinvested in assets of a Credit Party. Pending the final application of any such Net Cash Proceeds, the Borrower or any such Subsidiary may invest an amount equal to such Net Cash Proceeds in any manner that is not prohibited by this Agreement.</w:t>
      </w:r>
    </w:p>
    <w:p>
      <w:pPr>
        <w:spacing w:after="0" w:line="59" w:lineRule="exact"/>
        <w:rPr>
          <w:rFonts w:ascii="Arial" w:cs="Arial" w:eastAsia="Arial" w:hAnsi="Arial"/>
          <w:sz w:val="16"/>
          <w:szCs w:val="16"/>
          <w:color w:val="auto"/>
        </w:rPr>
      </w:pPr>
    </w:p>
    <w:p>
      <w:pPr>
        <w:ind w:right="20" w:firstLine="419"/>
        <w:spacing w:after="0" w:line="286" w:lineRule="auto"/>
        <w:tabs>
          <w:tab w:leader="none" w:pos="728" w:val="left"/>
        </w:tabs>
        <w:numPr>
          <w:ilvl w:val="0"/>
          <w:numId w:val="10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Project Emerald Milestone Payments. The Borrower shall make mandatory principal prepayments of the Term Loans in the manner set forth in Clause (vi) below in amounts equal to seventy-five percent (75%) of all milestone payments received by the Borrower and its Subsidiaries pursuant to the Project Emerald Transaction within </w:t>
      </w:r>
      <w:r>
        <w:rPr>
          <w:rFonts w:ascii="Arial" w:cs="Arial" w:eastAsia="Arial" w:hAnsi="Arial"/>
          <w:sz w:val="17"/>
          <w:szCs w:val="17"/>
          <w:u w:val="single" w:color="auto"/>
          <w:color w:val="008000"/>
        </w:rPr>
        <w:t>three (3) Business Days after the</w:t>
      </w:r>
      <w:r>
        <w:rPr>
          <w:rFonts w:ascii="Arial" w:cs="Arial" w:eastAsia="Arial" w:hAnsi="Arial"/>
          <w:sz w:val="17"/>
          <w:szCs w:val="17"/>
          <w:u w:val="single" w:color="auto"/>
          <w:color w:val="0000FF"/>
        </w:rPr>
        <w:t xml:space="preserve"> date of receipt of such payments.</w:t>
      </w:r>
    </w:p>
    <w:p>
      <w:pPr>
        <w:spacing w:after="0" w:line="57" w:lineRule="exact"/>
        <w:rPr>
          <w:rFonts w:ascii="Arial" w:cs="Arial" w:eastAsia="Arial" w:hAnsi="Arial"/>
          <w:sz w:val="17"/>
          <w:szCs w:val="17"/>
          <w:u w:val="single" w:color="auto"/>
          <w:color w:val="0000FF"/>
        </w:rPr>
      </w:pPr>
    </w:p>
    <w:p>
      <w:pPr>
        <w:ind w:right="300" w:firstLine="419"/>
        <w:spacing w:after="0" w:line="263" w:lineRule="auto"/>
        <w:tabs>
          <w:tab w:leader="none" w:pos="678" w:val="left"/>
        </w:tabs>
        <w:numPr>
          <w:ilvl w:val="0"/>
          <w:numId w:val="10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Recovery from Material Litigations. The Borrower shall make mandatory principal prepayments of the Term Loans in the manner set forth in Clause (vi) below in amounts equal to fifty percent (50%) of all Net Litigation Proceeds received by any Credit Party within three (3</w:t>
      </w:r>
      <w:r>
        <w:rPr>
          <w:rFonts w:ascii="Arial" w:cs="Arial" w:eastAsia="Arial" w:hAnsi="Arial"/>
          <w:sz w:val="18"/>
          <w:szCs w:val="18"/>
          <w:u w:val="single" w:color="auto"/>
          <w:color w:val="008000"/>
        </w:rPr>
        <w:t>) Business Days after the date</w:t>
      </w:r>
      <w:r>
        <w:rPr>
          <w:rFonts w:ascii="Arial" w:cs="Arial" w:eastAsia="Arial" w:hAnsi="Arial"/>
          <w:sz w:val="18"/>
          <w:szCs w:val="18"/>
          <w:u w:val="single" w:color="auto"/>
          <w:color w:val="0000FF"/>
        </w:rPr>
        <w:t xml:space="preserve"> of receipt of such Net Litigation Proceeds.</w:t>
      </w:r>
    </w:p>
    <w:p>
      <w:pPr>
        <w:spacing w:after="0" w:line="75" w:lineRule="exact"/>
        <w:rPr>
          <w:rFonts w:ascii="Arial" w:cs="Arial" w:eastAsia="Arial" w:hAnsi="Arial"/>
          <w:sz w:val="18"/>
          <w:szCs w:val="18"/>
          <w:u w:val="single" w:color="auto"/>
          <w:color w:val="0000FF"/>
        </w:rPr>
      </w:pPr>
    </w:p>
    <w:p>
      <w:pPr>
        <w:ind w:right="40" w:firstLine="419"/>
        <w:spacing w:after="0" w:line="255" w:lineRule="auto"/>
        <w:tabs>
          <w:tab w:leader="none" w:pos="728" w:val="left"/>
        </w:tabs>
        <w:numPr>
          <w:ilvl w:val="0"/>
          <w:numId w:val="106"/>
        </w:numPr>
        <w:rPr>
          <w:rFonts w:ascii="Arial" w:cs="Arial" w:eastAsia="Arial" w:hAnsi="Arial"/>
          <w:sz w:val="18"/>
          <w:szCs w:val="18"/>
          <w:u w:val="single" w:color="auto"/>
          <w:color w:val="0000FF"/>
        </w:rPr>
      </w:pPr>
      <w:r>
        <w:rPr>
          <w:rFonts w:ascii="Arial" w:cs="Arial" w:eastAsia="Arial" w:hAnsi="Arial"/>
          <w:sz w:val="18"/>
          <w:szCs w:val="18"/>
          <w:color w:val="FF0000"/>
          <w:strike w:val="1"/>
        </w:rPr>
        <w:t>(iv)</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Notice; Manner of Payment</w:t>
      </w:r>
      <w:r>
        <w:rPr>
          <w:rFonts w:ascii="Arial" w:cs="Arial" w:eastAsia="Arial" w:hAnsi="Arial"/>
          <w:sz w:val="18"/>
          <w:szCs w:val="18"/>
          <w:color w:val="000000"/>
        </w:rPr>
        <w:t>. Upon the occurrence of any event triggering the prepayment requirement under clauses (i)</w:t>
      </w:r>
      <w:r>
        <w:rPr>
          <w:rFonts w:ascii="Arial" w:cs="Arial" w:eastAsia="Arial" w:hAnsi="Arial"/>
          <w:sz w:val="18"/>
          <w:szCs w:val="18"/>
          <w:color w:val="FF0000"/>
        </w:rPr>
        <w:t xml:space="preserve">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through</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ii</w:t>
      </w:r>
      <w:r>
        <w:rPr>
          <w:rFonts w:ascii="Arial" w:cs="Arial" w:eastAsia="Arial" w:hAnsi="Arial"/>
          <w:sz w:val="18"/>
          <w:szCs w:val="18"/>
          <w:u w:val="single" w:color="auto"/>
          <w:color w:val="0000FF"/>
        </w:rPr>
        <w:t>v</w:t>
      </w:r>
      <w:r>
        <w:rPr>
          <w:rFonts w:ascii="Arial" w:cs="Arial" w:eastAsia="Arial" w:hAnsi="Arial"/>
          <w:sz w:val="18"/>
          <w:szCs w:val="18"/>
          <w:color w:val="000000"/>
        </w:rPr>
        <w:t xml:space="preserve"> ) above, the Borrower shall promptly deliver a Notice of Prepayment to the Administrative Agent and upon receipt of such notice, the Administrative Agent shall promptly so notify the Lenders. Each prepayment of the Term Loans under this Section shall be applied </w:t>
      </w:r>
      <w:r>
        <w:rPr>
          <w:rFonts w:ascii="Arial" w:cs="Arial" w:eastAsia="Arial" w:hAnsi="Arial"/>
          <w:sz w:val="18"/>
          <w:szCs w:val="18"/>
          <w:color w:val="FF0000"/>
        </w:rPr>
        <w:t>on a</w:t>
      </w:r>
      <w:r>
        <w:rPr>
          <w:rFonts w:ascii="Arial" w:cs="Arial" w:eastAsia="Arial" w:hAnsi="Arial"/>
          <w:sz w:val="18"/>
          <w:szCs w:val="18"/>
          <w:color w:val="000000"/>
        </w:rPr>
        <w:t xml:space="preserve"> </w:t>
      </w:r>
      <w:r>
        <w:rPr>
          <w:rFonts w:ascii="Arial" w:cs="Arial" w:eastAsia="Arial" w:hAnsi="Arial"/>
          <w:sz w:val="18"/>
          <w:szCs w:val="18"/>
          <w:u w:val="single" w:color="auto"/>
          <w:color w:val="FF0000"/>
        </w:rPr>
        <w:t>pro rata</w:t>
      </w:r>
      <w:r>
        <w:rPr>
          <w:rFonts w:ascii="Arial" w:cs="Arial" w:eastAsia="Arial" w:hAnsi="Arial"/>
          <w:sz w:val="18"/>
          <w:szCs w:val="18"/>
          <w:color w:val="000000"/>
        </w:rPr>
        <w:t xml:space="preserve"> </w:t>
      </w:r>
      <w:r>
        <w:rPr>
          <w:rFonts w:ascii="Arial" w:cs="Arial" w:eastAsia="Arial" w:hAnsi="Arial"/>
          <w:sz w:val="18"/>
          <w:szCs w:val="18"/>
          <w:color w:val="FF0000"/>
          <w:strike w:val="1"/>
        </w:rPr>
        <w:t>basis among the Initial Term Loan and each of the Incremental Term Loans (with each such prepayment to be applied within each Class</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first</w:t>
      </w:r>
      <w:r>
        <w:rPr>
          <w:rFonts w:ascii="Arial" w:cs="Arial" w:eastAsia="Arial" w:hAnsi="Arial"/>
          <w:sz w:val="18"/>
          <w:szCs w:val="18"/>
          <w:color w:val="000000"/>
        </w:rPr>
        <w:t>, to</w:t>
      </w:r>
      <w:r>
        <w:rPr>
          <w:rFonts w:ascii="Arial" w:cs="Arial" w:eastAsia="Arial" w:hAnsi="Arial"/>
          <w:sz w:val="18"/>
          <w:szCs w:val="18"/>
          <w:color w:val="FF0000"/>
        </w:rPr>
        <w:t xml:space="preserve"> </w:t>
      </w:r>
      <w:r>
        <w:rPr>
          <w:rFonts w:ascii="Arial" w:cs="Arial" w:eastAsia="Arial" w:hAnsi="Arial"/>
          <w:sz w:val="18"/>
          <w:szCs w:val="18"/>
          <w:color w:val="000000"/>
        </w:rPr>
        <w:t xml:space="preserve">the next eight (8) scheduled principal repayment installments thereof in direct order of maturity and, </w:t>
      </w:r>
      <w:r>
        <w:rPr>
          <w:rFonts w:ascii="Arial" w:cs="Arial" w:eastAsia="Arial" w:hAnsi="Arial"/>
          <w:sz w:val="18"/>
          <w:szCs w:val="18"/>
          <w:u w:val="single" w:color="auto"/>
          <w:color w:val="000000"/>
        </w:rPr>
        <w:t>thereafter</w:t>
      </w:r>
      <w:r>
        <w:rPr>
          <w:rFonts w:ascii="Arial" w:cs="Arial" w:eastAsia="Arial" w:hAnsi="Arial"/>
          <w:sz w:val="18"/>
          <w:szCs w:val="18"/>
          <w:color w:val="000000"/>
        </w:rPr>
        <w:t xml:space="preserve">, to the remaining scheduled principal payments on a </w:t>
      </w:r>
      <w:r>
        <w:rPr>
          <w:rFonts w:ascii="Arial" w:cs="Arial" w:eastAsia="Arial" w:hAnsi="Arial"/>
          <w:sz w:val="18"/>
          <w:szCs w:val="18"/>
          <w:u w:val="single" w:color="auto"/>
          <w:color w:val="000000"/>
        </w:rPr>
        <w:t>pro rata</w:t>
      </w:r>
      <w:r>
        <w:rPr>
          <w:rFonts w:ascii="Arial" w:cs="Arial" w:eastAsia="Arial" w:hAnsi="Arial"/>
          <w:sz w:val="18"/>
          <w:szCs w:val="18"/>
          <w:color w:val="000000"/>
        </w:rPr>
        <w:t xml:space="preserve"> basis</w:t>
      </w:r>
      <w:r>
        <w:rPr>
          <w:rFonts w:ascii="Arial" w:cs="Arial" w:eastAsia="Arial" w:hAnsi="Arial"/>
          <w:sz w:val="18"/>
          <w:szCs w:val="18"/>
          <w:color w:val="FF0000"/>
          <w:strike w:val="1"/>
        </w:rPr>
        <w: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-494030</wp:posOffset>
            </wp:positionV>
            <wp:extent cx="6032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0" cy="8890"/>
                    </a:xfrm>
                    <a:prstGeom prst="rect">
                      <a:avLst/>
                    </a:prstGeom>
                    <a:noFill/>
                  </pic:spPr>
                </pic:pic>
              </a:graphicData>
            </a:graphic>
          </wp:anchor>
        </w:drawing>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60"/>
          </w:cols>
          <w:pgMar w:left="880" w:top="490" w:right="459" w:bottom="1440" w:gutter="0" w:footer="0" w:header="0"/>
        </w:sectPr>
      </w:pPr>
    </w:p>
    <w:bookmarkStart w:id="119" w:name="page120"/>
    <w:bookmarkEnd w:id="119"/>
    <w:p>
      <w:pPr>
        <w:ind w:left="444" w:right="60" w:firstLine="419"/>
        <w:spacing w:after="0" w:line="287" w:lineRule="auto"/>
        <w:tabs>
          <w:tab w:leader="none" w:pos="1222" w:val="left"/>
        </w:tabs>
        <w:numPr>
          <w:ilvl w:val="1"/>
          <w:numId w:val="107"/>
        </w:numPr>
        <w:rPr>
          <w:rFonts w:ascii="Arial" w:cs="Arial" w:eastAsia="Arial" w:hAnsi="Arial"/>
          <w:sz w:val="16"/>
          <w:szCs w:val="16"/>
          <w:u w:val="single" w:color="auto"/>
          <w:color w:val="0000FF"/>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(v)</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Prepayment of</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Eurocurrency Rate</w:t>
      </w:r>
      <w:r>
        <w:rPr>
          <w:rFonts w:ascii="Arial" w:cs="Arial" w:eastAsia="Arial" w:hAnsi="Arial"/>
          <w:sz w:val="16"/>
          <w:szCs w:val="16"/>
          <w:u w:val="single" w:color="auto"/>
          <w:color w:val="0000FF"/>
        </w:rPr>
        <w:t>Term SOFR Loans</w:t>
      </w:r>
      <w:r>
        <w:rPr>
          <w:rFonts w:ascii="Arial" w:cs="Arial" w:eastAsia="Arial" w:hAnsi="Arial"/>
          <w:sz w:val="16"/>
          <w:szCs w:val="16"/>
          <w:color w:val="000000"/>
        </w:rPr>
        <w:t>. Each prepayment shall be accompanied by any amount required to be paid</w:t>
      </w:r>
      <w:r>
        <w:rPr>
          <w:rFonts w:ascii="Arial" w:cs="Arial" w:eastAsia="Arial" w:hAnsi="Arial"/>
          <w:sz w:val="16"/>
          <w:szCs w:val="16"/>
          <w:color w:val="FF0000"/>
        </w:rPr>
        <w:t xml:space="preserve"> </w:t>
      </w:r>
      <w:r>
        <w:rPr>
          <w:rFonts w:ascii="Arial" w:cs="Arial" w:eastAsia="Arial" w:hAnsi="Arial"/>
          <w:sz w:val="16"/>
          <w:szCs w:val="16"/>
          <w:color w:val="000000"/>
        </w:rPr>
        <w:t xml:space="preserve">pursuant to </w:t>
      </w:r>
      <w:r>
        <w:rPr>
          <w:rFonts w:ascii="Arial" w:cs="Arial" w:eastAsia="Arial" w:hAnsi="Arial"/>
          <w:sz w:val="16"/>
          <w:szCs w:val="16"/>
          <w:u w:val="single" w:color="auto"/>
          <w:color w:val="000000"/>
        </w:rPr>
        <w:t>Section 5.9</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w:t>
      </w:r>
      <w:r>
        <w:rPr>
          <w:rFonts w:ascii="Arial" w:cs="Arial" w:eastAsia="Arial" w:hAnsi="Arial"/>
          <w:sz w:val="16"/>
          <w:szCs w:val="16"/>
          <w:color w:val="FF0000"/>
          <w:strike w:val="1"/>
        </w:rPr>
        <w:t>other than during the Limited Waiver Period and</w:t>
      </w:r>
      <w:r>
        <w:rPr>
          <w:rFonts w:ascii="Arial" w:cs="Arial" w:eastAsia="Arial" w:hAnsi="Arial"/>
          <w:sz w:val="16"/>
          <w:szCs w:val="16"/>
          <w:color w:val="000000"/>
        </w:rPr>
        <w:t xml:space="preserve"> so long as no Event of Default has occurred and is continuing, if any prepayment of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000000"/>
        </w:rPr>
        <w:t xml:space="preserve"> Loans is required to be made under this </w:t>
      </w:r>
      <w:r>
        <w:rPr>
          <w:rFonts w:ascii="Arial" w:cs="Arial" w:eastAsia="Arial" w:hAnsi="Arial"/>
          <w:sz w:val="16"/>
          <w:szCs w:val="16"/>
          <w:u w:val="single" w:color="auto"/>
          <w:color w:val="000000"/>
        </w:rPr>
        <w:t>Section 4.4(b)</w:t>
      </w:r>
      <w:r>
        <w:rPr>
          <w:rFonts w:ascii="Arial" w:cs="Arial" w:eastAsia="Arial" w:hAnsi="Arial"/>
          <w:sz w:val="16"/>
          <w:szCs w:val="16"/>
          <w:color w:val="000000"/>
        </w:rPr>
        <w:t xml:space="preserve"> prior to the last day of the Interest Period therefor, in lieu of making any payment pursuant to this </w:t>
      </w:r>
      <w:r>
        <w:rPr>
          <w:rFonts w:ascii="Arial" w:cs="Arial" w:eastAsia="Arial" w:hAnsi="Arial"/>
          <w:sz w:val="16"/>
          <w:szCs w:val="16"/>
          <w:u w:val="single" w:color="auto"/>
          <w:color w:val="000000"/>
        </w:rPr>
        <w:t>Section 4.4(b)</w:t>
      </w:r>
      <w:r>
        <w:rPr>
          <w:rFonts w:ascii="Arial" w:cs="Arial" w:eastAsia="Arial" w:hAnsi="Arial"/>
          <w:sz w:val="16"/>
          <w:szCs w:val="16"/>
          <w:color w:val="000000"/>
        </w:rPr>
        <w:t xml:space="preserve"> in respect of any such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000000"/>
        </w:rPr>
        <w:t xml:space="preserve"> Loan prior to the last day of the Interest Period therefor, the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 or any other Credit Party) to apply such amount to the prepayment of such Term Loans in accordance with this </w:t>
      </w:r>
      <w:r>
        <w:rPr>
          <w:rFonts w:ascii="Arial" w:cs="Arial" w:eastAsia="Arial" w:hAnsi="Arial"/>
          <w:sz w:val="16"/>
          <w:szCs w:val="16"/>
          <w:u w:val="single" w:color="auto"/>
          <w:color w:val="000000"/>
        </w:rPr>
        <w:t>Section 4.4(b)</w:t>
      </w:r>
      <w:r>
        <w:rPr>
          <w:rFonts w:ascii="Arial" w:cs="Arial" w:eastAsia="Arial" w:hAnsi="Arial"/>
          <w:sz w:val="16"/>
          <w:szCs w:val="16"/>
          <w:color w:val="000000"/>
        </w:rPr>
        <w:t xml:space="preserve">. Upon the occurrence and during the continuance of any Event of Default, the Administrative Agent shall also be authorized (without any further action by or notice to or from the Borrower or any other Credit Party) to apply such amount to the prepayment of the outstanding Term Loans in accordance with the relevant provisions of this </w:t>
      </w:r>
      <w:r>
        <w:rPr>
          <w:rFonts w:ascii="Arial" w:cs="Arial" w:eastAsia="Arial" w:hAnsi="Arial"/>
          <w:sz w:val="16"/>
          <w:szCs w:val="16"/>
          <w:u w:val="single" w:color="auto"/>
          <w:color w:val="000000"/>
        </w:rPr>
        <w:t>Section 4.4(b)</w:t>
      </w:r>
      <w:r>
        <w:rPr>
          <w:rFonts w:ascii="Arial" w:cs="Arial" w:eastAsia="Arial" w:hAnsi="Arial"/>
          <w:sz w:val="16"/>
          <w:szCs w:val="16"/>
          <w:color w:val="000000"/>
        </w:rPr>
        <w:t>.</w:t>
      </w:r>
    </w:p>
    <w:p>
      <w:pPr>
        <w:spacing w:after="0" w:line="77" w:lineRule="exact"/>
        <w:rPr>
          <w:rFonts w:ascii="Arial" w:cs="Arial" w:eastAsia="Arial" w:hAnsi="Arial"/>
          <w:sz w:val="16"/>
          <w:szCs w:val="16"/>
          <w:u w:val="single" w:color="auto"/>
          <w:color w:val="0000FF"/>
        </w:rPr>
      </w:pPr>
    </w:p>
    <w:p>
      <w:pPr>
        <w:ind w:left="444" w:hanging="444"/>
        <w:spacing w:after="0"/>
        <w:tabs>
          <w:tab w:leader="none" w:pos="44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Reborrowings</w:t>
      </w:r>
      <w:r>
        <w:rPr>
          <w:rFonts w:ascii="Arial" w:cs="Arial" w:eastAsia="Arial" w:hAnsi="Arial"/>
          <w:sz w:val="18"/>
          <w:szCs w:val="18"/>
          <w:color w:val="auto"/>
        </w:rPr>
        <w:t xml:space="preserve">. Amounts prepaid under the Term Loan Facility pursuant to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may not be reborrowed.</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GENERAL LOAN PROVISIONS</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03" w:lineRule="exact"/>
        <w:rPr>
          <w:sz w:val="20"/>
          <w:szCs w:val="20"/>
          <w:color w:val="auto"/>
        </w:rPr>
      </w:pPr>
    </w:p>
    <w:p>
      <w:pPr>
        <w:ind w:left="4" w:firstLine="436"/>
        <w:spacing w:after="0" w:line="267" w:lineRule="auto"/>
        <w:tabs>
          <w:tab w:leader="none" w:pos="689"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Interest Rate Options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Revolving Credit Loans and Term Loans may be (i) with respect to</w:t>
      </w:r>
      <w:r>
        <w:rPr>
          <w:rFonts w:ascii="Arial" w:cs="Arial" w:eastAsia="Arial" w:hAnsi="Arial"/>
          <w:sz w:val="17"/>
          <w:szCs w:val="17"/>
          <w:color w:val="auto"/>
        </w:rPr>
        <w:t xml:space="preserve"> </w:t>
      </w:r>
      <w:r>
        <w:rPr>
          <w:rFonts w:ascii="Arial" w:cs="Arial" w:eastAsia="Arial" w:hAnsi="Arial"/>
          <w:sz w:val="17"/>
          <w:szCs w:val="17"/>
          <w:u w:val="single" w:color="auto"/>
          <w:color w:val="008000"/>
        </w:rPr>
        <w:t>Revolving Credit Loans denominated in Dollars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Term Loans, (A) Base Rate Loans or (B) Term SOFR Loans, (ii) with respect to Revolving Credit Loans denominated in Euros, Canadian Dollars or other Currencies (other than Dollars or Sterling), Eurocurrency Rate Loans, or (iii) with respect to Revolving Credit Loan denominated in Sterling, Daily Simple SONIA Loans, each as further provided herein.</w:t>
      </w:r>
      <w:r>
        <w:rPr>
          <w:rFonts w:ascii="Arial" w:cs="Arial" w:eastAsia="Arial" w:hAnsi="Arial"/>
          <w:sz w:val="17"/>
          <w:szCs w:val="17"/>
          <w:color w:val="0000FF"/>
        </w:rPr>
        <w:t xml:space="preserve"> </w:t>
      </w:r>
      <w:r>
        <w:rPr>
          <w:rFonts w:ascii="Arial" w:cs="Arial" w:eastAsia="Arial" w:hAnsi="Arial"/>
          <w:sz w:val="17"/>
          <w:szCs w:val="17"/>
          <w:color w:val="000000"/>
        </w:rPr>
        <w:t>Subject to the provisions of this Section,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(x)</w:t>
      </w:r>
      <w:r>
        <w:rPr>
          <w:rFonts w:ascii="Arial" w:cs="Arial" w:eastAsia="Arial" w:hAnsi="Arial"/>
          <w:sz w:val="17"/>
          <w:szCs w:val="17"/>
          <w:color w:val="0000FF"/>
        </w:rPr>
        <w:t xml:space="preserve"> </w:t>
      </w:r>
      <w:r>
        <w:rPr>
          <w:rFonts w:ascii="Arial" w:cs="Arial" w:eastAsia="Arial" w:hAnsi="Arial"/>
          <w:sz w:val="17"/>
          <w:szCs w:val="17"/>
          <w:color w:val="000000"/>
        </w:rPr>
        <w:t>at the election of the Borrower</w:t>
      </w:r>
      <w:r>
        <w:rPr>
          <w:rFonts w:ascii="Arial" w:cs="Arial" w:eastAsia="Arial" w:hAnsi="Arial"/>
          <w:sz w:val="17"/>
          <w:szCs w:val="17"/>
          <w:color w:val="FF0000"/>
          <w:strike w:val="1"/>
        </w:rPr>
        <w:t>, (i)</w:t>
      </w:r>
      <w:r>
        <w:rPr>
          <w:rFonts w:ascii="Arial" w:cs="Arial" w:eastAsia="Arial" w:hAnsi="Arial"/>
          <w:sz w:val="17"/>
          <w:szCs w:val="17"/>
          <w:color w:val="0000FF"/>
        </w:rPr>
        <w:t xml:space="preserve"> </w:t>
      </w:r>
      <w:r>
        <w:rPr>
          <w:rFonts w:ascii="Arial" w:cs="Arial" w:eastAsia="Arial" w:hAnsi="Arial"/>
          <w:sz w:val="17"/>
          <w:szCs w:val="17"/>
          <w:color w:val="008000"/>
          <w:strike w:val="1"/>
        </w:rPr>
        <w:t>Revolving</w:t>
      </w:r>
      <w:r>
        <w:rPr>
          <w:rFonts w:ascii="Arial" w:cs="Arial" w:eastAsia="Arial" w:hAnsi="Arial"/>
          <w:sz w:val="17"/>
          <w:szCs w:val="17"/>
          <w:color w:val="0000FF"/>
        </w:rPr>
        <w:t xml:space="preserve"> </w:t>
      </w:r>
      <w:r>
        <w:rPr>
          <w:rFonts w:ascii="Arial" w:cs="Arial" w:eastAsia="Arial" w:hAnsi="Arial"/>
          <w:sz w:val="17"/>
          <w:szCs w:val="17"/>
          <w:color w:val="008000"/>
          <w:strike w:val="1"/>
        </w:rPr>
        <w:t>Credit Loans denominated in Dollars</w:t>
      </w:r>
      <w:r>
        <w:rPr>
          <w:rFonts w:ascii="Arial" w:cs="Arial" w:eastAsia="Arial" w:hAnsi="Arial"/>
          <w:sz w:val="17"/>
          <w:szCs w:val="17"/>
          <w:color w:val="008000"/>
        </w:rPr>
        <w:t xml:space="preserve"> </w:t>
      </w:r>
      <w:r>
        <w:rPr>
          <w:rFonts w:ascii="Arial" w:cs="Arial" w:eastAsia="Arial" w:hAnsi="Arial"/>
          <w:sz w:val="17"/>
          <w:szCs w:val="17"/>
          <w:color w:val="FF0000"/>
          <w:strike w:val="1"/>
        </w:rPr>
        <w:t>and the</w:t>
      </w:r>
      <w:r>
        <w:rPr>
          <w:rFonts w:ascii="Arial" w:cs="Arial" w:eastAsia="Arial" w:hAnsi="Arial"/>
          <w:sz w:val="17"/>
          <w:szCs w:val="17"/>
          <w:u w:val="single" w:color="auto"/>
          <w:color w:val="0000FF"/>
        </w:rPr>
        <w:t>(where applicable),</w:t>
      </w:r>
      <w:r>
        <w:rPr>
          <w:rFonts w:ascii="Arial" w:cs="Arial" w:eastAsia="Arial" w:hAnsi="Arial"/>
          <w:sz w:val="17"/>
          <w:szCs w:val="17"/>
          <w:color w:val="008000"/>
        </w:rPr>
        <w:t xml:space="preserve"> </w:t>
      </w:r>
      <w:r>
        <w:rPr>
          <w:rFonts w:ascii="Arial" w:cs="Arial" w:eastAsia="Arial" w:hAnsi="Arial"/>
          <w:sz w:val="17"/>
          <w:szCs w:val="17"/>
          <w:color w:val="000000"/>
        </w:rPr>
        <w:t>Term Loans</w:t>
      </w:r>
      <w:r>
        <w:rPr>
          <w:rFonts w:ascii="Arial" w:cs="Arial" w:eastAsia="Arial" w:hAnsi="Arial"/>
          <w:sz w:val="17"/>
          <w:szCs w:val="17"/>
          <w:color w:val="FF0000"/>
          <w:strike w:val="1"/>
        </w:rPr>
        <w:t>,</w:t>
      </w:r>
      <w:r>
        <w:rPr>
          <w:rFonts w:ascii="Arial" w:cs="Arial" w:eastAsia="Arial" w:hAnsi="Arial"/>
          <w:sz w:val="17"/>
          <w:szCs w:val="17"/>
          <w:color w:val="008000"/>
        </w:rPr>
        <w:t xml:space="preserve"> </w:t>
      </w:r>
      <w:r>
        <w:rPr>
          <w:rFonts w:ascii="Arial" w:cs="Arial" w:eastAsia="Arial" w:hAnsi="Arial"/>
          <w:sz w:val="17"/>
          <w:szCs w:val="17"/>
          <w:color w:val="0000FF"/>
        </w:rPr>
        <w:t>that are (1) Base Rate Loans</w:t>
      </w:r>
      <w:r>
        <w:rPr>
          <w:rFonts w:ascii="Arial" w:cs="Arial" w:eastAsia="Arial" w:hAnsi="Arial"/>
          <w:sz w:val="17"/>
          <w:szCs w:val="17"/>
          <w:color w:val="008000"/>
        </w:rPr>
        <w:t xml:space="preserve"> </w:t>
      </w:r>
      <w:r>
        <w:rPr>
          <w:rFonts w:ascii="Arial" w:cs="Arial" w:eastAsia="Arial" w:hAnsi="Arial"/>
          <w:sz w:val="17"/>
          <w:szCs w:val="17"/>
          <w:color w:val="000000"/>
        </w:rPr>
        <w:t>shall bear interest at</w:t>
      </w:r>
      <w:r>
        <w:rPr>
          <w:rFonts w:ascii="Arial" w:cs="Arial" w:eastAsia="Arial" w:hAnsi="Arial"/>
          <w:sz w:val="17"/>
          <w:szCs w:val="17"/>
          <w:color w:val="008000"/>
        </w:rPr>
        <w:t xml:space="preserve"> </w:t>
      </w:r>
      <w:r>
        <w:rPr>
          <w:rFonts w:ascii="Arial" w:cs="Arial" w:eastAsia="Arial" w:hAnsi="Arial"/>
          <w:sz w:val="17"/>
          <w:szCs w:val="17"/>
          <w:color w:val="FF0000"/>
          <w:strike w:val="1"/>
        </w:rPr>
        <w:t>(A)</w:t>
      </w:r>
      <w:r>
        <w:rPr>
          <w:rFonts w:ascii="Arial" w:cs="Arial" w:eastAsia="Arial" w:hAnsi="Arial"/>
          <w:sz w:val="17"/>
          <w:szCs w:val="17"/>
          <w:color w:val="008000"/>
        </w:rPr>
        <w:t xml:space="preserve"> </w:t>
      </w:r>
      <w:r>
        <w:rPr>
          <w:rFonts w:ascii="Arial" w:cs="Arial" w:eastAsia="Arial" w:hAnsi="Arial"/>
          <w:sz w:val="17"/>
          <w:szCs w:val="17"/>
          <w:color w:val="000000"/>
        </w:rPr>
        <w:t>the Base Rate</w:t>
      </w:r>
      <w:r>
        <w:rPr>
          <w:rFonts w:ascii="Arial" w:cs="Arial" w:eastAsia="Arial" w:hAnsi="Arial"/>
          <w:sz w:val="17"/>
          <w:szCs w:val="17"/>
          <w:color w:val="008000"/>
        </w:rPr>
        <w:t xml:space="preserve"> </w:t>
      </w:r>
      <w:r>
        <w:rPr>
          <w:rFonts w:ascii="Arial" w:cs="Arial" w:eastAsia="Arial" w:hAnsi="Arial"/>
          <w:sz w:val="17"/>
          <w:szCs w:val="17"/>
          <w:u w:val="single" w:color="auto"/>
          <w:color w:val="000000"/>
        </w:rPr>
        <w:t>plus</w:t>
      </w:r>
      <w:r>
        <w:rPr>
          <w:rFonts w:ascii="Arial" w:cs="Arial" w:eastAsia="Arial" w:hAnsi="Arial"/>
          <w:sz w:val="17"/>
          <w:szCs w:val="17"/>
          <w:color w:val="008000"/>
        </w:rPr>
        <w:t xml:space="preserve"> </w:t>
      </w:r>
      <w:r>
        <w:rPr>
          <w:rFonts w:ascii="Arial" w:cs="Arial" w:eastAsia="Arial" w:hAnsi="Arial"/>
          <w:sz w:val="17"/>
          <w:szCs w:val="17"/>
          <w:color w:val="000000"/>
        </w:rPr>
        <w:t xml:space="preserve">the Applicable Margin </w:t>
      </w:r>
      <w:r>
        <w:rPr>
          <w:rFonts w:ascii="Arial" w:cs="Arial" w:eastAsia="Arial" w:hAnsi="Arial"/>
          <w:sz w:val="17"/>
          <w:szCs w:val="17"/>
          <w:color w:val="FF0000"/>
        </w:rPr>
        <w:t>or (B) the Eurocurrency</w:t>
      </w:r>
      <w:r>
        <w:rPr>
          <w:rFonts w:ascii="Arial" w:cs="Arial" w:eastAsia="Arial" w:hAnsi="Arial"/>
          <w:sz w:val="17"/>
          <w:szCs w:val="17"/>
          <w:u w:val="single" w:color="auto"/>
          <w:color w:val="0000FF"/>
        </w:rPr>
        <w:t>, and (2) Term SOFR Loans shall bear interest at Adjusted Term SOFR plus the Applicable Margin, (y) at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the election of the Borrower (where applicable), Revolving Credit Loans that are (1) Base Rate Loans shall bear interest at the Base</w:t>
      </w:r>
      <w:r>
        <w:rPr>
          <w:rFonts w:ascii="Arial" w:cs="Arial" w:eastAsia="Arial" w:hAnsi="Arial"/>
          <w:sz w:val="17"/>
          <w:szCs w:val="17"/>
          <w:color w:val="0000FF"/>
        </w:rPr>
        <w:t xml:space="preserve"> </w:t>
      </w:r>
      <w:r>
        <w:rPr>
          <w:rFonts w:ascii="Arial" w:cs="Arial" w:eastAsia="Arial" w:hAnsi="Arial"/>
          <w:sz w:val="17"/>
          <w:szCs w:val="17"/>
          <w:color w:val="000000"/>
        </w:rPr>
        <w:t>Rate</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plus</w:t>
      </w:r>
      <w:r>
        <w:rPr>
          <w:rFonts w:ascii="Arial" w:cs="Arial" w:eastAsia="Arial" w:hAnsi="Arial"/>
          <w:sz w:val="17"/>
          <w:szCs w:val="17"/>
          <w:color w:val="0000FF"/>
        </w:rPr>
        <w:t xml:space="preserve"> </w:t>
      </w:r>
      <w:r>
        <w:rPr>
          <w:rFonts w:ascii="Arial" w:cs="Arial" w:eastAsia="Arial" w:hAnsi="Arial"/>
          <w:sz w:val="17"/>
          <w:szCs w:val="17"/>
          <w:color w:val="000000"/>
        </w:rPr>
        <w:t>the</w:t>
      </w:r>
      <w:r>
        <w:rPr>
          <w:rFonts w:ascii="Arial" w:cs="Arial" w:eastAsia="Arial" w:hAnsi="Arial"/>
          <w:sz w:val="17"/>
          <w:szCs w:val="17"/>
          <w:color w:val="0000FF"/>
        </w:rPr>
        <w:t xml:space="preserve"> </w:t>
      </w:r>
      <w:r>
        <w:rPr>
          <w:rFonts w:ascii="Arial" w:cs="Arial" w:eastAsia="Arial" w:hAnsi="Arial"/>
          <w:sz w:val="17"/>
          <w:szCs w:val="17"/>
          <w:color w:val="000000"/>
        </w:rPr>
        <w:t>Applicable Margin</w:t>
      </w:r>
      <w:r>
        <w:rPr>
          <w:rFonts w:ascii="Arial" w:cs="Arial" w:eastAsia="Arial" w:hAnsi="Arial"/>
          <w:sz w:val="17"/>
          <w:szCs w:val="17"/>
          <w:color w:val="FF0000"/>
          <w:strike w:val="1"/>
        </w:rPr>
        <w:t>; (ii)</w:t>
      </w:r>
      <w:r>
        <w:rPr>
          <w:rFonts w:ascii="Arial" w:cs="Arial" w:eastAsia="Arial" w:hAnsi="Arial"/>
          <w:sz w:val="17"/>
          <w:szCs w:val="17"/>
          <w:color w:val="000000"/>
        </w:rPr>
        <w:t xml:space="preserve"> </w:t>
      </w:r>
      <w:r>
        <w:rPr>
          <w:rFonts w:ascii="Arial" w:cs="Arial" w:eastAsia="Arial" w:hAnsi="Arial"/>
          <w:sz w:val="17"/>
          <w:szCs w:val="17"/>
          <w:color w:val="008000"/>
          <w:strike w:val="1"/>
        </w:rPr>
        <w:t>Revolving Credit Loans denominated in</w:t>
      </w:r>
      <w:r>
        <w:rPr>
          <w:rFonts w:ascii="Arial" w:cs="Arial" w:eastAsia="Arial" w:hAnsi="Arial"/>
          <w:sz w:val="17"/>
          <w:szCs w:val="17"/>
          <w:color w:val="000000"/>
        </w:rPr>
        <w:t xml:space="preserve"> </w:t>
      </w:r>
      <w:r>
        <w:rPr>
          <w:rFonts w:ascii="Arial" w:cs="Arial" w:eastAsia="Arial" w:hAnsi="Arial"/>
          <w:sz w:val="17"/>
          <w:szCs w:val="17"/>
          <w:color w:val="FF0000"/>
          <w:strike w:val="1"/>
        </w:rPr>
        <w:t>an Alternative Currency</w:t>
      </w:r>
      <w:r>
        <w:rPr>
          <w:rFonts w:ascii="Arial" w:cs="Arial" w:eastAsia="Arial" w:hAnsi="Arial"/>
          <w:sz w:val="17"/>
          <w:szCs w:val="17"/>
          <w:u w:val="single" w:color="auto"/>
          <w:color w:val="0000FF"/>
        </w:rPr>
        <w:t>, (2) Term SOFR Loans shall bear interest at Adjusted Term</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SOFR plus the Applicable Margin, (3) Eurocurrency Rate Loans</w:t>
      </w:r>
      <w:r>
        <w:rPr>
          <w:rFonts w:ascii="Arial" w:cs="Arial" w:eastAsia="Arial" w:hAnsi="Arial"/>
          <w:sz w:val="17"/>
          <w:szCs w:val="17"/>
          <w:color w:val="0000FF"/>
        </w:rPr>
        <w:t xml:space="preserve"> </w:t>
      </w:r>
      <w:r>
        <w:rPr>
          <w:rFonts w:ascii="Arial" w:cs="Arial" w:eastAsia="Arial" w:hAnsi="Arial"/>
          <w:sz w:val="17"/>
          <w:szCs w:val="17"/>
          <w:color w:val="000000"/>
        </w:rPr>
        <w:t>shall bear interest at the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applicable Adjusted</w:t>
      </w:r>
      <w:r>
        <w:rPr>
          <w:rFonts w:ascii="Arial" w:cs="Arial" w:eastAsia="Arial" w:hAnsi="Arial"/>
          <w:sz w:val="17"/>
          <w:szCs w:val="17"/>
          <w:color w:val="0000FF"/>
        </w:rPr>
        <w:t xml:space="preserve"> </w:t>
      </w:r>
      <w:r>
        <w:rPr>
          <w:rFonts w:ascii="Arial" w:cs="Arial" w:eastAsia="Arial" w:hAnsi="Arial"/>
          <w:sz w:val="17"/>
          <w:szCs w:val="17"/>
          <w:color w:val="000000"/>
        </w:rPr>
        <w:t>Eurocurrency Rate</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plus</w:t>
      </w:r>
      <w:r>
        <w:rPr>
          <w:rFonts w:ascii="Arial" w:cs="Arial" w:eastAsia="Arial" w:hAnsi="Arial"/>
          <w:sz w:val="17"/>
          <w:szCs w:val="17"/>
          <w:color w:val="0000FF"/>
        </w:rPr>
        <w:t xml:space="preserve"> </w:t>
      </w:r>
      <w:r>
        <w:rPr>
          <w:rFonts w:ascii="Arial" w:cs="Arial" w:eastAsia="Arial" w:hAnsi="Arial"/>
          <w:sz w:val="17"/>
          <w:szCs w:val="17"/>
          <w:color w:val="000000"/>
        </w:rPr>
        <w:t>the Applicable</w:t>
      </w:r>
      <w:r>
        <w:rPr>
          <w:rFonts w:ascii="Arial" w:cs="Arial" w:eastAsia="Arial" w:hAnsi="Arial"/>
          <w:sz w:val="17"/>
          <w:szCs w:val="17"/>
          <w:color w:val="0000FF"/>
        </w:rPr>
        <w:t xml:space="preserve"> </w:t>
      </w:r>
      <w:r>
        <w:rPr>
          <w:rFonts w:ascii="Arial" w:cs="Arial" w:eastAsia="Arial" w:hAnsi="Arial"/>
          <w:sz w:val="17"/>
          <w:szCs w:val="17"/>
          <w:color w:val="000000"/>
        </w:rPr>
        <w:t xml:space="preserve">Margin </w:t>
      </w:r>
      <w:r>
        <w:rPr>
          <w:rFonts w:ascii="Arial" w:cs="Arial" w:eastAsia="Arial" w:hAnsi="Arial"/>
          <w:sz w:val="17"/>
          <w:szCs w:val="17"/>
          <w:color w:val="FF0000"/>
          <w:strike w:val="1"/>
        </w:rPr>
        <w:t>(provided that the Eurocurrency Rate shall not be available until</w:t>
      </w:r>
      <w:r>
        <w:rPr>
          <w:rFonts w:ascii="Arial" w:cs="Arial" w:eastAsia="Arial" w:hAnsi="Arial"/>
          <w:sz w:val="17"/>
          <w:szCs w:val="17"/>
          <w:color w:val="000000"/>
        </w:rPr>
        <w:t xml:space="preserve"> </w:t>
      </w:r>
      <w:r>
        <w:rPr>
          <w:rFonts w:ascii="Arial" w:cs="Arial" w:eastAsia="Arial" w:hAnsi="Arial"/>
          <w:sz w:val="17"/>
          <w:szCs w:val="17"/>
          <w:color w:val="008000"/>
          <w:strike w:val="1"/>
        </w:rPr>
        <w:t>three (3) Business Days after the</w:t>
      </w:r>
      <w:r>
        <w:rPr>
          <w:rFonts w:ascii="Arial" w:cs="Arial" w:eastAsia="Arial" w:hAnsi="Arial"/>
          <w:sz w:val="17"/>
          <w:szCs w:val="17"/>
          <w:color w:val="000000"/>
        </w:rPr>
        <w:t xml:space="preserve"> </w:t>
      </w:r>
      <w:r>
        <w:rPr>
          <w:rFonts w:ascii="Arial" w:cs="Arial" w:eastAsia="Arial" w:hAnsi="Arial"/>
          <w:sz w:val="17"/>
          <w:szCs w:val="17"/>
          <w:color w:val="FF0000"/>
          <w:strike w:val="1"/>
        </w:rPr>
        <w:t>Closing Date in the case of Eurocurrency Rate</w:t>
      </w:r>
      <w:r>
        <w:rPr>
          <w:rFonts w:ascii="Arial" w:cs="Arial" w:eastAsia="Arial" w:hAnsi="Arial"/>
          <w:sz w:val="17"/>
          <w:szCs w:val="17"/>
          <w:color w:val="000000"/>
        </w:rPr>
        <w:t xml:space="preserve"> </w:t>
      </w:r>
      <w:r>
        <w:rPr>
          <w:rFonts w:ascii="Arial" w:cs="Arial" w:eastAsia="Arial" w:hAnsi="Arial"/>
          <w:sz w:val="17"/>
          <w:szCs w:val="17"/>
          <w:color w:val="FF0000"/>
          <w:strike w:val="1"/>
        </w:rPr>
        <w:t>Loans denominated in Dollars, four (4) Business Days (or five (5) Business Days in the case of Special Notice Currencies) after the Closing Date in the case of Eurocurrency Rate Loans denominated in an Alternative Currency, in each case unless the Borrower has delivered to the Administrative Agent a letter in form and substance reasonably satisfactory to the Administrative Agent indemnifying the Lenders in the manner set forth in Section 5.9 of this Agreement) and (iii</w:t>
      </w:r>
      <w:r>
        <w:rPr>
          <w:rFonts w:ascii="Arial" w:cs="Arial" w:eastAsia="Arial" w:hAnsi="Arial"/>
          <w:sz w:val="17"/>
          <w:szCs w:val="17"/>
          <w:u w:val="single" w:color="auto"/>
          <w:color w:val="0000FF"/>
          <w:strike w:val="1"/>
        </w:rPr>
        <w:t>and (4) Daily Simple SONIA Loans shall bear interest at Adjusted Daily Simple SONIA plus the Applicable Margin, (z</w:t>
      </w:r>
      <w:r>
        <w:rPr>
          <w:rFonts w:ascii="Arial" w:cs="Arial" w:eastAsia="Arial" w:hAnsi="Arial"/>
          <w:sz w:val="17"/>
          <w:szCs w:val="17"/>
          <w:color w:val="000000"/>
          <w:strike w:val="1"/>
        </w:rPr>
        <w:t>) any</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Swingline Loan shall bear interest at the Base Rate </w:t>
      </w:r>
      <w:r>
        <w:rPr>
          <w:rFonts w:ascii="Arial" w:cs="Arial" w:eastAsia="Arial" w:hAnsi="Arial"/>
          <w:sz w:val="17"/>
          <w:szCs w:val="17"/>
          <w:u w:val="single" w:color="auto"/>
          <w:color w:val="000000"/>
          <w:strike w:val="1"/>
        </w:rPr>
        <w:t>plus</w:t>
      </w:r>
      <w:r>
        <w:rPr>
          <w:rFonts w:ascii="Arial" w:cs="Arial" w:eastAsia="Arial" w:hAnsi="Arial"/>
          <w:sz w:val="17"/>
          <w:szCs w:val="17"/>
          <w:color w:val="000000"/>
          <w:strike w:val="1"/>
        </w:rPr>
        <w:t xml:space="preserve"> the Applicable Margin. The Borrower shall select the rate of interest and Interest Period, if any, applicable to any </w:t>
      </w:r>
      <w:r>
        <w:rPr>
          <w:rFonts w:ascii="Arial" w:cs="Arial" w:eastAsia="Arial" w:hAnsi="Arial"/>
          <w:sz w:val="17"/>
          <w:szCs w:val="17"/>
          <w:color w:val="FF0000"/>
          <w:strike w:val="1"/>
        </w:rPr>
        <w:t>Revolving Credit</w:t>
      </w:r>
      <w:r>
        <w:rPr>
          <w:rFonts w:ascii="Arial" w:cs="Arial" w:eastAsia="Arial" w:hAnsi="Arial"/>
          <w:sz w:val="17"/>
          <w:szCs w:val="17"/>
          <w:color w:val="000000"/>
          <w:strike w:val="1"/>
        </w:rPr>
        <w:t xml:space="preserve"> Loan at the time a Notice of Borrowing is given or at the time a Notice of Conversion/Continuation is given pursuant to </w:t>
      </w:r>
      <w:r>
        <w:rPr>
          <w:rFonts w:ascii="Arial" w:cs="Arial" w:eastAsia="Arial" w:hAnsi="Arial"/>
          <w:sz w:val="17"/>
          <w:szCs w:val="17"/>
          <w:u w:val="single" w:color="auto"/>
          <w:color w:val="000000"/>
          <w:strike w:val="1"/>
        </w:rPr>
        <w:t>Section 5.2</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-1652270</wp:posOffset>
            </wp:positionV>
            <wp:extent cx="13290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3540760</wp:posOffset>
            </wp:positionH>
            <wp:positionV relativeFrom="paragraph">
              <wp:posOffset>-1677670</wp:posOffset>
            </wp:positionV>
            <wp:extent cx="13258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25880" cy="8890"/>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-1591945</wp:posOffset>
            </wp:positionV>
            <wp:extent cx="111569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5695" cy="8890"/>
                    </a:xfrm>
                    <a:prstGeom prst="rect">
                      <a:avLst/>
                    </a:prstGeom>
                    <a:noFill/>
                  </pic:spPr>
                </pic:pic>
              </a:graphicData>
            </a:graphic>
          </wp:anchor>
        </w:drawing>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490" w:right="459" w:bottom="1440" w:gutter="0" w:footer="0" w:header="0"/>
        </w:sectPr>
      </w:pPr>
    </w:p>
    <w:bookmarkStart w:id="120" w:name="page121"/>
    <w:bookmarkEnd w:id="120"/>
    <w:p>
      <w:pPr>
        <w:ind w:right="40" w:firstLine="436"/>
        <w:spacing w:after="0" w:line="268" w:lineRule="auto"/>
        <w:tabs>
          <w:tab w:leader="none" w:pos="695"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Default Rate</w:t>
      </w:r>
      <w:r>
        <w:rPr>
          <w:rFonts w:ascii="Arial" w:cs="Arial" w:eastAsia="Arial" w:hAnsi="Arial"/>
          <w:sz w:val="17"/>
          <w:szCs w:val="17"/>
          <w:color w:val="auto"/>
        </w:rPr>
        <w:t xml:space="preserve">. If any amount of the Obligations payable by the Borrower is not paid when due (subject to any applicable grace periods), whether at stated maturity, by acceleration or otherwise, then such amount shall thereafter bear interest at a fluctuating interest rate per annum at all times equal to: (i) </w:t>
      </w:r>
      <w:r>
        <w:rPr>
          <w:rFonts w:ascii="Arial" w:cs="Arial" w:eastAsia="Arial" w:hAnsi="Arial"/>
          <w:sz w:val="17"/>
          <w:szCs w:val="17"/>
          <w:color w:val="FF0000"/>
          <w:strike w:val="1"/>
        </w:rPr>
        <w:t>in the case of</w:t>
      </w:r>
      <w:r>
        <w:rPr>
          <w:rFonts w:ascii="Arial" w:cs="Arial" w:eastAsia="Arial" w:hAnsi="Arial"/>
          <w:sz w:val="17"/>
          <w:szCs w:val="17"/>
          <w:u w:val="single" w:color="auto"/>
          <w:color w:val="0000FF"/>
        </w:rPr>
        <w:t>all outstanding</w:t>
      </w:r>
      <w:r>
        <w:rPr>
          <w:rFonts w:ascii="Arial" w:cs="Arial" w:eastAsia="Arial" w:hAnsi="Arial"/>
          <w:sz w:val="17"/>
          <w:szCs w:val="17"/>
          <w:color w:val="auto"/>
        </w:rPr>
        <w:t xml:space="preserve"> Eurocurrency Rate Loans</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color w:val="0000FF"/>
        </w:rPr>
        <w:t>and Term SOFR Loans shall bear interest</w:t>
      </w:r>
      <w:r>
        <w:rPr>
          <w:rFonts w:ascii="Arial" w:cs="Arial" w:eastAsia="Arial" w:hAnsi="Arial"/>
          <w:sz w:val="17"/>
          <w:szCs w:val="17"/>
          <w:color w:val="auto"/>
        </w:rPr>
        <w:t xml:space="preserve"> at a rate per annum of two percent (2%) in excess of the rate (including the Applicable Margin) then applicable to Eurocurrency Rate Loans </w:t>
      </w:r>
      <w:r>
        <w:rPr>
          <w:rFonts w:ascii="Arial" w:cs="Arial" w:eastAsia="Arial" w:hAnsi="Arial"/>
          <w:sz w:val="17"/>
          <w:szCs w:val="17"/>
          <w:u w:val="single" w:color="auto"/>
          <w:color w:val="0000FF"/>
        </w:rPr>
        <w:t>or Term SOFR Loans, as applicable,</w:t>
      </w:r>
      <w:r>
        <w:rPr>
          <w:rFonts w:ascii="Arial" w:cs="Arial" w:eastAsia="Arial" w:hAnsi="Arial"/>
          <w:sz w:val="17"/>
          <w:szCs w:val="17"/>
          <w:color w:val="auto"/>
        </w:rPr>
        <w:t xml:space="preserve"> until the end of the applicable Interest Period and </w:t>
      </w:r>
      <w:r>
        <w:rPr>
          <w:rFonts w:ascii="Arial" w:cs="Arial" w:eastAsia="Arial" w:hAnsi="Arial"/>
          <w:sz w:val="17"/>
          <w:szCs w:val="17"/>
          <w:color w:val="FF0000"/>
          <w:strike w:val="1"/>
        </w:rPr>
        <w:t>thereafter at a rate equal to</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shall automatically be converted to a Base Rate Loan denominated in Dollars (in an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amount equal to the Dollar Equivalent of the applicable Alternative Currency, if applicable) at the end of the applicable Interest Period therefor and shall, as of such conversion,</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bear interest at a rate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per annum of</w:t>
      </w:r>
      <w:r>
        <w:rPr>
          <w:rFonts w:ascii="Arial" w:cs="Arial" w:eastAsia="Arial" w:hAnsi="Arial"/>
          <w:sz w:val="17"/>
          <w:szCs w:val="17"/>
          <w:color w:val="0000FF"/>
        </w:rPr>
        <w:t xml:space="preserve"> </w:t>
      </w:r>
      <w:r>
        <w:rPr>
          <w:rFonts w:ascii="Arial" w:cs="Arial" w:eastAsia="Arial" w:hAnsi="Arial"/>
          <w:sz w:val="17"/>
          <w:szCs w:val="17"/>
          <w:color w:val="000000"/>
        </w:rPr>
        <w:t>two percent (2%) in excess of the rate (including the Applicable Margin) then applicable</w:t>
      </w:r>
      <w:r>
        <w:rPr>
          <w:rFonts w:ascii="Arial" w:cs="Arial" w:eastAsia="Arial" w:hAnsi="Arial"/>
          <w:sz w:val="17"/>
          <w:szCs w:val="17"/>
          <w:color w:val="0000FF"/>
        </w:rPr>
        <w:t xml:space="preserve"> </w:t>
      </w:r>
      <w:r>
        <w:rPr>
          <w:rFonts w:ascii="Arial" w:cs="Arial" w:eastAsia="Arial" w:hAnsi="Arial"/>
          <w:sz w:val="17"/>
          <w:szCs w:val="17"/>
          <w:color w:val="000000"/>
        </w:rPr>
        <w:t xml:space="preserve">to Base Rate Loans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(ii) </w:t>
      </w:r>
      <w:r>
        <w:rPr>
          <w:rFonts w:ascii="Arial" w:cs="Arial" w:eastAsia="Arial" w:hAnsi="Arial"/>
          <w:sz w:val="17"/>
          <w:szCs w:val="17"/>
          <w:color w:val="FF0000"/>
          <w:strike w:val="1"/>
        </w:rPr>
        <w:t>in the case of</w:t>
      </w:r>
      <w:r>
        <w:rPr>
          <w:rFonts w:ascii="Arial" w:cs="Arial" w:eastAsia="Arial" w:hAnsi="Arial"/>
          <w:sz w:val="17"/>
          <w:szCs w:val="17"/>
          <w:u w:val="single" w:color="auto"/>
          <w:color w:val="0000FF"/>
        </w:rPr>
        <w:t>all Daily Simple SONIA Loans shall automatically be converted to a Base Rate Loan denominated in Dollars</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(in an amount equal to the Dollar Equivalent of the applicable Alternative Currency, if applicable) immediately and shall, as of such conversion, bear interest at a rate per annum of two percent (2%) in excess of the rate (including the Applicable Margin) then applicable to Base Rate Loans, and (iii) all outstanding</w:t>
      </w:r>
      <w:r>
        <w:rPr>
          <w:rFonts w:ascii="Arial" w:cs="Arial" w:eastAsia="Arial" w:hAnsi="Arial"/>
          <w:sz w:val="17"/>
          <w:szCs w:val="17"/>
          <w:color w:val="0000FF"/>
        </w:rPr>
        <w:t xml:space="preserve"> </w:t>
      </w:r>
      <w:r>
        <w:rPr>
          <w:rFonts w:ascii="Arial" w:cs="Arial" w:eastAsia="Arial" w:hAnsi="Arial"/>
          <w:sz w:val="17"/>
          <w:szCs w:val="17"/>
          <w:color w:val="000000"/>
        </w:rPr>
        <w:t>Base Rate Loans and other Obligations</w:t>
      </w:r>
      <w:r>
        <w:rPr>
          <w:rFonts w:ascii="Arial" w:cs="Arial" w:eastAsia="Arial" w:hAnsi="Arial"/>
          <w:sz w:val="17"/>
          <w:szCs w:val="17"/>
          <w:color w:val="FF0000"/>
          <w:strike w:val="1"/>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arising hereunder or under any other Loan Document shall bear interest</w:t>
      </w:r>
      <w:r>
        <w:rPr>
          <w:rFonts w:ascii="Arial" w:cs="Arial" w:eastAsia="Arial" w:hAnsi="Arial"/>
          <w:sz w:val="17"/>
          <w:szCs w:val="17"/>
          <w:color w:val="0000FF"/>
        </w:rPr>
        <w:t xml:space="preserve"> </w:t>
      </w:r>
      <w:r>
        <w:rPr>
          <w:rFonts w:ascii="Arial" w:cs="Arial" w:eastAsia="Arial" w:hAnsi="Arial"/>
          <w:sz w:val="17"/>
          <w:szCs w:val="17"/>
          <w:color w:val="000000"/>
        </w:rPr>
        <w:t>at a rate per annum equal to</w:t>
      </w:r>
      <w:r>
        <w:rPr>
          <w:rFonts w:ascii="Arial" w:cs="Arial" w:eastAsia="Arial" w:hAnsi="Arial"/>
          <w:sz w:val="17"/>
          <w:szCs w:val="17"/>
          <w:color w:val="0000FF"/>
        </w:rPr>
        <w:t xml:space="preserve"> </w:t>
      </w:r>
      <w:r>
        <w:rPr>
          <w:rFonts w:ascii="Arial" w:cs="Arial" w:eastAsia="Arial" w:hAnsi="Arial"/>
          <w:sz w:val="17"/>
          <w:szCs w:val="17"/>
          <w:color w:val="000000"/>
        </w:rPr>
        <w:t xml:space="preserve">two percent (2%) in excess of the rate (including the Applicable Margin) then applicable to Base Rate Loans or such other Obligations </w:t>
      </w:r>
      <w:r>
        <w:rPr>
          <w:rFonts w:ascii="Arial" w:cs="Arial" w:eastAsia="Arial" w:hAnsi="Arial"/>
          <w:sz w:val="17"/>
          <w:szCs w:val="17"/>
          <w:u w:val="single" w:color="auto"/>
          <w:color w:val="0000FF"/>
        </w:rPr>
        <w:t>arising hereunder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or under any other Loan Document</w:t>
      </w:r>
      <w:r>
        <w:rPr>
          <w:rFonts w:ascii="Arial" w:cs="Arial" w:eastAsia="Arial" w:hAnsi="Arial"/>
          <w:sz w:val="17"/>
          <w:szCs w:val="17"/>
          <w:color w:val="000000"/>
        </w:rPr>
        <w:t>. Such accrued and unpaid interest shall be due and payable on demand of the Administrative Agent. Interest shall</w:t>
      </w:r>
      <w:r>
        <w:rPr>
          <w:rFonts w:ascii="Arial" w:cs="Arial" w:eastAsia="Arial" w:hAnsi="Arial"/>
          <w:sz w:val="17"/>
          <w:szCs w:val="17"/>
          <w:color w:val="0000FF"/>
        </w:rPr>
        <w:t xml:space="preserve"> </w:t>
      </w:r>
      <w:r>
        <w:rPr>
          <w:rFonts w:ascii="Arial" w:cs="Arial" w:eastAsia="Arial" w:hAnsi="Arial"/>
          <w:sz w:val="17"/>
          <w:szCs w:val="17"/>
          <w:color w:val="000000"/>
        </w:rPr>
        <w:t>continue to accrue on the Obligations after the filing by or against the Borrower of any petition seeking any relief in bankruptcy or under any Debtor Relief Law.</w:t>
      </w:r>
    </w:p>
    <w:p>
      <w:pPr>
        <w:spacing w:after="0" w:line="73" w:lineRule="exact"/>
        <w:rPr>
          <w:rFonts w:ascii="Arial" w:cs="Arial" w:eastAsia="Arial" w:hAnsi="Arial"/>
          <w:sz w:val="17"/>
          <w:szCs w:val="17"/>
          <w:color w:val="auto"/>
        </w:rPr>
      </w:pPr>
    </w:p>
    <w:p>
      <w:pPr>
        <w:ind w:firstLine="436"/>
        <w:spacing w:after="0" w:line="286" w:lineRule="auto"/>
        <w:tabs>
          <w:tab w:leader="none" w:pos="68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Interest Payment and Computation</w:t>
      </w:r>
      <w:r>
        <w:rPr>
          <w:rFonts w:ascii="Arial" w:cs="Arial" w:eastAsia="Arial" w:hAnsi="Arial"/>
          <w:sz w:val="16"/>
          <w:szCs w:val="16"/>
          <w:color w:val="auto"/>
        </w:rPr>
        <w:t xml:space="preserve">. Interest on each </w:t>
      </w:r>
      <w:r>
        <w:rPr>
          <w:rFonts w:ascii="Arial" w:cs="Arial" w:eastAsia="Arial" w:hAnsi="Arial"/>
          <w:sz w:val="16"/>
          <w:szCs w:val="16"/>
          <w:color w:val="FF0000"/>
          <w:strike w:val="1"/>
        </w:rPr>
        <w:t>Base Rate</w:t>
      </w:r>
      <w:r>
        <w:rPr>
          <w:rFonts w:ascii="Arial" w:cs="Arial" w:eastAsia="Arial" w:hAnsi="Arial"/>
          <w:sz w:val="16"/>
          <w:szCs w:val="16"/>
          <w:color w:val="auto"/>
        </w:rPr>
        <w:t xml:space="preserve"> Loan shall be due and payable in arrears on </w:t>
      </w:r>
      <w:r>
        <w:rPr>
          <w:rFonts w:ascii="Arial" w:cs="Arial" w:eastAsia="Arial" w:hAnsi="Arial"/>
          <w:sz w:val="16"/>
          <w:szCs w:val="16"/>
          <w:color w:val="008000"/>
          <w:strike w:val="1"/>
        </w:rPr>
        <w:t>the last Business Day of each</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calendar quarter commencing December 31, 2018; and interest on each Eurocurrency Rate Loan shall be due and payable on the </w:t>
      </w:r>
      <w:r>
        <w:rPr>
          <w:rFonts w:ascii="Arial" w:cs="Arial" w:eastAsia="Arial" w:hAnsi="Arial"/>
          <w:sz w:val="16"/>
          <w:szCs w:val="16"/>
          <w:color w:val="008000"/>
          <w:strike w:val="1"/>
        </w:rPr>
        <w:t>last day of each Interest</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Period </w:t>
      </w:r>
      <w:r>
        <w:rPr>
          <w:rFonts w:ascii="Arial" w:cs="Arial" w:eastAsia="Arial" w:hAnsi="Arial"/>
          <w:sz w:val="16"/>
          <w:szCs w:val="16"/>
          <w:color w:val="FF0000"/>
          <w:strike w:val="1"/>
        </w:rPr>
        <w:t>applicable thereto, and if such Interest Period extends over three (3) months, at the end of each three (3) month interval during such Interest</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Period</w:t>
      </w:r>
      <w:r>
        <w:rPr>
          <w:rFonts w:ascii="Arial" w:cs="Arial" w:eastAsia="Arial" w:hAnsi="Arial"/>
          <w:sz w:val="16"/>
          <w:szCs w:val="16"/>
          <w:u w:val="single" w:color="auto"/>
          <w:color w:val="0000FF"/>
          <w:strike w:val="1"/>
        </w:rPr>
        <w:t>each Interest Payment Date applicable thereto; provided that (i) in the event of any repayment or prepayment of any Eurocurrency Rate Loan or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Term SOFR Loan, accrued interest on the principal amount repaid or prepaid shall be payable on the date of such repayment or prepayment and (ii) in the event of any conversion of any Eurocurrency Rate Loan or Term SOFR Loan prior to the end of the Interest Period therefor, accrued interest on such Loan shall be payable on the effective date of such conversion</w:t>
      </w:r>
      <w:r>
        <w:rPr>
          <w:rFonts w:ascii="Arial" w:cs="Arial" w:eastAsia="Arial" w:hAnsi="Arial"/>
          <w:sz w:val="16"/>
          <w:szCs w:val="16"/>
          <w:color w:val="000000"/>
          <w:strike w:val="1"/>
        </w:rPr>
        <w:t>. All computations of interest for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(i)</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Base Rate Loans</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when the Base Rate is determined by</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 xml:space="preserve">the Prime Rate or (ii) </w:t>
      </w:r>
      <w:r>
        <w:rPr>
          <w:rFonts w:ascii="Arial" w:cs="Arial" w:eastAsia="Arial" w:hAnsi="Arial"/>
          <w:sz w:val="16"/>
          <w:szCs w:val="16"/>
          <w:color w:val="008000"/>
          <w:strike w:val="1"/>
        </w:rPr>
        <w:t>Eurocurrency Rate Loans denominated in</w:t>
      </w:r>
      <w:r>
        <w:rPr>
          <w:rFonts w:ascii="Arial" w:cs="Arial" w:eastAsia="Arial" w:hAnsi="Arial"/>
          <w:sz w:val="16"/>
          <w:szCs w:val="16"/>
          <w:color w:val="FF0000"/>
          <w:strike w:val="1"/>
        </w:rPr>
        <w:t xml:space="preserve"> Sterling </w:t>
      </w:r>
      <w:r>
        <w:rPr>
          <w:rFonts w:ascii="Arial" w:cs="Arial" w:eastAsia="Arial" w:hAnsi="Arial"/>
          <w:sz w:val="16"/>
          <w:szCs w:val="16"/>
          <w:color w:val="000000"/>
          <w:strike w:val="1"/>
        </w:rPr>
        <w:t>shall be made on the basis of a year of 365 or 366 days, as the case may be, and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actual days elapsed. All other computations of fees and interest provided hereunder shall be made on the basis of a 360-day year and actual days elapsed (which results in more fees or interest, as applicable, being paid than if computed on the basis of a 365/366-day year), </w:t>
      </w:r>
      <w:r>
        <w:rPr>
          <w:rFonts w:ascii="Arial" w:cs="Arial" w:eastAsia="Arial" w:hAnsi="Arial"/>
          <w:sz w:val="16"/>
          <w:szCs w:val="16"/>
          <w:color w:val="FF0000"/>
          <w:strike w:val="1"/>
        </w:rPr>
        <w:t>or, in the case of</w:t>
      </w:r>
      <w:r>
        <w:rPr>
          <w:rFonts w:ascii="Arial" w:cs="Arial" w:eastAsia="Arial" w:hAnsi="Arial"/>
          <w:sz w:val="16"/>
          <w:szCs w:val="16"/>
          <w:u w:val="single" w:color="auto"/>
          <w:color w:val="0000FF"/>
          <w:strike w:val="1"/>
        </w:rPr>
        <w:t>except that</w:t>
      </w:r>
      <w:r>
        <w:rPr>
          <w:rFonts w:ascii="Arial" w:cs="Arial" w:eastAsia="Arial" w:hAnsi="Arial"/>
          <w:sz w:val="16"/>
          <w:szCs w:val="16"/>
          <w:color w:val="000000"/>
          <w:strike w:val="1"/>
        </w:rPr>
        <w:t xml:space="preserve"> interest </w:t>
      </w:r>
      <w:r>
        <w:rPr>
          <w:rFonts w:ascii="Arial" w:cs="Arial" w:eastAsia="Arial" w:hAnsi="Arial"/>
          <w:sz w:val="16"/>
          <w:szCs w:val="16"/>
          <w:color w:val="FF0000"/>
          <w:strike w:val="1"/>
        </w:rPr>
        <w:t>in respect of</w:t>
      </w:r>
      <w:r>
        <w:rPr>
          <w:rFonts w:ascii="Arial" w:cs="Arial" w:eastAsia="Arial" w:hAnsi="Arial"/>
          <w:sz w:val="16"/>
          <w:szCs w:val="16"/>
          <w:u w:val="single" w:color="auto"/>
          <w:color w:val="0000FF"/>
          <w:strike w:val="1"/>
        </w:rPr>
        <w:t>on</w:t>
      </w:r>
      <w:r>
        <w:rPr>
          <w:rFonts w:ascii="Arial" w:cs="Arial" w:eastAsia="Arial" w:hAnsi="Arial"/>
          <w:sz w:val="16"/>
          <w:szCs w:val="16"/>
          <w:color w:val="000000"/>
          <w:strike w:val="1"/>
        </w:rPr>
        <w:t xml:space="preserve"> Loans denominated in </w:t>
      </w:r>
      <w:r>
        <w:rPr>
          <w:rFonts w:ascii="Arial" w:cs="Arial" w:eastAsia="Arial" w:hAnsi="Arial"/>
          <w:sz w:val="16"/>
          <w:szCs w:val="16"/>
          <w:u w:val="single" w:color="auto"/>
          <w:color w:val="0000FF"/>
          <w:strike w:val="1"/>
        </w:rPr>
        <w:t>any</w:t>
      </w:r>
      <w:r>
        <w:rPr>
          <w:rFonts w:ascii="Arial" w:cs="Arial" w:eastAsia="Arial" w:hAnsi="Arial"/>
          <w:sz w:val="16"/>
          <w:szCs w:val="16"/>
          <w:color w:val="000000"/>
          <w:strike w:val="1"/>
        </w:rPr>
        <w:t xml:space="preserve"> Alternative Currenc</w:t>
      </w:r>
      <w:r>
        <w:rPr>
          <w:rFonts w:ascii="Arial" w:cs="Arial" w:eastAsia="Arial" w:hAnsi="Arial"/>
          <w:sz w:val="16"/>
          <w:szCs w:val="16"/>
          <w:color w:val="FF0000"/>
          <w:strike w:val="1"/>
        </w:rPr>
        <w:t>ies</w:t>
      </w:r>
      <w:r>
        <w:rPr>
          <w:rFonts w:ascii="Arial" w:cs="Arial" w:eastAsia="Arial" w:hAnsi="Arial"/>
          <w:sz w:val="16"/>
          <w:szCs w:val="16"/>
          <w:u w:val="single" w:color="auto"/>
          <w:color w:val="0000FF"/>
          <w:strike w:val="1"/>
        </w:rPr>
        <w:t>y</w:t>
      </w:r>
      <w:r>
        <w:rPr>
          <w:rFonts w:ascii="Arial" w:cs="Arial" w:eastAsia="Arial" w:hAnsi="Arial"/>
          <w:sz w:val="16"/>
          <w:szCs w:val="16"/>
          <w:color w:val="000000"/>
          <w:strike w:val="1"/>
        </w:rPr>
        <w:t xml:space="preserve"> as to which market practice differs from the foregoing</w:t>
      </w:r>
      <w:r>
        <w:rPr>
          <w:rFonts w:ascii="Arial" w:cs="Arial" w:eastAsia="Arial" w:hAnsi="Arial"/>
          <w:sz w:val="16"/>
          <w:szCs w:val="16"/>
          <w:color w:val="FF0000"/>
          <w:strike w:val="1"/>
        </w:rPr>
        <w:t>, in accordance with</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 xml:space="preserve">such market practice. With respect to all Non-LIBOR Currencies, the calculation of the applicable interest rate shall be determined </w:t>
      </w:r>
      <w:r>
        <w:rPr>
          <w:rFonts w:ascii="Arial" w:cs="Arial" w:eastAsia="Arial" w:hAnsi="Arial"/>
          <w:sz w:val="16"/>
          <w:szCs w:val="16"/>
          <w:u w:val="single" w:color="auto"/>
          <w:color w:val="0000FF"/>
          <w:strike w:val="1"/>
        </w:rPr>
        <w:t>shall be computed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in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accordance with market practice </w:t>
      </w:r>
      <w:r>
        <w:rPr>
          <w:rFonts w:ascii="Arial" w:cs="Arial" w:eastAsia="Arial" w:hAnsi="Arial"/>
          <w:sz w:val="16"/>
          <w:szCs w:val="16"/>
          <w:color w:val="0000FF"/>
          <w:strike w:val="1"/>
        </w:rPr>
        <w:t>for such Loans</w:t>
      </w:r>
      <w:r>
        <w:rPr>
          <w:rFonts w:ascii="Arial" w:cs="Arial" w:eastAsia="Arial" w:hAnsi="Arial"/>
          <w:sz w:val="16"/>
          <w:szCs w:val="16"/>
          <w:color w:val="000000"/>
          <w:strike w:val="1"/>
        </w:rPr>
        <w:t>.</w:t>
      </w:r>
    </w:p>
    <w:p>
      <w:pPr>
        <w:spacing w:after="0" w:line="65" w:lineRule="exact"/>
        <w:rPr>
          <w:rFonts w:ascii="Arial" w:cs="Arial" w:eastAsia="Arial" w:hAnsi="Arial"/>
          <w:sz w:val="16"/>
          <w:szCs w:val="16"/>
          <w:color w:val="auto"/>
        </w:rPr>
      </w:pPr>
    </w:p>
    <w:p>
      <w:pPr>
        <w:ind w:right="100" w:firstLine="436"/>
        <w:spacing w:after="0" w:line="296" w:lineRule="auto"/>
        <w:tabs>
          <w:tab w:leader="none" w:pos="69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Maximum Rate</w:t>
      </w:r>
      <w:r>
        <w:rPr>
          <w:rFonts w:ascii="Arial" w:cs="Arial" w:eastAsia="Arial" w:hAnsi="Arial"/>
          <w:sz w:val="16"/>
          <w:szCs w:val="16"/>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Borrower any interest received by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-4276725</wp:posOffset>
            </wp:positionV>
            <wp:extent cx="19202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-4302760</wp:posOffset>
            </wp:positionV>
            <wp:extent cx="19157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15795"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-3728085</wp:posOffset>
            </wp:positionV>
            <wp:extent cx="10115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-3668395</wp:posOffset>
            </wp:positionV>
            <wp:extent cx="1936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-916305</wp:posOffset>
            </wp:positionV>
            <wp:extent cx="8655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-779145</wp:posOffset>
            </wp:positionV>
            <wp:extent cx="7029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-805180</wp:posOffset>
            </wp:positionV>
            <wp:extent cx="7073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739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490" w:right="439" w:bottom="1440" w:gutter="0" w:footer="0" w:header="0"/>
        </w:sectPr>
      </w:pPr>
    </w:p>
    <w:bookmarkStart w:id="121" w:name="page122"/>
    <w:bookmarkEnd w:id="121"/>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excess of the maximum lawful rate or (ii) apply such excess to the principal balance of the Obligations. It is the intent hereof that the Borrower not pay or contract to pay, and that neither the Administrative Agent nor any Lender receive or contract to receive, directly or indirectly in any manner whatsoever, interest in excess of that which may be paid by the Borrower under Applicable Law.</w:t>
      </w:r>
    </w:p>
    <w:p>
      <w:pPr>
        <w:spacing w:after="0" w:line="76" w:lineRule="exact"/>
        <w:rPr>
          <w:sz w:val="20"/>
          <w:szCs w:val="20"/>
          <w:color w:val="auto"/>
        </w:rPr>
      </w:pPr>
    </w:p>
    <w:p>
      <w:pPr>
        <w:ind w:right="120" w:firstLine="436"/>
        <w:spacing w:after="0" w:line="257" w:lineRule="auto"/>
        <w:tabs>
          <w:tab w:leader="none" w:pos="685" w:val="left"/>
        </w:tabs>
        <w:numPr>
          <w:ilvl w:val="0"/>
          <w:numId w:val="11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Initial Benchmark Conforming Changes. 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any Benchmark.</w:t>
      </w:r>
    </w:p>
    <w:p>
      <w:pPr>
        <w:spacing w:after="0" w:line="79" w:lineRule="exact"/>
        <w:rPr>
          <w:rFonts w:ascii="Arial" w:cs="Arial" w:eastAsia="Arial" w:hAnsi="Arial"/>
          <w:sz w:val="18"/>
          <w:szCs w:val="18"/>
          <w:u w:val="single" w:color="auto"/>
          <w:color w:val="0000FF"/>
        </w:rPr>
      </w:pPr>
    </w:p>
    <w:p>
      <w:pPr>
        <w:ind w:right="20" w:firstLine="436"/>
        <w:spacing w:after="0" w:line="275" w:lineRule="auto"/>
        <w:tabs>
          <w:tab w:leader="none" w:pos="665" w:val="left"/>
        </w:tabs>
        <w:numPr>
          <w:ilvl w:val="0"/>
          <w:numId w:val="11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Interest Act (Canada). 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76"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Notice and Manner of Conversion or Continuation of Loans</w:t>
      </w:r>
      <w:r>
        <w:rPr>
          <w:rFonts w:ascii="Arial" w:cs="Arial" w:eastAsia="Arial" w:hAnsi="Arial"/>
          <w:sz w:val="16"/>
          <w:szCs w:val="16"/>
          <w:color w:val="auto"/>
        </w:rPr>
        <w:t xml:space="preserve">. </w:t>
      </w:r>
      <w:r>
        <w:rPr>
          <w:rFonts w:ascii="Arial" w:cs="Arial" w:eastAsia="Arial" w:hAnsi="Arial"/>
          <w:sz w:val="16"/>
          <w:szCs w:val="16"/>
          <w:color w:val="FF0000"/>
          <w:strike w:val="1"/>
        </w:rPr>
        <w:t>Other than during the Limited Waiver Period if the resulting</w:t>
      </w:r>
      <w:r>
        <w:rPr>
          <w:rFonts w:ascii="Arial" w:cs="Arial" w:eastAsia="Arial" w:hAnsi="Arial"/>
          <w:sz w:val="16"/>
          <w:szCs w:val="16"/>
          <w:color w:val="auto"/>
        </w:rPr>
        <w:t xml:space="preserve"> </w:t>
      </w:r>
      <w:r>
        <w:rPr>
          <w:rFonts w:ascii="Arial" w:cs="Arial" w:eastAsia="Arial" w:hAnsi="Arial"/>
          <w:sz w:val="16"/>
          <w:szCs w:val="16"/>
          <w:color w:val="008000"/>
          <w:strike w:val="1"/>
        </w:rPr>
        <w:t>Interest</w:t>
      </w:r>
      <w:r>
        <w:rPr>
          <w:rFonts w:ascii="Arial" w:cs="Arial" w:eastAsia="Arial" w:hAnsi="Arial"/>
          <w:sz w:val="16"/>
          <w:szCs w:val="16"/>
          <w:color w:val="auto"/>
        </w:rPr>
        <w:t xml:space="preserve"> </w:t>
      </w:r>
      <w:r>
        <w:rPr>
          <w:rFonts w:ascii="Arial" w:cs="Arial" w:eastAsia="Arial" w:hAnsi="Arial"/>
          <w:sz w:val="16"/>
          <w:szCs w:val="16"/>
          <w:color w:val="008000"/>
          <w:strike w:val="1"/>
        </w:rPr>
        <w:t>Period for the applicable Eurocurrency Rate Loan</w:t>
      </w:r>
      <w:r>
        <w:rPr>
          <w:rFonts w:ascii="Arial" w:cs="Arial" w:eastAsia="Arial" w:hAnsi="Arial"/>
          <w:sz w:val="16"/>
          <w:szCs w:val="16"/>
          <w:color w:val="008000"/>
        </w:rPr>
        <w:t xml:space="preserve"> </w:t>
      </w:r>
      <w:r>
        <w:rPr>
          <w:rFonts w:ascii="Arial" w:cs="Arial" w:eastAsia="Arial" w:hAnsi="Arial"/>
          <w:sz w:val="16"/>
          <w:szCs w:val="16"/>
          <w:color w:val="FF0000"/>
          <w:strike w:val="1"/>
        </w:rPr>
        <w:t>would expire after April 9, 2023, and p</w:t>
      </w:r>
      <w:r>
        <w:rPr>
          <w:rFonts w:ascii="Arial" w:cs="Arial" w:eastAsia="Arial" w:hAnsi="Arial"/>
          <w:sz w:val="16"/>
          <w:szCs w:val="16"/>
          <w:u w:val="single" w:color="auto"/>
          <w:color w:val="0000FF"/>
        </w:rPr>
        <w:t>P</w:t>
      </w:r>
      <w:r>
        <w:rPr>
          <w:rFonts w:ascii="Arial" w:cs="Arial" w:eastAsia="Arial" w:hAnsi="Arial"/>
          <w:sz w:val="16"/>
          <w:szCs w:val="16"/>
          <w:color w:val="000000"/>
        </w:rPr>
        <w:t>rovided that no Default or Event of Default has occurred and</w:t>
      </w:r>
      <w:r>
        <w:rPr>
          <w:rFonts w:ascii="Arial" w:cs="Arial" w:eastAsia="Arial" w:hAnsi="Arial"/>
          <w:sz w:val="16"/>
          <w:szCs w:val="16"/>
          <w:color w:val="008000"/>
        </w:rPr>
        <w:t xml:space="preserve"> </w:t>
      </w:r>
      <w:r>
        <w:rPr>
          <w:rFonts w:ascii="Arial" w:cs="Arial" w:eastAsia="Arial" w:hAnsi="Arial"/>
          <w:sz w:val="16"/>
          <w:szCs w:val="16"/>
          <w:color w:val="000000"/>
        </w:rPr>
        <w:t>is then continuing, the Borrower shall have the option</w:t>
      </w:r>
      <w:r>
        <w:rPr>
          <w:rFonts w:ascii="Arial" w:cs="Arial" w:eastAsia="Arial" w:hAnsi="Arial"/>
          <w:sz w:val="16"/>
          <w:szCs w:val="16"/>
          <w:u w:val="single" w:color="auto"/>
          <w:color w:val="0000FF"/>
        </w:rPr>
        <w:t>, subject to Section 5.1(a),</w:t>
      </w:r>
      <w:r>
        <w:rPr>
          <w:rFonts w:ascii="Arial" w:cs="Arial" w:eastAsia="Arial" w:hAnsi="Arial"/>
          <w:sz w:val="16"/>
          <w:szCs w:val="16"/>
          <w:color w:val="000000"/>
        </w:rPr>
        <w:t xml:space="preserve"> to (a) convert at any time</w:t>
      </w:r>
      <w:r>
        <w:rPr>
          <w:rFonts w:ascii="Arial" w:cs="Arial" w:eastAsia="Arial" w:hAnsi="Arial"/>
          <w:sz w:val="16"/>
          <w:szCs w:val="16"/>
          <w:u w:val="single" w:color="auto"/>
          <w:color w:val="0000FF"/>
        </w:rPr>
        <w:t>, subject to the notice requirements herein,</w:t>
      </w:r>
      <w:r>
        <w:rPr>
          <w:rFonts w:ascii="Arial" w:cs="Arial" w:eastAsia="Arial" w:hAnsi="Arial"/>
          <w:sz w:val="16"/>
          <w:szCs w:val="16"/>
          <w:color w:val="000000"/>
        </w:rPr>
        <w:t xml:space="preserve"> all or any portion of any outstanding Base Rate Loans (other than Swingline Loans) in a principal amount equal to $</w:t>
      </w:r>
      <w:r>
        <w:rPr>
          <w:rFonts w:ascii="Arial" w:cs="Arial" w:eastAsia="Arial" w:hAnsi="Arial"/>
          <w:sz w:val="16"/>
          <w:szCs w:val="16"/>
          <w:color w:val="FF0000"/>
          <w:strike w:val="1"/>
        </w:rPr>
        <w:t>5</w:t>
      </w:r>
      <w:r>
        <w:rPr>
          <w:rFonts w:ascii="Arial" w:cs="Arial" w:eastAsia="Arial" w:hAnsi="Arial"/>
          <w:sz w:val="16"/>
          <w:szCs w:val="16"/>
          <w:u w:val="single" w:color="auto"/>
          <w:color w:val="0000FF"/>
        </w:rPr>
        <w:t>2</w:t>
      </w:r>
      <w:r>
        <w:rPr>
          <w:rFonts w:ascii="Arial" w:cs="Arial" w:eastAsia="Arial" w:hAnsi="Arial"/>
          <w:sz w:val="16"/>
          <w:szCs w:val="16"/>
          <w:color w:val="000000"/>
        </w:rPr>
        <w:t xml:space="preserve">,000,000 or any whole multiple of $1,000,000 in excess thereof </w:t>
      </w:r>
      <w:r>
        <w:rPr>
          <w:rFonts w:ascii="Arial" w:cs="Arial" w:eastAsia="Arial" w:hAnsi="Arial"/>
          <w:sz w:val="16"/>
          <w:szCs w:val="16"/>
          <w:u w:val="single" w:color="auto"/>
          <w:color w:val="0000FF"/>
        </w:rPr>
        <w:t>(or such lesser amount as shall represent all of the Base Rate Loans then outstanding)</w:t>
      </w:r>
      <w:r>
        <w:rPr>
          <w:rFonts w:ascii="Arial" w:cs="Arial" w:eastAsia="Arial" w:hAnsi="Arial"/>
          <w:sz w:val="16"/>
          <w:szCs w:val="16"/>
          <w:color w:val="000000"/>
        </w:rPr>
        <w:t xml:space="preserve"> into one or more </w:t>
      </w:r>
      <w:r>
        <w:rPr>
          <w:rFonts w:ascii="Arial" w:cs="Arial" w:eastAsia="Arial" w:hAnsi="Arial"/>
          <w:sz w:val="16"/>
          <w:szCs w:val="16"/>
          <w:color w:val="FF0000"/>
          <w:strike w:val="1"/>
        </w:rPr>
        <w:t>Eurocurrency</w:t>
      </w:r>
      <w:r>
        <w:rPr>
          <w:rFonts w:ascii="Arial" w:cs="Arial" w:eastAsia="Arial" w:hAnsi="Arial"/>
          <w:sz w:val="16"/>
          <w:szCs w:val="16"/>
          <w:color w:val="000000"/>
        </w:rPr>
        <w:t xml:space="preserve"> </w:t>
      </w:r>
      <w:r>
        <w:rPr>
          <w:rFonts w:ascii="Arial" w:cs="Arial" w:eastAsia="Arial" w:hAnsi="Arial"/>
          <w:sz w:val="16"/>
          <w:szCs w:val="16"/>
          <w:color w:val="FF0000"/>
          <w:strike w:val="1"/>
        </w:rPr>
        <w:t>Rate</w:t>
      </w:r>
      <w:r>
        <w:rPr>
          <w:rFonts w:ascii="Arial" w:cs="Arial" w:eastAsia="Arial" w:hAnsi="Arial"/>
          <w:sz w:val="16"/>
          <w:szCs w:val="16"/>
          <w:u w:val="single" w:color="auto"/>
          <w:color w:val="0000FF"/>
        </w:rPr>
        <w:t>Term SOFR</w:t>
      </w:r>
      <w:r>
        <w:rPr>
          <w:rFonts w:ascii="Arial" w:cs="Arial" w:eastAsia="Arial" w:hAnsi="Arial"/>
          <w:sz w:val="16"/>
          <w:szCs w:val="16"/>
          <w:color w:val="FF0000"/>
        </w:rPr>
        <w:t xml:space="preserve"> </w:t>
      </w:r>
      <w:r>
        <w:rPr>
          <w:rFonts w:ascii="Arial" w:cs="Arial" w:eastAsia="Arial" w:hAnsi="Arial"/>
          <w:sz w:val="16"/>
          <w:szCs w:val="16"/>
          <w:color w:val="000000"/>
        </w:rPr>
        <w:t>Loans</w:t>
      </w:r>
      <w:r>
        <w:rPr>
          <w:rFonts w:ascii="Arial" w:cs="Arial" w:eastAsia="Arial" w:hAnsi="Arial"/>
          <w:sz w:val="16"/>
          <w:szCs w:val="16"/>
          <w:color w:val="FF0000"/>
        </w:rPr>
        <w:t xml:space="preserve"> </w:t>
      </w:r>
      <w:r>
        <w:rPr>
          <w:rFonts w:ascii="Arial" w:cs="Arial" w:eastAsia="Arial" w:hAnsi="Arial"/>
          <w:sz w:val="16"/>
          <w:szCs w:val="16"/>
          <w:color w:val="FF0000"/>
          <w:strike w:val="1"/>
        </w:rPr>
        <w:t>denominated in Dollars and</w:t>
      </w:r>
      <w:r>
        <w:rPr>
          <w:rFonts w:ascii="Arial" w:cs="Arial" w:eastAsia="Arial" w:hAnsi="Arial"/>
          <w:sz w:val="16"/>
          <w:szCs w:val="16"/>
          <w:u w:val="single" w:color="auto"/>
          <w:color w:val="0000FF"/>
        </w:rPr>
        <w:t>,</w:t>
      </w:r>
      <w:r>
        <w:rPr>
          <w:rFonts w:ascii="Arial" w:cs="Arial" w:eastAsia="Arial" w:hAnsi="Arial"/>
          <w:sz w:val="16"/>
          <w:szCs w:val="16"/>
          <w:color w:val="FF0000"/>
        </w:rPr>
        <w:t xml:space="preserve"> </w:t>
      </w:r>
      <w:r>
        <w:rPr>
          <w:rFonts w:ascii="Arial" w:cs="Arial" w:eastAsia="Arial" w:hAnsi="Arial"/>
          <w:sz w:val="16"/>
          <w:szCs w:val="16"/>
          <w:color w:val="000000"/>
        </w:rPr>
        <w:t>(b) upon the expiration of any Interest Period</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therefor</w:t>
      </w:r>
      <w:r>
        <w:rPr>
          <w:rFonts w:ascii="Arial" w:cs="Arial" w:eastAsia="Arial" w:hAnsi="Arial"/>
          <w:sz w:val="16"/>
          <w:szCs w:val="16"/>
          <w:color w:val="000000"/>
        </w:rPr>
        <w:t>, (i) convert all or any part of</w:t>
      </w:r>
      <w:r>
        <w:rPr>
          <w:rFonts w:ascii="Arial" w:cs="Arial" w:eastAsia="Arial" w:hAnsi="Arial"/>
          <w:sz w:val="16"/>
          <w:szCs w:val="16"/>
          <w:color w:val="FF0000"/>
        </w:rPr>
        <w:t xml:space="preserve"> </w:t>
      </w:r>
      <w:r>
        <w:rPr>
          <w:rFonts w:ascii="Arial" w:cs="Arial" w:eastAsia="Arial" w:hAnsi="Arial"/>
          <w:sz w:val="16"/>
          <w:szCs w:val="16"/>
          <w:color w:val="FF0000"/>
          <w:strike w:val="1"/>
        </w:rPr>
        <w:t>its</w:t>
      </w:r>
      <w:r>
        <w:rPr>
          <w:rFonts w:ascii="Arial" w:cs="Arial" w:eastAsia="Arial" w:hAnsi="Arial"/>
          <w:sz w:val="16"/>
          <w:szCs w:val="16"/>
          <w:u w:val="single" w:color="auto"/>
          <w:color w:val="0000FF"/>
        </w:rPr>
        <w:t>any</w:t>
      </w:r>
      <w:r>
        <w:rPr>
          <w:rFonts w:ascii="Arial" w:cs="Arial" w:eastAsia="Arial" w:hAnsi="Arial"/>
          <w:sz w:val="16"/>
          <w:szCs w:val="16"/>
          <w:color w:val="FF0000"/>
        </w:rPr>
        <w:t xml:space="preserve"> </w:t>
      </w:r>
      <w:r>
        <w:rPr>
          <w:rFonts w:ascii="Arial" w:cs="Arial" w:eastAsia="Arial" w:hAnsi="Arial"/>
          <w:sz w:val="16"/>
          <w:szCs w:val="16"/>
          <w:color w:val="000000"/>
        </w:rPr>
        <w:t xml:space="preserve">outstanding </w:t>
      </w:r>
      <w:r>
        <w:rPr>
          <w:rFonts w:ascii="Arial" w:cs="Arial" w:eastAsia="Arial" w:hAnsi="Arial"/>
          <w:sz w:val="16"/>
          <w:szCs w:val="16"/>
          <w:color w:val="FF0000"/>
          <w:strike w:val="1"/>
        </w:rPr>
        <w:t>Eurocurrency Rate</w:t>
      </w:r>
      <w:r>
        <w:rPr>
          <w:rFonts w:ascii="Arial" w:cs="Arial" w:eastAsia="Arial" w:hAnsi="Arial"/>
          <w:sz w:val="16"/>
          <w:szCs w:val="16"/>
          <w:u w:val="single" w:color="auto"/>
          <w:color w:val="0000FF"/>
        </w:rPr>
        <w:t>Term SOFR</w:t>
      </w:r>
      <w:r>
        <w:rPr>
          <w:rFonts w:ascii="Arial" w:cs="Arial" w:eastAsia="Arial" w:hAnsi="Arial"/>
          <w:sz w:val="16"/>
          <w:szCs w:val="16"/>
          <w:color w:val="000000"/>
        </w:rPr>
        <w:t xml:space="preserve"> Loans </w:t>
      </w:r>
      <w:r>
        <w:rPr>
          <w:rFonts w:ascii="Arial" w:cs="Arial" w:eastAsia="Arial" w:hAnsi="Arial"/>
          <w:sz w:val="16"/>
          <w:szCs w:val="16"/>
          <w:color w:val="FF0000"/>
          <w:strike w:val="1"/>
        </w:rPr>
        <w:t>denominated in Dollars</w:t>
      </w:r>
      <w:r>
        <w:rPr>
          <w:rFonts w:ascii="Arial" w:cs="Arial" w:eastAsia="Arial" w:hAnsi="Arial"/>
          <w:sz w:val="16"/>
          <w:szCs w:val="16"/>
          <w:color w:val="000000"/>
        </w:rPr>
        <w:t xml:space="preserve"> in a principal amount equal to $</w:t>
      </w:r>
      <w:r>
        <w:rPr>
          <w:rFonts w:ascii="Arial" w:cs="Arial" w:eastAsia="Arial" w:hAnsi="Arial"/>
          <w:sz w:val="16"/>
          <w:szCs w:val="16"/>
          <w:color w:val="FF0000"/>
          <w:strike w:val="1"/>
        </w:rPr>
        <w:t>3,0</w:t>
      </w:r>
      <w:r>
        <w:rPr>
          <w:rFonts w:ascii="Arial" w:cs="Arial" w:eastAsia="Arial" w:hAnsi="Arial"/>
          <w:sz w:val="16"/>
          <w:szCs w:val="16"/>
          <w:u w:val="single" w:color="auto"/>
          <w:color w:val="0000FF"/>
        </w:rPr>
        <w:t>5</w:t>
      </w:r>
      <w:r>
        <w:rPr>
          <w:rFonts w:ascii="Arial" w:cs="Arial" w:eastAsia="Arial" w:hAnsi="Arial"/>
          <w:sz w:val="16"/>
          <w:szCs w:val="16"/>
          <w:color w:val="000000"/>
        </w:rPr>
        <w:t>00,000 or a whole multiple of $1</w:t>
      </w:r>
      <w:r>
        <w:rPr>
          <w:rFonts w:ascii="Arial" w:cs="Arial" w:eastAsia="Arial" w:hAnsi="Arial"/>
          <w:sz w:val="16"/>
          <w:szCs w:val="16"/>
          <w:color w:val="FF0000"/>
          <w:strike w:val="1"/>
        </w:rPr>
        <w:t>,0</w:t>
      </w:r>
      <w:r>
        <w:rPr>
          <w:rFonts w:ascii="Arial" w:cs="Arial" w:eastAsia="Arial" w:hAnsi="Arial"/>
          <w:sz w:val="16"/>
          <w:szCs w:val="16"/>
          <w:color w:val="000000"/>
        </w:rPr>
        <w:t xml:space="preserve">00,000 in excess thereof </w:t>
      </w:r>
      <w:r>
        <w:rPr>
          <w:rFonts w:ascii="Arial" w:cs="Arial" w:eastAsia="Arial" w:hAnsi="Arial"/>
          <w:sz w:val="16"/>
          <w:szCs w:val="16"/>
          <w:u w:val="single" w:color="auto"/>
          <w:color w:val="0000FF"/>
        </w:rPr>
        <w:t>(or such lesser amount as shall represent all of the Term SOFR Loans then outstanding)</w:t>
      </w:r>
      <w:r>
        <w:rPr>
          <w:rFonts w:ascii="Arial" w:cs="Arial" w:eastAsia="Arial" w:hAnsi="Arial"/>
          <w:sz w:val="16"/>
          <w:szCs w:val="16"/>
          <w:color w:val="000000"/>
        </w:rPr>
        <w:t xml:space="preserve"> into Base Rate Loans (other than Swingline Loans) or (ii) continue </w:t>
      </w:r>
      <w:r>
        <w:rPr>
          <w:rFonts w:ascii="Arial" w:cs="Arial" w:eastAsia="Arial" w:hAnsi="Arial"/>
          <w:sz w:val="16"/>
          <w:szCs w:val="16"/>
          <w:color w:val="FF0000"/>
          <w:strike w:val="1"/>
        </w:rPr>
        <w:t>its outstanding</w:t>
      </w:r>
      <w:r>
        <w:rPr>
          <w:rFonts w:ascii="Arial" w:cs="Arial" w:eastAsia="Arial" w:hAnsi="Arial"/>
          <w:sz w:val="16"/>
          <w:szCs w:val="16"/>
          <w:u w:val="single" w:color="auto"/>
          <w:color w:val="0000FF"/>
        </w:rPr>
        <w:t>any Term SOFR Loans as Term SOFR Loans, (c) upon the expiration of any Interest Period therefor, continue any</w:t>
      </w:r>
      <w:r>
        <w:rPr>
          <w:rFonts w:ascii="Arial" w:cs="Arial" w:eastAsia="Arial" w:hAnsi="Arial"/>
          <w:sz w:val="16"/>
          <w:szCs w:val="16"/>
          <w:color w:val="000000"/>
        </w:rPr>
        <w:t xml:space="preserve"> Eurocurrency Rate Loans </w:t>
      </w:r>
      <w:r>
        <w:rPr>
          <w:rFonts w:ascii="Arial" w:cs="Arial" w:eastAsia="Arial" w:hAnsi="Arial"/>
          <w:sz w:val="16"/>
          <w:szCs w:val="16"/>
          <w:color w:val="FF0000"/>
          <w:strike w:val="1"/>
        </w:rPr>
        <w:t>denominated in any applicable currency</w:t>
      </w:r>
      <w:r>
        <w:rPr>
          <w:rFonts w:ascii="Arial" w:cs="Arial" w:eastAsia="Arial" w:hAnsi="Arial"/>
          <w:sz w:val="16"/>
          <w:szCs w:val="16"/>
          <w:color w:val="000000"/>
        </w:rPr>
        <w:t xml:space="preserve"> as Eurocurrency Rate Loans </w:t>
      </w:r>
      <w:r>
        <w:rPr>
          <w:rFonts w:ascii="Arial" w:cs="Arial" w:eastAsia="Arial" w:hAnsi="Arial"/>
          <w:sz w:val="16"/>
          <w:szCs w:val="16"/>
          <w:color w:val="FF0000"/>
          <w:strike w:val="1"/>
        </w:rPr>
        <w:t>denominated in the same applicable</w:t>
      </w:r>
      <w:r>
        <w:rPr>
          <w:rFonts w:ascii="Arial" w:cs="Arial" w:eastAsia="Arial" w:hAnsi="Arial"/>
          <w:sz w:val="16"/>
          <w:szCs w:val="16"/>
          <w:u w:val="single" w:color="auto"/>
          <w:color w:val="0000FF"/>
        </w:rPr>
        <w:t>and (d) upon the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oc</w:t>
      </w:r>
      <w:r>
        <w:rPr>
          <w:rFonts w:ascii="Arial" w:cs="Arial" w:eastAsia="Arial" w:hAnsi="Arial"/>
          <w:sz w:val="16"/>
          <w:szCs w:val="16"/>
          <w:color w:val="000000"/>
        </w:rPr>
        <w:t>currenc</w:t>
      </w:r>
      <w:r>
        <w:rPr>
          <w:rFonts w:ascii="Arial" w:cs="Arial" w:eastAsia="Arial" w:hAnsi="Arial"/>
          <w:sz w:val="16"/>
          <w:szCs w:val="16"/>
          <w:color w:val="FF0000"/>
          <w:strike w:val="1"/>
        </w:rPr>
        <w:t>y</w:t>
      </w:r>
      <w:r>
        <w:rPr>
          <w:rFonts w:ascii="Arial" w:cs="Arial" w:eastAsia="Arial" w:hAnsi="Arial"/>
          <w:sz w:val="16"/>
          <w:szCs w:val="16"/>
          <w:u w:val="single" w:color="auto"/>
          <w:color w:val="0000FF"/>
        </w:rPr>
        <w:t>e of the Interest Payment Date therefor, continue any Daily Simple SONIA Loans as Daily Simple SONIA Loans</w:t>
      </w:r>
      <w:r>
        <w:rPr>
          <w:rFonts w:ascii="Arial" w:cs="Arial" w:eastAsia="Arial" w:hAnsi="Arial"/>
          <w:sz w:val="16"/>
          <w:szCs w:val="16"/>
          <w:color w:val="000000"/>
        </w:rPr>
        <w:t>. Whenever the Borrower</w:t>
      </w:r>
      <w:r>
        <w:rPr>
          <w:rFonts w:ascii="Arial" w:cs="Arial" w:eastAsia="Arial" w:hAnsi="Arial"/>
          <w:sz w:val="16"/>
          <w:szCs w:val="16"/>
          <w:color w:val="0000FF"/>
        </w:rPr>
        <w:t xml:space="preserve"> </w:t>
      </w:r>
      <w:r>
        <w:rPr>
          <w:rFonts w:ascii="Arial" w:cs="Arial" w:eastAsia="Arial" w:hAnsi="Arial"/>
          <w:sz w:val="16"/>
          <w:szCs w:val="16"/>
          <w:color w:val="000000"/>
        </w:rPr>
        <w:t xml:space="preserve">desires to convert or continue </w:t>
      </w:r>
      <w:r>
        <w:rPr>
          <w:rFonts w:ascii="Arial" w:cs="Arial" w:eastAsia="Arial" w:hAnsi="Arial"/>
          <w:sz w:val="16"/>
          <w:szCs w:val="16"/>
          <w:color w:val="FF0000"/>
          <w:strike w:val="1"/>
        </w:rPr>
        <w:t>Revolving Credit</w:t>
      </w:r>
      <w:r>
        <w:rPr>
          <w:rFonts w:ascii="Arial" w:cs="Arial" w:eastAsia="Arial" w:hAnsi="Arial"/>
          <w:sz w:val="16"/>
          <w:szCs w:val="16"/>
          <w:color w:val="000000"/>
        </w:rPr>
        <w:t xml:space="preserve"> Loans as provided above, the Borrower shall give the Administrative Agent irrevocable prior written notice in the form attached as </w:t>
      </w:r>
      <w:r>
        <w:rPr>
          <w:rFonts w:ascii="Arial" w:cs="Arial" w:eastAsia="Arial" w:hAnsi="Arial"/>
          <w:sz w:val="16"/>
          <w:szCs w:val="16"/>
          <w:b w:val="1"/>
          <w:bCs w:val="1"/>
          <w:i w:val="1"/>
          <w:iCs w:val="1"/>
          <w:color w:val="000000"/>
        </w:rPr>
        <w:t>Exhibit E</w:t>
      </w:r>
      <w:r>
        <w:rPr>
          <w:rFonts w:ascii="Arial" w:cs="Arial" w:eastAsia="Arial" w:hAnsi="Arial"/>
          <w:sz w:val="16"/>
          <w:szCs w:val="16"/>
          <w:color w:val="000000"/>
        </w:rPr>
        <w:t xml:space="preserve"> (a “</w:t>
      </w:r>
      <w:r>
        <w:rPr>
          <w:rFonts w:ascii="Arial" w:cs="Arial" w:eastAsia="Arial" w:hAnsi="Arial"/>
          <w:sz w:val="16"/>
          <w:szCs w:val="16"/>
          <w:u w:val="single" w:color="auto"/>
          <w:color w:val="000000"/>
        </w:rPr>
        <w:t>Notice of Conversion/Continuation</w:t>
      </w:r>
      <w:r>
        <w:rPr>
          <w:rFonts w:ascii="Arial" w:cs="Arial" w:eastAsia="Arial" w:hAnsi="Arial"/>
          <w:sz w:val="16"/>
          <w:szCs w:val="16"/>
          <w:color w:val="000000"/>
        </w:rPr>
        <w:t xml:space="preserve">”) not later than </w:t>
      </w:r>
      <w:r>
        <w:rPr>
          <w:rFonts w:ascii="Arial" w:cs="Arial" w:eastAsia="Arial" w:hAnsi="Arial"/>
          <w:sz w:val="16"/>
          <w:szCs w:val="16"/>
          <w:color w:val="FF0000"/>
          <w:strike w:val="1"/>
        </w:rPr>
        <w:t>(A)</w:t>
      </w:r>
      <w:r>
        <w:rPr>
          <w:rFonts w:ascii="Arial" w:cs="Arial" w:eastAsia="Arial" w:hAnsi="Arial"/>
          <w:sz w:val="16"/>
          <w:szCs w:val="16"/>
          <w:color w:val="000000"/>
        </w:rPr>
        <w:t xml:space="preserve"> 11:00 a.m. </w:t>
      </w:r>
      <w:r>
        <w:rPr>
          <w:rFonts w:ascii="Arial" w:cs="Arial" w:eastAsia="Arial" w:hAnsi="Arial"/>
          <w:sz w:val="16"/>
          <w:szCs w:val="16"/>
          <w:color w:val="FF0000"/>
          <w:strike w:val="1"/>
        </w:rPr>
        <w:t>three (3) Business Days in the case of</w:t>
      </w:r>
      <w:r>
        <w:rPr>
          <w:rFonts w:ascii="Arial" w:cs="Arial" w:eastAsia="Arial" w:hAnsi="Arial"/>
          <w:sz w:val="16"/>
          <w:szCs w:val="16"/>
          <w:color w:val="000000"/>
        </w:rPr>
        <w:t xml:space="preserve"> </w:t>
      </w:r>
      <w:r>
        <w:rPr>
          <w:rFonts w:ascii="Arial" w:cs="Arial" w:eastAsia="Arial" w:hAnsi="Arial"/>
          <w:sz w:val="16"/>
          <w:szCs w:val="16"/>
          <w:color w:val="FF0000"/>
          <w:strike w:val="1"/>
        </w:rPr>
        <w:t>Eurocurrency Rate Loans denominated in Dollars or (B) four (4) Business Days (or five (5) Business Days in the case of a Special Notice Currency</w:t>
      </w:r>
      <w:r>
        <w:rPr>
          <w:rFonts w:ascii="Arial" w:cs="Arial" w:eastAsia="Arial" w:hAnsi="Arial"/>
          <w:sz w:val="16"/>
          <w:szCs w:val="16"/>
          <w:u w:val="single" w:color="auto"/>
          <w:color w:val="0000FF"/>
        </w:rPr>
        <w:t>(i</w:t>
      </w:r>
      <w:r>
        <w:rPr>
          <w:rFonts w:ascii="Arial" w:cs="Arial" w:eastAsia="Arial" w:hAnsi="Arial"/>
          <w:sz w:val="16"/>
          <w:szCs w:val="16"/>
          <w:color w:val="000000"/>
        </w:rPr>
        <w:t>) in</w:t>
      </w:r>
      <w:r>
        <w:rPr>
          <w:rFonts w:ascii="Arial" w:cs="Arial" w:eastAsia="Arial" w:hAnsi="Arial"/>
          <w:sz w:val="16"/>
          <w:szCs w:val="16"/>
          <w:color w:val="FF0000"/>
        </w:rPr>
        <w:t xml:space="preserve"> </w:t>
      </w:r>
      <w:r>
        <w:rPr>
          <w:rFonts w:ascii="Arial" w:cs="Arial" w:eastAsia="Arial" w:hAnsi="Arial"/>
          <w:sz w:val="16"/>
          <w:szCs w:val="16"/>
          <w:color w:val="000000"/>
        </w:rPr>
        <w:t xml:space="preserve">the case of a </w:t>
      </w:r>
      <w:r>
        <w:rPr>
          <w:rFonts w:ascii="Arial" w:cs="Arial" w:eastAsia="Arial" w:hAnsi="Arial"/>
          <w:sz w:val="16"/>
          <w:szCs w:val="16"/>
          <w:color w:val="FF0000"/>
          <w:strike w:val="1"/>
        </w:rPr>
        <w:t>Eurocurrency Rate</w:t>
      </w:r>
      <w:r>
        <w:rPr>
          <w:rFonts w:ascii="Arial" w:cs="Arial" w:eastAsia="Arial" w:hAnsi="Arial"/>
          <w:sz w:val="16"/>
          <w:szCs w:val="16"/>
          <w:color w:val="000000"/>
        </w:rPr>
        <w:t xml:space="preserve"> Loan denominated in </w:t>
      </w:r>
      <w:r>
        <w:rPr>
          <w:rFonts w:ascii="Arial" w:cs="Arial" w:eastAsia="Arial" w:hAnsi="Arial"/>
          <w:sz w:val="16"/>
          <w:szCs w:val="16"/>
          <w:color w:val="FF0000"/>
          <w:strike w:val="1"/>
        </w:rPr>
        <w:t>Alternative Currencies</w:t>
      </w:r>
      <w:r>
        <w:rPr>
          <w:rFonts w:ascii="Arial" w:cs="Arial" w:eastAsia="Arial" w:hAnsi="Arial"/>
          <w:sz w:val="16"/>
          <w:szCs w:val="16"/>
          <w:u w:val="single" w:color="auto"/>
          <w:color w:val="0000FF"/>
        </w:rPr>
        <w:t>Dollars, at least three (3) RFR Business Days</w:t>
      </w:r>
      <w:r>
        <w:rPr>
          <w:rFonts w:ascii="Arial" w:cs="Arial" w:eastAsia="Arial" w:hAnsi="Arial"/>
          <w:sz w:val="16"/>
          <w:szCs w:val="16"/>
          <w:color w:val="000000"/>
        </w:rPr>
        <w:t xml:space="preserve"> before the day on which a proposed conversion or continuation of such Loan is to be effective</w:t>
      </w:r>
      <w:r>
        <w:rPr>
          <w:rFonts w:ascii="Arial" w:cs="Arial" w:eastAsia="Arial" w:hAnsi="Arial"/>
          <w:sz w:val="16"/>
          <w:szCs w:val="16"/>
          <w:u w:val="single" w:color="auto"/>
          <w:color w:val="0000FF"/>
        </w:rPr>
        <w:t>, (ii) in the case of a Loan denominated in Sterling, at least five (5) RFR Business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 xml:space="preserve">Days before the day on which a proposed conversion or continuation of such Loan is to be effective, and (iii) in the case of a Loan denominated in any Alternative Currency that is to be a Eurocurrency Rate Loan, at least four (4) Eurocurrency Banking Days (or five (5) Eurocurrency Banking Days in the case of a Special Notice Currency) before the day on which a proposed conversion or continuation of such Loan is to be effective, in each case, </w:t>
      </w:r>
      <w:r>
        <w:rPr>
          <w:rFonts w:ascii="Arial" w:cs="Arial" w:eastAsia="Arial" w:hAnsi="Arial"/>
          <w:sz w:val="16"/>
          <w:szCs w:val="16"/>
          <w:color w:val="000000"/>
        </w:rPr>
        <w:t>specifying (</w:t>
      </w:r>
      <w:r>
        <w:rPr>
          <w:rFonts w:ascii="Arial" w:cs="Arial" w:eastAsia="Arial" w:hAnsi="Arial"/>
          <w:sz w:val="16"/>
          <w:szCs w:val="16"/>
          <w:color w:val="FF0000"/>
          <w:strike w:val="1"/>
        </w:rPr>
        <w:t>1</w:t>
      </w:r>
      <w:r>
        <w:rPr>
          <w:rFonts w:ascii="Arial" w:cs="Arial" w:eastAsia="Arial" w:hAnsi="Arial"/>
          <w:sz w:val="16"/>
          <w:szCs w:val="16"/>
          <w:u w:val="single" w:color="auto"/>
          <w:color w:val="0000FF"/>
        </w:rPr>
        <w:t>A</w:t>
      </w:r>
      <w:r>
        <w:rPr>
          <w:rFonts w:ascii="Arial" w:cs="Arial" w:eastAsia="Arial" w:hAnsi="Arial"/>
          <w:sz w:val="16"/>
          <w:szCs w:val="16"/>
          <w:color w:val="000000"/>
        </w:rPr>
        <w:t xml:space="preserve">) the </w:t>
      </w:r>
      <w:r>
        <w:rPr>
          <w:rFonts w:ascii="Arial" w:cs="Arial" w:eastAsia="Arial" w:hAnsi="Arial"/>
          <w:sz w:val="16"/>
          <w:szCs w:val="16"/>
          <w:color w:val="FF0000"/>
          <w:strike w:val="1"/>
        </w:rPr>
        <w:t>Revolving Credit</w:t>
      </w:r>
      <w:r>
        <w:rPr>
          <w:rFonts w:ascii="Arial" w:cs="Arial" w:eastAsia="Arial" w:hAnsi="Arial"/>
          <w:sz w:val="16"/>
          <w:szCs w:val="16"/>
          <w:color w:val="000000"/>
        </w:rPr>
        <w:t xml:space="preserve"> Loans to be converted or continued, and, in the case of any Eurocurrency Rate </w:t>
      </w:r>
      <w:r>
        <w:rPr>
          <w:rFonts w:ascii="Arial" w:cs="Arial" w:eastAsia="Arial" w:hAnsi="Arial"/>
          <w:sz w:val="16"/>
          <w:szCs w:val="16"/>
          <w:u w:val="single" w:color="auto"/>
          <w:color w:val="0000FF"/>
        </w:rPr>
        <w:t>Loan or Term SOFR</w:t>
      </w:r>
      <w:r>
        <w:rPr>
          <w:rFonts w:ascii="Arial" w:cs="Arial" w:eastAsia="Arial" w:hAnsi="Arial"/>
          <w:sz w:val="16"/>
          <w:szCs w:val="16"/>
          <w:color w:val="000000"/>
        </w:rPr>
        <w:t xml:space="preserve"> Loan to be converted or continued, the last day of the Interest Period therefor, (</w:t>
      </w:r>
      <w:r>
        <w:rPr>
          <w:rFonts w:ascii="Arial" w:cs="Arial" w:eastAsia="Arial" w:hAnsi="Arial"/>
          <w:sz w:val="16"/>
          <w:szCs w:val="16"/>
          <w:color w:val="FF0000"/>
          <w:strike w:val="1"/>
        </w:rPr>
        <w:t>2</w:t>
      </w:r>
      <w:r>
        <w:rPr>
          <w:rFonts w:ascii="Arial" w:cs="Arial" w:eastAsia="Arial" w:hAnsi="Arial"/>
          <w:sz w:val="16"/>
          <w:szCs w:val="16"/>
          <w:u w:val="single" w:color="auto"/>
          <w:color w:val="0000FF"/>
        </w:rPr>
        <w:t>B</w:t>
      </w:r>
      <w:r>
        <w:rPr>
          <w:rFonts w:ascii="Arial" w:cs="Arial" w:eastAsia="Arial" w:hAnsi="Arial"/>
          <w:sz w:val="16"/>
          <w:szCs w:val="16"/>
          <w:color w:val="000000"/>
        </w:rPr>
        <w:t>) the effective date of such conversion or continuation (which shall be a Business Day),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490" w:right="459" w:bottom="1440" w:gutter="0" w:footer="0" w:header="0"/>
        </w:sectPr>
      </w:pPr>
    </w:p>
    <w:bookmarkStart w:id="122" w:name="page123"/>
    <w:bookmarkEnd w:id="12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6"/>
          <w:szCs w:val="16"/>
          <w:color w:val="FF0000"/>
          <w:strike w:val="1"/>
        </w:rPr>
        <w:t>3</w:t>
      </w:r>
      <w:r>
        <w:rPr>
          <w:rFonts w:ascii="Arial" w:cs="Arial" w:eastAsia="Arial" w:hAnsi="Arial"/>
          <w:sz w:val="16"/>
          <w:szCs w:val="16"/>
          <w:u w:val="single" w:color="auto"/>
          <w:color w:val="0000FF"/>
        </w:rPr>
        <w:t>C</w:t>
      </w:r>
      <w:r>
        <w:rPr>
          <w:rFonts w:ascii="Arial" w:cs="Arial" w:eastAsia="Arial" w:hAnsi="Arial"/>
          <w:sz w:val="16"/>
          <w:szCs w:val="16"/>
          <w:color w:val="auto"/>
        </w:rPr>
        <w:t xml:space="preserve"> ) the principal amount </w:t>
      </w:r>
      <w:r>
        <w:rPr>
          <w:rFonts w:ascii="Arial" w:cs="Arial" w:eastAsia="Arial" w:hAnsi="Arial"/>
          <w:sz w:val="16"/>
          <w:szCs w:val="16"/>
          <w:u w:val="single" w:color="auto"/>
          <w:color w:val="0000FF"/>
        </w:rPr>
        <w:t>and Currency</w:t>
      </w:r>
      <w:r>
        <w:rPr>
          <w:rFonts w:ascii="Arial" w:cs="Arial" w:eastAsia="Arial" w:hAnsi="Arial"/>
          <w:sz w:val="16"/>
          <w:szCs w:val="16"/>
          <w:color w:val="auto"/>
        </w:rPr>
        <w:t xml:space="preserve"> of such </w:t>
      </w:r>
      <w:r>
        <w:rPr>
          <w:rFonts w:ascii="Arial" w:cs="Arial" w:eastAsia="Arial" w:hAnsi="Arial"/>
          <w:sz w:val="16"/>
          <w:szCs w:val="16"/>
          <w:color w:val="FF0000"/>
          <w:strike w:val="1"/>
        </w:rPr>
        <w:t>Revolving Credit</w:t>
      </w:r>
      <w:r>
        <w:rPr>
          <w:rFonts w:ascii="Arial" w:cs="Arial" w:eastAsia="Arial" w:hAnsi="Arial"/>
          <w:sz w:val="16"/>
          <w:szCs w:val="16"/>
          <w:color w:val="auto"/>
        </w:rPr>
        <w:t xml:space="preserve"> Loans to be converted or continued, </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w:t>
      </w:r>
      <w:r>
        <w:rPr>
          <w:rFonts w:ascii="Arial" w:cs="Arial" w:eastAsia="Arial" w:hAnsi="Arial"/>
          <w:sz w:val="16"/>
          <w:szCs w:val="16"/>
          <w:color w:val="FF0000"/>
          <w:strike w:val="1"/>
        </w:rPr>
        <w:t>4</w:t>
      </w:r>
      <w:r>
        <w:rPr>
          <w:rFonts w:ascii="Arial" w:cs="Arial" w:eastAsia="Arial" w:hAnsi="Arial"/>
          <w:sz w:val="16"/>
          <w:szCs w:val="16"/>
          <w:u w:val="single" w:color="auto"/>
          <w:color w:val="0000FF"/>
        </w:rPr>
        <w:t>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 the case of any Eurocurrency Rate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Loan or Term SOFR Loan,</w:t>
      </w:r>
      <w:r>
        <w:rPr>
          <w:rFonts w:ascii="Arial" w:cs="Arial" w:eastAsia="Arial" w:hAnsi="Arial"/>
          <w:sz w:val="16"/>
          <w:szCs w:val="16"/>
          <w:color w:val="0000FF"/>
        </w:rPr>
        <w:t xml:space="preserve"> </w:t>
      </w:r>
      <w:r>
        <w:rPr>
          <w:rFonts w:ascii="Arial" w:cs="Arial" w:eastAsia="Arial" w:hAnsi="Arial"/>
          <w:sz w:val="16"/>
          <w:szCs w:val="16"/>
          <w:color w:val="000000"/>
        </w:rPr>
        <w:t>the Interest Period to be applicable to such converted or continued Eurocurrency Rate Loan</w:t>
      </w:r>
      <w:r>
        <w:rPr>
          <w:rFonts w:ascii="Arial" w:cs="Arial" w:eastAsia="Arial" w:hAnsi="Arial"/>
          <w:sz w:val="16"/>
          <w:szCs w:val="16"/>
          <w:color w:val="0000FF"/>
        </w:rPr>
        <w:t xml:space="preserve"> </w:t>
      </w:r>
      <w:r>
        <w:rPr>
          <w:rFonts w:ascii="Arial" w:cs="Arial" w:eastAsia="Arial" w:hAnsi="Arial"/>
          <w:sz w:val="16"/>
          <w:szCs w:val="16"/>
          <w:color w:val="FF0000"/>
        </w:rPr>
        <w:t>and (5) the currency in which</w:t>
      </w:r>
      <w:r>
        <w:rPr>
          <w:rFonts w:ascii="Arial" w:cs="Arial" w:eastAsia="Arial" w:hAnsi="Arial"/>
          <w:sz w:val="16"/>
          <w:szCs w:val="16"/>
          <w:color w:val="0000FF"/>
        </w:rPr>
        <w:t xml:space="preserve"> </w:t>
      </w:r>
      <w:r>
        <w:rPr>
          <w:rFonts w:ascii="Arial" w:cs="Arial" w:eastAsia="Arial" w:hAnsi="Arial"/>
          <w:sz w:val="16"/>
          <w:szCs w:val="16"/>
          <w:color w:val="FF0000"/>
          <w:strike w:val="1"/>
        </w:rPr>
        <w:t>such Revolving Credit</w:t>
      </w:r>
      <w:r>
        <w:rPr>
          <w:rFonts w:ascii="Arial" w:cs="Arial" w:eastAsia="Arial" w:hAnsi="Arial"/>
          <w:sz w:val="16"/>
          <w:szCs w:val="16"/>
          <w:u w:val="single" w:color="auto"/>
          <w:color w:val="0000FF"/>
        </w:rPr>
        <w:t>or Term SOFR</w:t>
      </w:r>
      <w:r>
        <w:rPr>
          <w:rFonts w:ascii="Arial" w:cs="Arial" w:eastAsia="Arial" w:hAnsi="Arial"/>
          <w:sz w:val="16"/>
          <w:szCs w:val="16"/>
          <w:color w:val="FF0000"/>
        </w:rPr>
        <w:t xml:space="preserve"> </w:t>
      </w:r>
      <w:r>
        <w:rPr>
          <w:rFonts w:ascii="Arial" w:cs="Arial" w:eastAsia="Arial" w:hAnsi="Arial"/>
          <w:sz w:val="16"/>
          <w:szCs w:val="16"/>
          <w:color w:val="000000"/>
        </w:rPr>
        <w:t>Loan</w:t>
      </w:r>
      <w:r>
        <w:rPr>
          <w:rFonts w:ascii="Arial" w:cs="Arial" w:eastAsia="Arial" w:hAnsi="Arial"/>
          <w:sz w:val="16"/>
          <w:szCs w:val="16"/>
          <w:color w:val="FF0000"/>
        </w:rPr>
        <w:t xml:space="preserve"> is denominated</w:t>
      </w:r>
      <w:r>
        <w:rPr>
          <w:rFonts w:ascii="Arial" w:cs="Arial" w:eastAsia="Arial" w:hAnsi="Arial"/>
          <w:sz w:val="16"/>
          <w:szCs w:val="16"/>
          <w:color w:val="000000"/>
        </w:rPr>
        <w:t>. If the Borrower fails to</w:t>
      </w:r>
      <w:r>
        <w:rPr>
          <w:rFonts w:ascii="Arial" w:cs="Arial" w:eastAsia="Arial" w:hAnsi="Arial"/>
          <w:sz w:val="16"/>
          <w:szCs w:val="16"/>
          <w:color w:val="FF0000"/>
        </w:rPr>
        <w:t xml:space="preserve"> </w:t>
      </w:r>
      <w:r>
        <w:rPr>
          <w:rFonts w:ascii="Arial" w:cs="Arial" w:eastAsia="Arial" w:hAnsi="Arial"/>
          <w:sz w:val="16"/>
          <w:szCs w:val="16"/>
          <w:color w:val="FF0000"/>
          <w:strike w:val="1"/>
        </w:rPr>
        <w:t>give</w:t>
      </w:r>
      <w:r>
        <w:rPr>
          <w:rFonts w:ascii="Arial" w:cs="Arial" w:eastAsia="Arial" w:hAnsi="Arial"/>
          <w:sz w:val="16"/>
          <w:szCs w:val="16"/>
          <w:u w:val="single" w:color="auto"/>
          <w:color w:val="0000FF"/>
        </w:rPr>
        <w:t>deliver</w:t>
      </w:r>
      <w:r>
        <w:rPr>
          <w:rFonts w:ascii="Arial" w:cs="Arial" w:eastAsia="Arial" w:hAnsi="Arial"/>
          <w:sz w:val="16"/>
          <w:szCs w:val="16"/>
          <w:color w:val="FF0000"/>
        </w:rPr>
        <w:t xml:space="preserve"> </w:t>
      </w:r>
      <w:r>
        <w:rPr>
          <w:rFonts w:ascii="Arial" w:cs="Arial" w:eastAsia="Arial" w:hAnsi="Arial"/>
          <w:sz w:val="16"/>
          <w:szCs w:val="16"/>
          <w:color w:val="000000"/>
        </w:rPr>
        <w:t>a timely Notice of Conversion/Continuation</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with respect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to a Daily Simple SONIA Loan prior to the Interest Payment Date therefor, then, unless such Daily Simple SONIA Loan is repaid as provided herein, the Borrower shall be deemed to have selected that such Daily Simple SONIA Loan shall automatically</w:t>
      </w:r>
      <w:r>
        <w:rPr>
          <w:rFonts w:ascii="Arial" w:cs="Arial" w:eastAsia="Arial" w:hAnsi="Arial"/>
          <w:sz w:val="16"/>
          <w:szCs w:val="16"/>
          <w:color w:val="0000FF"/>
        </w:rPr>
        <w:t xml:space="preserve"> </w:t>
      </w:r>
      <w:r>
        <w:rPr>
          <w:rFonts w:ascii="Arial" w:cs="Arial" w:eastAsia="Arial" w:hAnsi="Arial"/>
          <w:sz w:val="16"/>
          <w:szCs w:val="16"/>
          <w:color w:val="008000"/>
        </w:rPr>
        <w:t>be converted to a Base Rate Loan denominated in</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 xml:space="preserve">Dollars </w:t>
      </w:r>
      <w:r>
        <w:rPr>
          <w:rFonts w:ascii="Arial" w:cs="Arial" w:eastAsia="Arial" w:hAnsi="Arial"/>
          <w:sz w:val="16"/>
          <w:szCs w:val="16"/>
          <w:u w:val="single" w:color="auto"/>
          <w:color w:val="0000FF"/>
        </w:rPr>
        <w:t>(in an amount equal to the Dollar Equivalent of the applicable Alternative Currency, if applicable) as of such Interest Payment Date</w:t>
      </w:r>
      <w:r>
        <w:rPr>
          <w:rFonts w:ascii="Arial" w:cs="Arial" w:eastAsia="Arial" w:hAnsi="Arial"/>
          <w:sz w:val="16"/>
          <w:szCs w:val="16"/>
          <w:u w:val="single" w:color="auto"/>
          <w:color w:val="008000"/>
        </w:rPr>
        <w:t>. If the Borrower fails to</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deliver</w:t>
      </w:r>
      <w:r>
        <w:rPr>
          <w:rFonts w:ascii="Arial" w:cs="Arial" w:eastAsia="Arial" w:hAnsi="Arial"/>
          <w:sz w:val="16"/>
          <w:szCs w:val="16"/>
          <w:color w:val="008000"/>
        </w:rPr>
        <w:t xml:space="preserve"> a timely Notice of Conversion/Continuation with respect to a Eurocurrency Rate Loan </w:t>
      </w:r>
      <w:r>
        <w:rPr>
          <w:rFonts w:ascii="Arial" w:cs="Arial" w:eastAsia="Arial" w:hAnsi="Arial"/>
          <w:sz w:val="16"/>
          <w:szCs w:val="16"/>
          <w:color w:val="0000FF"/>
        </w:rPr>
        <w:t>or a Term SOFR Loan</w:t>
      </w:r>
      <w:r>
        <w:rPr>
          <w:rFonts w:ascii="Arial" w:cs="Arial" w:eastAsia="Arial" w:hAnsi="Arial"/>
          <w:sz w:val="16"/>
          <w:szCs w:val="16"/>
          <w:color w:val="008000"/>
        </w:rPr>
        <w:t xml:space="preserve"> </w:t>
      </w:r>
      <w:r>
        <w:rPr>
          <w:rFonts w:ascii="Arial" w:cs="Arial" w:eastAsia="Arial" w:hAnsi="Arial"/>
          <w:sz w:val="16"/>
          <w:szCs w:val="16"/>
          <w:color w:val="000000"/>
        </w:rPr>
        <w:t>prior to the end</w:t>
      </w:r>
      <w:r>
        <w:rPr>
          <w:rFonts w:ascii="Arial" w:cs="Arial" w:eastAsia="Arial" w:hAnsi="Arial"/>
          <w:sz w:val="16"/>
          <w:szCs w:val="16"/>
          <w:color w:val="008000"/>
        </w:rPr>
        <w:t xml:space="preserve"> </w:t>
      </w:r>
      <w:r>
        <w:rPr>
          <w:rFonts w:ascii="Arial" w:cs="Arial" w:eastAsia="Arial" w:hAnsi="Arial"/>
          <w:sz w:val="16"/>
          <w:szCs w:val="16"/>
          <w:color w:val="000000"/>
        </w:rPr>
        <w:t xml:space="preserve">of the Interest Period </w:t>
      </w:r>
      <w:r>
        <w:rPr>
          <w:rFonts w:ascii="Arial" w:cs="Arial" w:eastAsia="Arial" w:hAnsi="Arial"/>
          <w:sz w:val="16"/>
          <w:szCs w:val="16"/>
          <w:color w:val="FF0000"/>
          <w:strike w:val="1"/>
        </w:rPr>
        <w:t>for any</w:t>
      </w:r>
      <w:r>
        <w:rPr>
          <w:rFonts w:ascii="Arial" w:cs="Arial" w:eastAsia="Arial" w:hAnsi="Arial"/>
          <w:sz w:val="16"/>
          <w:szCs w:val="16"/>
          <w:u w:val="single" w:color="auto"/>
          <w:color w:val="0000FF"/>
        </w:rPr>
        <w:t>therefor, then, unless such</w:t>
      </w:r>
      <w:r>
        <w:rPr>
          <w:rFonts w:ascii="Arial" w:cs="Arial" w:eastAsia="Arial" w:hAnsi="Arial"/>
          <w:sz w:val="16"/>
          <w:szCs w:val="16"/>
          <w:color w:val="000000"/>
        </w:rPr>
        <w:t xml:space="preserve"> Eurocurrency Rate Loan </w:t>
      </w:r>
      <w:r>
        <w:rPr>
          <w:rFonts w:ascii="Arial" w:cs="Arial" w:eastAsia="Arial" w:hAnsi="Arial"/>
          <w:sz w:val="16"/>
          <w:szCs w:val="16"/>
          <w:color w:val="FF0000"/>
          <w:strike w:val="1"/>
        </w:rPr>
        <w:t>denominated in Dollars, then the</w:t>
      </w:r>
      <w:r>
        <w:rPr>
          <w:rFonts w:ascii="Arial" w:cs="Arial" w:eastAsia="Arial" w:hAnsi="Arial"/>
          <w:sz w:val="16"/>
          <w:szCs w:val="16"/>
          <w:u w:val="single" w:color="auto"/>
          <w:color w:val="0000FF"/>
        </w:rPr>
        <w:t>or Term SOFR Loan, as</w:t>
      </w:r>
      <w:r>
        <w:rPr>
          <w:rFonts w:ascii="Arial" w:cs="Arial" w:eastAsia="Arial" w:hAnsi="Arial"/>
          <w:sz w:val="16"/>
          <w:szCs w:val="16"/>
          <w:color w:val="000000"/>
        </w:rPr>
        <w:t xml:space="preserve"> applicable </w:t>
      </w:r>
      <w:r>
        <w:rPr>
          <w:rFonts w:ascii="Arial" w:cs="Arial" w:eastAsia="Arial" w:hAnsi="Arial"/>
          <w:sz w:val="16"/>
          <w:szCs w:val="16"/>
          <w:color w:val="0000FF"/>
        </w:rPr>
        <w:t>, is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repaid as provided herein, the Borrower shall be deemed to have selected that such</w:t>
      </w:r>
      <w:r>
        <w:rPr>
          <w:rFonts w:ascii="Arial" w:cs="Arial" w:eastAsia="Arial" w:hAnsi="Arial"/>
          <w:sz w:val="16"/>
          <w:szCs w:val="16"/>
          <w:color w:val="0000FF"/>
        </w:rPr>
        <w:t xml:space="preserve"> </w:t>
      </w:r>
      <w:r>
        <w:rPr>
          <w:rFonts w:ascii="Arial" w:cs="Arial" w:eastAsia="Arial" w:hAnsi="Arial"/>
          <w:sz w:val="16"/>
          <w:szCs w:val="16"/>
          <w:color w:val="000000"/>
        </w:rPr>
        <w:t>Eurocurrency Rate Loan</w:t>
      </w:r>
      <w:r>
        <w:rPr>
          <w:rFonts w:ascii="Arial" w:cs="Arial" w:eastAsia="Arial" w:hAnsi="Arial"/>
          <w:sz w:val="16"/>
          <w:szCs w:val="16"/>
          <w:color w:val="0000FF"/>
        </w:rPr>
        <w:t xml:space="preserve"> or Term SOFR Loan, as applicable, </w:t>
      </w:r>
      <w:r>
        <w:rPr>
          <w:rFonts w:ascii="Arial" w:cs="Arial" w:eastAsia="Arial" w:hAnsi="Arial"/>
          <w:sz w:val="16"/>
          <w:szCs w:val="16"/>
          <w:color w:val="000000"/>
        </w:rPr>
        <w:t>shall</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automatically</w:t>
      </w:r>
      <w:r>
        <w:rPr>
          <w:rFonts w:ascii="Arial" w:cs="Arial" w:eastAsia="Arial" w:hAnsi="Arial"/>
          <w:sz w:val="16"/>
          <w:szCs w:val="16"/>
          <w:color w:val="0000FF"/>
        </w:rPr>
        <w:t xml:space="preserve"> </w:t>
      </w:r>
      <w:r>
        <w:rPr>
          <w:rFonts w:ascii="Arial" w:cs="Arial" w:eastAsia="Arial" w:hAnsi="Arial"/>
          <w:sz w:val="16"/>
          <w:szCs w:val="16"/>
          <w:color w:val="000000"/>
        </w:rPr>
        <w:t>be converted to a Base Rate Loan</w:t>
      </w:r>
      <w:r>
        <w:rPr>
          <w:rFonts w:ascii="Arial" w:cs="Arial" w:eastAsia="Arial" w:hAnsi="Arial"/>
          <w:sz w:val="16"/>
          <w:szCs w:val="16"/>
          <w:color w:val="FF0000"/>
          <w:strike w:val="1"/>
        </w:rPr>
        <w:t>. Any such automatic conversion to a Base Rate Loan shall be effective</w:t>
      </w:r>
      <w:r>
        <w:rPr>
          <w:rFonts w:ascii="Arial" w:cs="Arial" w:eastAsia="Arial" w:hAnsi="Arial"/>
          <w:sz w:val="16"/>
          <w:szCs w:val="16"/>
          <w:color w:val="0000FF"/>
        </w:rPr>
        <w:t xml:space="preserve"> </w:t>
      </w:r>
      <w:r>
        <w:rPr>
          <w:rFonts w:ascii="Arial" w:cs="Arial" w:eastAsia="Arial" w:hAnsi="Arial"/>
          <w:sz w:val="16"/>
          <w:szCs w:val="16"/>
          <w:color w:val="008000"/>
        </w:rPr>
        <w:t>as of the last day of</w:t>
      </w:r>
      <w:r>
        <w:rPr>
          <w:rFonts w:ascii="Arial" w:cs="Arial" w:eastAsia="Arial" w:hAnsi="Arial"/>
          <w:sz w:val="16"/>
          <w:szCs w:val="16"/>
          <w:color w:val="0000FF"/>
        </w:rPr>
        <w:t xml:space="preserve"> </w:t>
      </w:r>
      <w:r>
        <w:rPr>
          <w:rFonts w:ascii="Arial" w:cs="Arial" w:eastAsia="Arial" w:hAnsi="Arial"/>
          <w:sz w:val="16"/>
          <w:szCs w:val="16"/>
          <w:color w:val="FF0000"/>
          <w:strike w:val="1"/>
        </w:rPr>
        <w:t>the Interest</w:t>
      </w:r>
      <w:r>
        <w:rPr>
          <w:rFonts w:ascii="Arial" w:cs="Arial" w:eastAsia="Arial" w:hAnsi="Arial"/>
          <w:sz w:val="16"/>
          <w:szCs w:val="16"/>
          <w:color w:val="0000FF"/>
        </w:rPr>
        <w:t xml:space="preserve"> </w:t>
      </w:r>
      <w:r>
        <w:rPr>
          <w:rFonts w:ascii="Arial" w:cs="Arial" w:eastAsia="Arial" w:hAnsi="Arial"/>
          <w:sz w:val="16"/>
          <w:szCs w:val="16"/>
          <w:color w:val="FF0000"/>
          <w:strike w:val="1"/>
        </w:rPr>
        <w:t>Period then in effect with respect to</w:t>
      </w:r>
      <w:r>
        <w:rPr>
          <w:rFonts w:ascii="Arial" w:cs="Arial" w:eastAsia="Arial" w:hAnsi="Arial"/>
          <w:sz w:val="16"/>
          <w:szCs w:val="16"/>
          <w:u w:val="single" w:color="auto"/>
          <w:color w:val="0000FF"/>
        </w:rPr>
        <w:t>denominated in Dollars (in an amount equal to the Dollar Equivalent of</w:t>
      </w:r>
      <w:r>
        <w:rPr>
          <w:rFonts w:ascii="Arial" w:cs="Arial" w:eastAsia="Arial" w:hAnsi="Arial"/>
          <w:sz w:val="16"/>
          <w:szCs w:val="16"/>
          <w:color w:val="FF0000"/>
        </w:rPr>
        <w:t xml:space="preserve"> </w:t>
      </w:r>
      <w:r>
        <w:rPr>
          <w:rFonts w:ascii="Arial" w:cs="Arial" w:eastAsia="Arial" w:hAnsi="Arial"/>
          <w:sz w:val="16"/>
          <w:szCs w:val="16"/>
          <w:color w:val="000000"/>
        </w:rPr>
        <w:t>the applicable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Alternative</w:t>
      </w:r>
      <w:r>
        <w:rPr>
          <w:rFonts w:ascii="Arial" w:cs="Arial" w:eastAsia="Arial" w:hAnsi="Arial"/>
          <w:sz w:val="16"/>
          <w:szCs w:val="16"/>
          <w:color w:val="FF0000"/>
        </w:rPr>
        <w:t xml:space="preserve"> </w:t>
      </w:r>
      <w:r>
        <w:rPr>
          <w:rFonts w:ascii="Arial" w:cs="Arial" w:eastAsia="Arial" w:hAnsi="Arial"/>
          <w:sz w:val="16"/>
          <w:szCs w:val="16"/>
          <w:color w:val="FF0000"/>
          <w:strike w:val="1"/>
        </w:rPr>
        <w:t>Euroc</w:t>
      </w:r>
      <w:r>
        <w:rPr>
          <w:rFonts w:ascii="Arial" w:cs="Arial" w:eastAsia="Arial" w:hAnsi="Arial"/>
          <w:sz w:val="16"/>
          <w:szCs w:val="16"/>
          <w:u w:val="single" w:color="auto"/>
          <w:color w:val="0000FF"/>
        </w:rPr>
        <w:t>C</w:t>
      </w:r>
      <w:r>
        <w:rPr>
          <w:rFonts w:ascii="Arial" w:cs="Arial" w:eastAsia="Arial" w:hAnsi="Arial"/>
          <w:sz w:val="16"/>
          <w:szCs w:val="16"/>
          <w:color w:val="000000"/>
        </w:rPr>
        <w:t>urrency</w:t>
      </w:r>
      <w:r>
        <w:rPr>
          <w:rFonts w:ascii="Arial" w:cs="Arial" w:eastAsia="Arial" w:hAnsi="Arial"/>
          <w:sz w:val="16"/>
          <w:szCs w:val="16"/>
          <w:color w:val="FF0000"/>
        </w:rPr>
        <w:t xml:space="preserve"> </w:t>
      </w:r>
      <w:r>
        <w:rPr>
          <w:rFonts w:ascii="Arial" w:cs="Arial" w:eastAsia="Arial" w:hAnsi="Arial"/>
          <w:sz w:val="16"/>
          <w:szCs w:val="16"/>
          <w:color w:val="FF0000"/>
          <w:strike w:val="1"/>
        </w:rPr>
        <w:t>Rate Loan</w:t>
      </w:r>
      <w:r>
        <w:rPr>
          <w:rFonts w:ascii="Arial" w:cs="Arial" w:eastAsia="Arial" w:hAnsi="Arial"/>
          <w:sz w:val="16"/>
          <w:szCs w:val="16"/>
          <w:color w:val="008000"/>
          <w:strike w:val="1"/>
        </w:rPr>
        <w:t>. If the Borrower fails to</w:t>
      </w:r>
      <w:r>
        <w:rPr>
          <w:rFonts w:ascii="Arial" w:cs="Arial" w:eastAsia="Arial" w:hAnsi="Arial"/>
          <w:sz w:val="16"/>
          <w:szCs w:val="16"/>
          <w:color w:val="FF0000"/>
        </w:rPr>
        <w:t xml:space="preserve"> </w:t>
      </w:r>
      <w:r>
        <w:rPr>
          <w:rFonts w:ascii="Arial" w:cs="Arial" w:eastAsia="Arial" w:hAnsi="Arial"/>
          <w:sz w:val="16"/>
          <w:szCs w:val="16"/>
          <w:color w:val="FF0000"/>
          <w:strike w:val="1"/>
        </w:rPr>
        <w:t>give</w:t>
      </w:r>
      <w:r>
        <w:rPr>
          <w:rFonts w:ascii="Arial" w:cs="Arial" w:eastAsia="Arial" w:hAnsi="Arial"/>
          <w:sz w:val="16"/>
          <w:szCs w:val="16"/>
          <w:color w:val="FF0000"/>
        </w:rPr>
        <w:t xml:space="preserve"> </w:t>
      </w:r>
      <w:r>
        <w:rPr>
          <w:rFonts w:ascii="Arial" w:cs="Arial" w:eastAsia="Arial" w:hAnsi="Arial"/>
          <w:sz w:val="16"/>
          <w:szCs w:val="16"/>
          <w:color w:val="008000"/>
          <w:strike w:val="1"/>
        </w:rPr>
        <w:t>a timely Notice of Conversion/Continuation</w:t>
      </w:r>
      <w:r>
        <w:rPr>
          <w:rFonts w:ascii="Arial" w:cs="Arial" w:eastAsia="Arial" w:hAnsi="Arial"/>
          <w:sz w:val="16"/>
          <w:szCs w:val="16"/>
          <w:color w:val="FF0000"/>
        </w:rPr>
        <w:t xml:space="preserve"> </w:t>
      </w:r>
      <w:r>
        <w:rPr>
          <w:rFonts w:ascii="Arial" w:cs="Arial" w:eastAsia="Arial" w:hAnsi="Arial"/>
          <w:sz w:val="16"/>
          <w:szCs w:val="16"/>
          <w:color w:val="FF0000"/>
          <w:strike w:val="1"/>
        </w:rPr>
        <w:t>prior to</w:t>
      </w:r>
      <w:r>
        <w:rPr>
          <w:rFonts w:ascii="Arial" w:cs="Arial" w:eastAsia="Arial" w:hAnsi="Arial"/>
          <w:sz w:val="16"/>
          <w:szCs w:val="16"/>
          <w:u w:val="single" w:color="auto"/>
          <w:color w:val="0000FF"/>
        </w:rPr>
        <w:t>) at</w:t>
      </w:r>
      <w:r>
        <w:rPr>
          <w:rFonts w:ascii="Arial" w:cs="Arial" w:eastAsia="Arial" w:hAnsi="Arial"/>
          <w:sz w:val="16"/>
          <w:szCs w:val="16"/>
          <w:color w:val="FF0000"/>
        </w:rPr>
        <w:t xml:space="preserve"> </w:t>
      </w:r>
      <w:r>
        <w:rPr>
          <w:rFonts w:ascii="Arial" w:cs="Arial" w:eastAsia="Arial" w:hAnsi="Arial"/>
          <w:sz w:val="16"/>
          <w:szCs w:val="16"/>
          <w:color w:val="000000"/>
        </w:rPr>
        <w:t>the end of</w:t>
      </w:r>
      <w:r>
        <w:rPr>
          <w:rFonts w:ascii="Arial" w:cs="Arial" w:eastAsia="Arial" w:hAnsi="Arial"/>
          <w:sz w:val="16"/>
          <w:szCs w:val="16"/>
          <w:color w:val="FF0000"/>
        </w:rPr>
        <w:t xml:space="preserve">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such</w:t>
      </w:r>
      <w:r>
        <w:rPr>
          <w:rFonts w:ascii="Arial" w:cs="Arial" w:eastAsia="Arial" w:hAnsi="Arial"/>
          <w:sz w:val="16"/>
          <w:szCs w:val="16"/>
          <w:color w:val="FF0000"/>
        </w:rPr>
        <w:t xml:space="preserve"> </w:t>
      </w:r>
      <w:r>
        <w:rPr>
          <w:rFonts w:ascii="Arial" w:cs="Arial" w:eastAsia="Arial" w:hAnsi="Arial"/>
          <w:sz w:val="16"/>
          <w:szCs w:val="16"/>
          <w:color w:val="000000"/>
        </w:rPr>
        <w:t>Interest Period</w:t>
      </w:r>
      <w:r>
        <w:rPr>
          <w:rFonts w:ascii="Arial" w:cs="Arial" w:eastAsia="Arial" w:hAnsi="Arial"/>
          <w:sz w:val="16"/>
          <w:szCs w:val="16"/>
          <w:color w:val="FF0000"/>
        </w:rPr>
        <w:t xml:space="preserve"> for any </w:t>
      </w:r>
      <w:r>
        <w:rPr>
          <w:rFonts w:ascii="Arial" w:cs="Arial" w:eastAsia="Arial" w:hAnsi="Arial"/>
          <w:sz w:val="16"/>
          <w:szCs w:val="16"/>
          <w:color w:val="008000"/>
          <w:strike w:val="1"/>
        </w:rPr>
        <w:t>Eurocurrency</w:t>
      </w:r>
      <w:r>
        <w:rPr>
          <w:rFonts w:ascii="Arial" w:cs="Arial" w:eastAsia="Arial" w:hAnsi="Arial"/>
          <w:sz w:val="16"/>
          <w:szCs w:val="16"/>
          <w:color w:val="FF0000"/>
        </w:rPr>
        <w:t xml:space="preserve"> </w:t>
      </w:r>
      <w:r>
        <w:rPr>
          <w:rFonts w:ascii="Arial" w:cs="Arial" w:eastAsia="Arial" w:hAnsi="Arial"/>
          <w:sz w:val="16"/>
          <w:szCs w:val="16"/>
          <w:color w:val="008000"/>
          <w:strike w:val="1"/>
        </w:rPr>
        <w:t xml:space="preserve">Rate Loan denominated in an Alternative Currency, </w:t>
      </w:r>
      <w:r>
        <w:rPr>
          <w:rFonts w:ascii="Arial" w:cs="Arial" w:eastAsia="Arial" w:hAnsi="Arial"/>
          <w:sz w:val="16"/>
          <w:szCs w:val="16"/>
          <w:color w:val="FF0000"/>
          <w:strike w:val="1"/>
        </w:rPr>
        <w:t>such Revolving Credit Loans shall be continued as a Eurocurrency Rate Loan in its original</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currency with an Interest Period of one month</w:t>
      </w:r>
      <w:r>
        <w:rPr>
          <w:rFonts w:ascii="Arial" w:cs="Arial" w:eastAsia="Arial" w:hAnsi="Arial"/>
          <w:sz w:val="16"/>
          <w:szCs w:val="16"/>
          <w:color w:val="000000"/>
          <w:strike w:val="1"/>
        </w:rPr>
        <w:t>. If the Borrower requests a conversion to, or continuation of,</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Eurocurrency Rate Loan</w:t>
      </w:r>
      <w:r>
        <w:rPr>
          <w:rFonts w:ascii="Arial" w:cs="Arial" w:eastAsia="Arial" w:hAnsi="Arial"/>
          <w:sz w:val="16"/>
          <w:szCs w:val="16"/>
          <w:color w:val="FF0000"/>
          <w:strike w:val="1"/>
        </w:rPr>
        <w:t xml:space="preserve">s </w:t>
      </w:r>
      <w:r>
        <w:rPr>
          <w:rFonts w:ascii="Arial" w:cs="Arial" w:eastAsia="Arial" w:hAnsi="Arial"/>
          <w:sz w:val="16"/>
          <w:szCs w:val="16"/>
          <w:color w:val="0000FF"/>
          <w:strike w:val="1"/>
        </w:rPr>
        <w:t>or a Term SOFR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Loan</w:t>
      </w:r>
      <w:r>
        <w:rPr>
          <w:rFonts w:ascii="Arial" w:cs="Arial" w:eastAsia="Arial" w:hAnsi="Arial"/>
          <w:sz w:val="16"/>
          <w:szCs w:val="16"/>
          <w:color w:val="000000"/>
          <w:strike w:val="1"/>
        </w:rPr>
        <w:t>, but fails to specify an Interest Period, it will be deemed to have specified an Interest Period of one month. Notwithstanding anything to the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contrary herein, </w:t>
      </w:r>
      <w:r>
        <w:rPr>
          <w:rFonts w:ascii="Arial" w:cs="Arial" w:eastAsia="Arial" w:hAnsi="Arial"/>
          <w:sz w:val="16"/>
          <w:szCs w:val="16"/>
          <w:color w:val="FF0000"/>
          <w:strike w:val="1"/>
        </w:rPr>
        <w:t>no Revolving Credit Loan may be converted or continued as a Revolving Credit Loan denominated in a different currency, but instead</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must be prepaid in the original currency of such Revolving Credit Loan and reborrowed in the other currency</w:t>
      </w:r>
      <w:r>
        <w:rPr>
          <w:rFonts w:ascii="Arial" w:cs="Arial" w:eastAsia="Arial" w:hAnsi="Arial"/>
          <w:sz w:val="16"/>
          <w:szCs w:val="16"/>
          <w:color w:val="008000"/>
          <w:strike w:val="1"/>
        </w:rPr>
        <w:t>. Notwithstanding anything to the contrary</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herein</w:t>
      </w:r>
      <w:r>
        <w:rPr>
          <w:rFonts w:ascii="Arial" w:cs="Arial" w:eastAsia="Arial" w:hAnsi="Arial"/>
          <w:sz w:val="16"/>
          <w:szCs w:val="16"/>
          <w:color w:val="FF0000"/>
          <w:strike w:val="1"/>
        </w:rPr>
        <w:t>,</w:t>
      </w:r>
      <w:r>
        <w:rPr>
          <w:rFonts w:ascii="Arial" w:cs="Arial" w:eastAsia="Arial" w:hAnsi="Arial"/>
          <w:sz w:val="16"/>
          <w:szCs w:val="16"/>
          <w:color w:val="008000"/>
          <w:strike w:val="1"/>
        </w:rPr>
        <w:t xml:space="preserve"> </w:t>
      </w:r>
      <w:r>
        <w:rPr>
          <w:rFonts w:ascii="Arial" w:cs="Arial" w:eastAsia="Arial" w:hAnsi="Arial"/>
          <w:sz w:val="16"/>
          <w:szCs w:val="16"/>
          <w:color w:val="000000"/>
          <w:strike w:val="1"/>
        </w:rPr>
        <w:t>a Swingline Loan may not be converted to a Eurocurrency Rate Loan</w:t>
      </w:r>
      <w:r>
        <w:rPr>
          <w:rFonts w:ascii="Arial" w:cs="Arial" w:eastAsia="Arial" w:hAnsi="Arial"/>
          <w:sz w:val="16"/>
          <w:szCs w:val="16"/>
          <w:color w:val="008000"/>
          <w:strike w:val="1"/>
        </w:rPr>
        <w:t xml:space="preserve"> </w:t>
      </w:r>
      <w:r>
        <w:rPr>
          <w:rFonts w:ascii="Arial" w:cs="Arial" w:eastAsia="Arial" w:hAnsi="Arial"/>
          <w:sz w:val="16"/>
          <w:szCs w:val="16"/>
          <w:color w:val="0000FF"/>
          <w:strike w:val="1"/>
        </w:rPr>
        <w:t>or a Term SOFR Loan</w:t>
      </w:r>
      <w:r>
        <w:rPr>
          <w:rFonts w:ascii="Arial" w:cs="Arial" w:eastAsia="Arial" w:hAnsi="Arial"/>
          <w:sz w:val="16"/>
          <w:szCs w:val="16"/>
          <w:color w:val="000000"/>
          <w:strike w:val="1"/>
        </w:rPr>
        <w:t>. The Administrative Agent shall promptly notify the</w:t>
      </w:r>
      <w:r>
        <w:rPr>
          <w:rFonts w:ascii="Arial" w:cs="Arial" w:eastAsia="Arial" w:hAnsi="Arial"/>
          <w:sz w:val="16"/>
          <w:szCs w:val="16"/>
          <w:color w:val="008000"/>
          <w:strike w:val="1"/>
        </w:rPr>
        <w:t xml:space="preserve"> </w:t>
      </w:r>
      <w:r>
        <w:rPr>
          <w:rFonts w:ascii="Arial" w:cs="Arial" w:eastAsia="Arial" w:hAnsi="Arial"/>
          <w:sz w:val="16"/>
          <w:szCs w:val="16"/>
          <w:color w:val="000000"/>
          <w:strike w:val="1"/>
        </w:rPr>
        <w:t>affected Lenders of such Notice of Conversion/Continuation.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-2290445</wp:posOffset>
            </wp:positionV>
            <wp:extent cx="13766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6680" cy="825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-2153285</wp:posOffset>
            </wp:positionV>
            <wp:extent cx="7232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-1801495</wp:posOffset>
            </wp:positionV>
            <wp:extent cx="230568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-1827530</wp:posOffset>
            </wp:positionV>
            <wp:extent cx="22999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29997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-1553210</wp:posOffset>
            </wp:positionV>
            <wp:extent cx="5023485"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023485" cy="34290"/>
                    </a:xfrm>
                    <a:prstGeom prst="rect">
                      <a:avLst/>
                    </a:prstGeom>
                    <a:noFill/>
                  </pic:spPr>
                </pic:pic>
              </a:graphicData>
            </a:graphic>
          </wp:anchor>
        </w:drawing>
        <w:drawing>
          <wp:anchor simplePos="0" relativeHeight="251657728" behindDoc="1" locked="0" layoutInCell="0" allowOverlap="1">
            <wp:simplePos x="0" y="0"/>
            <wp:positionH relativeFrom="column">
              <wp:posOffset>6769735</wp:posOffset>
            </wp:positionH>
            <wp:positionV relativeFrom="paragraph">
              <wp:posOffset>-1390015</wp:posOffset>
            </wp:positionV>
            <wp:extent cx="16319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6769735</wp:posOffset>
            </wp:positionH>
            <wp:positionV relativeFrom="paragraph">
              <wp:posOffset>-1416050</wp:posOffset>
            </wp:positionV>
            <wp:extent cx="1619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-1252855</wp:posOffset>
            </wp:positionV>
            <wp:extent cx="16459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-1278890</wp:posOffset>
            </wp:positionV>
            <wp:extent cx="16465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-1193165</wp:posOffset>
            </wp:positionV>
            <wp:extent cx="9486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48690" cy="889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-918845</wp:posOffset>
            </wp:positionV>
            <wp:extent cx="3841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4175"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-567055</wp:posOffset>
            </wp:positionV>
            <wp:extent cx="7797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-593090</wp:posOffset>
            </wp:positionV>
            <wp:extent cx="7835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83590" cy="889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-18415</wp:posOffset>
            </wp:positionV>
            <wp:extent cx="104584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-44450</wp:posOffset>
            </wp:positionV>
            <wp:extent cx="10464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3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9" w:lineRule="auto"/>
        <w:tabs>
          <w:tab w:leader="none" w:pos="685"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Commencing on the Closing Date, subject to </w:t>
      </w:r>
      <w:r>
        <w:rPr>
          <w:rFonts w:ascii="Arial" w:cs="Arial" w:eastAsia="Arial" w:hAnsi="Arial"/>
          <w:sz w:val="17"/>
          <w:szCs w:val="17"/>
          <w:u w:val="single" w:color="auto"/>
          <w:color w:val="auto"/>
        </w:rPr>
        <w:t>Section 5.15(a)(iii)(A)</w:t>
      </w:r>
      <w:r>
        <w:rPr>
          <w:rFonts w:ascii="Arial" w:cs="Arial" w:eastAsia="Arial" w:hAnsi="Arial"/>
          <w:sz w:val="17"/>
          <w:szCs w:val="17"/>
          <w:color w:val="auto"/>
        </w:rPr>
        <w:t>, the Borrower shall pay to the Administrative Agent, for the account of the Revolving Credit Lenders, a non-refundable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in Dollars at a rate per annum equal to the Applicable Margin on the average daily unused portion of the Revolving Credit Commitment of the Revolving Credit Lenders (other than the Defaulting Lenders, if 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outstanding Swingline Loans shall not be considered usage of the Revolving Credit Commitment for the purpose of calculating the Commitment Fee. The Commitment Fee shall be payable in arrears within fifteen (15) days after the last </w:t>
      </w:r>
      <w:r>
        <w:rPr>
          <w:rFonts w:ascii="Arial" w:cs="Arial" w:eastAsia="Arial" w:hAnsi="Arial"/>
          <w:sz w:val="17"/>
          <w:szCs w:val="17"/>
          <w:u w:val="single" w:color="auto"/>
          <w:color w:val="0000FF"/>
        </w:rPr>
        <w:t>Business</w:t>
      </w:r>
      <w:r>
        <w:rPr>
          <w:rFonts w:ascii="Arial" w:cs="Arial" w:eastAsia="Arial" w:hAnsi="Arial"/>
          <w:sz w:val="17"/>
          <w:szCs w:val="17"/>
          <w:color w:val="auto"/>
        </w:rPr>
        <w:t xml:space="preserve"> </w:t>
      </w:r>
      <w:r>
        <w:rPr>
          <w:rFonts w:ascii="Arial" w:cs="Arial" w:eastAsia="Arial" w:hAnsi="Arial"/>
          <w:sz w:val="17"/>
          <w:szCs w:val="17"/>
          <w:color w:val="FF0000"/>
        </w:rPr>
        <w:t>d</w:t>
      </w:r>
      <w:r>
        <w:rPr>
          <w:rFonts w:ascii="Arial" w:cs="Arial" w:eastAsia="Arial" w:hAnsi="Arial"/>
          <w:sz w:val="17"/>
          <w:szCs w:val="17"/>
          <w:u w:val="single" w:color="auto"/>
          <w:color w:val="0000FF"/>
        </w:rPr>
        <w:t>D</w:t>
      </w:r>
      <w:r>
        <w:rPr>
          <w:rFonts w:ascii="Arial" w:cs="Arial" w:eastAsia="Arial" w:hAnsi="Arial"/>
          <w:sz w:val="17"/>
          <w:szCs w:val="17"/>
          <w:color w:val="auto"/>
        </w:rPr>
        <w:t xml:space="preserve">ay of each calendar quarter during the term of this Agreement commencing December 31, 2018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and the Revolving Credit Commitment has been terminated. The Commitment Fee shall be distributed by the Administrative Agent to the Revolving Credit Lenders </w:t>
      </w:r>
      <w:r>
        <w:rPr>
          <w:rFonts w:ascii="Arial" w:cs="Arial" w:eastAsia="Arial" w:hAnsi="Arial"/>
          <w:sz w:val="17"/>
          <w:szCs w:val="17"/>
          <w:u w:val="single" w:color="auto"/>
          <w:color w:val="0000FF"/>
        </w:rPr>
        <w:t>(other than any Defaulting Lenders)</w:t>
      </w:r>
      <w:r>
        <w:rPr>
          <w:rFonts w:ascii="Arial" w:cs="Arial" w:eastAsia="Arial" w:hAnsi="Arial"/>
          <w:sz w:val="17"/>
          <w:szCs w:val="17"/>
          <w:color w:val="auto"/>
        </w:rPr>
        <w:t xml:space="preserve"> pro rata in accordance with such Revolving Credit Lenders’ respective Revolving Credit Commitment Percentages.</w:t>
      </w:r>
    </w:p>
    <w:p>
      <w:pPr>
        <w:spacing w:after="0" w:line="77" w:lineRule="exact"/>
        <w:rPr>
          <w:rFonts w:ascii="Arial" w:cs="Arial" w:eastAsia="Arial" w:hAnsi="Arial"/>
          <w:sz w:val="17"/>
          <w:szCs w:val="17"/>
          <w:color w:val="auto"/>
        </w:rPr>
      </w:pPr>
    </w:p>
    <w:p>
      <w:pPr>
        <w:ind w:right="80" w:firstLine="436"/>
        <w:spacing w:after="0" w:line="263"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 shall pay, without duplication, to the Lead Arranger and the Administrative Agent for its own respective accounts and to the Lead Arranger for the account of the Lenders fees in the amounts and at the times specified in the Engagement Letter, in the Fee Letter and in the Administrative Agent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-1254125</wp:posOffset>
            </wp:positionV>
            <wp:extent cx="857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490" w:right="439" w:bottom="1440" w:gutter="0" w:footer="0" w:header="0"/>
        </w:sectPr>
      </w:pPr>
    </w:p>
    <w:bookmarkStart w:id="123" w:name="page124"/>
    <w:bookmarkEnd w:id="12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5.4 </w:t>
      </w:r>
      <w:r>
        <w:rPr>
          <w:rFonts w:ascii="Arial" w:cs="Arial" w:eastAsia="Arial" w:hAnsi="Arial"/>
          <w:sz w:val="18"/>
          <w:szCs w:val="18"/>
          <w:u w:val="single" w:color="auto"/>
          <w:color w:val="auto"/>
        </w:rPr>
        <w:t>Manner of Payment</w:t>
      </w:r>
      <w:r>
        <w:rPr>
          <w:rFonts w:ascii="Arial" w:cs="Arial" w:eastAsia="Arial" w:hAnsi="Arial"/>
          <w:sz w:val="18"/>
          <w:szCs w:val="18"/>
          <w:color w:val="auto"/>
        </w:rPr>
        <w:t>.</w:t>
      </w:r>
    </w:p>
    <w:p>
      <w:pPr>
        <w:spacing w:after="0" w:line="117" w:lineRule="exact"/>
        <w:rPr>
          <w:sz w:val="20"/>
          <w:szCs w:val="20"/>
          <w:color w:val="auto"/>
        </w:rPr>
      </w:pPr>
    </w:p>
    <w:p>
      <w:pPr>
        <w:ind w:left="244" w:hanging="244"/>
        <w:spacing w:after="0"/>
        <w:tabs>
          <w:tab w:leader="none" w:pos="244"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Sharing of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40" w:firstLine="419"/>
        <w:spacing w:after="0" w:line="270" w:lineRule="auto"/>
        <w:tabs>
          <w:tab w:leader="none" w:pos="642"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0000FF"/>
        </w:rPr>
        <w:t>Except as otherwise expressly provided herein and except with respect to principal of and interest on Loans denominated in an Alternative Currency or any amounts payable in an Alternative Currency or an Alternative L/C Currency,</w:t>
      </w:r>
      <w:r>
        <w:rPr>
          <w:rFonts w:ascii="Arial" w:cs="Arial" w:eastAsia="Arial" w:hAnsi="Arial"/>
          <w:sz w:val="17"/>
          <w:szCs w:val="17"/>
          <w:color w:val="0000FF"/>
        </w:rPr>
        <w:t xml:space="preserve"> </w:t>
      </w:r>
      <w:r>
        <w:rPr>
          <w:rFonts w:ascii="Arial" w:cs="Arial" w:eastAsia="Arial" w:hAnsi="Arial"/>
          <w:sz w:val="17"/>
          <w:szCs w:val="17"/>
          <w:color w:val="FF0000"/>
        </w:rPr>
        <w:t>E</w:t>
      </w:r>
      <w:r>
        <w:rPr>
          <w:rFonts w:ascii="Arial" w:cs="Arial" w:eastAsia="Arial" w:hAnsi="Arial"/>
          <w:sz w:val="17"/>
          <w:szCs w:val="17"/>
          <w:u w:val="single" w:color="auto"/>
          <w:color w:val="0000FF"/>
        </w:rPr>
        <w:t>e</w:t>
      </w:r>
      <w:r>
        <w:rPr>
          <w:rFonts w:ascii="Arial" w:cs="Arial" w:eastAsia="Arial" w:hAnsi="Arial"/>
          <w:sz w:val="17"/>
          <w:szCs w:val="17"/>
          <w:color w:val="000000"/>
        </w:rPr>
        <w:t>ach payment by the Borrower on</w:t>
      </w:r>
      <w:r>
        <w:rPr>
          <w:rFonts w:ascii="Arial" w:cs="Arial" w:eastAsia="Arial" w:hAnsi="Arial"/>
          <w:sz w:val="17"/>
          <w:szCs w:val="17"/>
          <w:color w:val="0000FF"/>
        </w:rPr>
        <w:t xml:space="preserve"> </w:t>
      </w:r>
      <w:r>
        <w:rPr>
          <w:rFonts w:ascii="Arial" w:cs="Arial" w:eastAsia="Arial" w:hAnsi="Arial"/>
          <w:sz w:val="17"/>
          <w:szCs w:val="17"/>
          <w:color w:val="000000"/>
        </w:rPr>
        <w:t xml:space="preserve">account of the principal of or interest on the Loans </w:t>
      </w:r>
      <w:r>
        <w:rPr>
          <w:rFonts w:ascii="Arial" w:cs="Arial" w:eastAsia="Arial" w:hAnsi="Arial"/>
          <w:sz w:val="17"/>
          <w:szCs w:val="17"/>
          <w:color w:val="FF0000"/>
          <w:strike w:val="1"/>
        </w:rPr>
        <w:t>denominated in Dollars or</w:t>
      </w:r>
      <w:r>
        <w:rPr>
          <w:rFonts w:ascii="Arial" w:cs="Arial" w:eastAsia="Arial" w:hAnsi="Arial"/>
          <w:sz w:val="17"/>
          <w:szCs w:val="17"/>
          <w:u w:val="single" w:color="auto"/>
          <w:color w:val="0000FF"/>
        </w:rPr>
        <w:t>or of</w:t>
      </w:r>
      <w:r>
        <w:rPr>
          <w:rFonts w:ascii="Arial" w:cs="Arial" w:eastAsia="Arial" w:hAnsi="Arial"/>
          <w:sz w:val="17"/>
          <w:szCs w:val="17"/>
          <w:color w:val="000000"/>
        </w:rPr>
        <w:t xml:space="preserve"> any fee, commission or other amounts (including the Reimbursement Obligation) </w:t>
      </w:r>
      <w:r>
        <w:rPr>
          <w:rFonts w:ascii="Arial" w:cs="Arial" w:eastAsia="Arial" w:hAnsi="Arial"/>
          <w:sz w:val="17"/>
          <w:szCs w:val="17"/>
          <w:color w:val="FF0000"/>
          <w:strike w:val="1"/>
        </w:rPr>
        <w:t>denominated in Dollars</w:t>
      </w:r>
      <w:r>
        <w:rPr>
          <w:rFonts w:ascii="Arial" w:cs="Arial" w:eastAsia="Arial" w:hAnsi="Arial"/>
          <w:sz w:val="17"/>
          <w:szCs w:val="17"/>
          <w:color w:val="000000"/>
        </w:rPr>
        <w:t xml:space="preserve"> payable to the Lenders under this Agreement shall be made not later than 1:00 p.m. on the date specified for payment under this Agreement to the Administrative Agent at the Administrative Agent’s Office for the account of the Lenders entitled to such payment in Dollars, in Same Day Funds and shall be made without any set</w:t>
      </w:r>
      <w:r>
        <w:rPr>
          <w:rFonts w:ascii="Arial" w:cs="Arial" w:eastAsia="Arial" w:hAnsi="Arial"/>
          <w:sz w:val="17"/>
          <w:szCs w:val="17"/>
          <w:color w:val="FF0000"/>
          <w:strike w:val="1"/>
        </w:rPr>
        <w:t>-</w:t>
      </w:r>
      <w:r>
        <w:rPr>
          <w:rFonts w:ascii="Arial" w:cs="Arial" w:eastAsia="Arial" w:hAnsi="Arial"/>
          <w:sz w:val="17"/>
          <w:szCs w:val="17"/>
          <w:color w:val="000000"/>
        </w:rPr>
        <w:t xml:space="preserve">off, counterclaim or deduction whatsoever. </w:t>
      </w:r>
      <w:r>
        <w:rPr>
          <w:rFonts w:ascii="Arial" w:cs="Arial" w:eastAsia="Arial" w:hAnsi="Arial"/>
          <w:sz w:val="17"/>
          <w:szCs w:val="17"/>
          <w:color w:val="FF0000"/>
          <w:strike w:val="1"/>
        </w:rPr>
        <w:t>Any</w:t>
      </w:r>
      <w:r>
        <w:rPr>
          <w:rFonts w:ascii="Arial" w:cs="Arial" w:eastAsia="Arial" w:hAnsi="Arial"/>
          <w:sz w:val="17"/>
          <w:szCs w:val="17"/>
          <w:color w:val="000000"/>
        </w:rPr>
        <w:t xml:space="preserve"> </w:t>
      </w:r>
      <w:r>
        <w:rPr>
          <w:rFonts w:ascii="Arial" w:cs="Arial" w:eastAsia="Arial" w:hAnsi="Arial"/>
          <w:sz w:val="17"/>
          <w:szCs w:val="17"/>
          <w:color w:val="FF0000"/>
          <w:strike w:val="1"/>
        </w:rPr>
        <w:t>payment received after such time but before 2:00 p.m. on such day shall be deemed a payment on such date for the purposes of Section 10.1, but for all other purposes shall be deemed to have been made on the next succeeding Business Day. Any payment received after 2:00 p.m. shall be deemed to have been made on the next succeeding Business Day for all purposes.</w:t>
      </w:r>
    </w:p>
    <w:p>
      <w:pPr>
        <w:spacing w:after="0" w:line="72" w:lineRule="exact"/>
        <w:rPr>
          <w:rFonts w:ascii="Arial" w:cs="Arial" w:eastAsia="Arial" w:hAnsi="Arial"/>
          <w:sz w:val="17"/>
          <w:szCs w:val="17"/>
          <w:color w:val="auto"/>
        </w:rPr>
      </w:pPr>
    </w:p>
    <w:p>
      <w:pPr>
        <w:ind w:left="4" w:right="60" w:firstLine="419"/>
        <w:spacing w:after="0" w:line="254" w:lineRule="auto"/>
        <w:tabs>
          <w:tab w:leader="none" w:pos="692"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0000FF"/>
        </w:rPr>
        <w:t>Except as otherwise expressly provided herein, with respect to principal of and interest on Loans denominated in an Alternative Currency or any amounts payable in an Alternative Currency or an Alternative L/C Currency,</w:t>
      </w:r>
      <w:r>
        <w:rPr>
          <w:rFonts w:ascii="Arial" w:cs="Arial" w:eastAsia="Arial" w:hAnsi="Arial"/>
          <w:sz w:val="18"/>
          <w:szCs w:val="18"/>
          <w:color w:val="0000FF"/>
        </w:rPr>
        <w:t xml:space="preserve"> </w:t>
      </w:r>
      <w:r>
        <w:rPr>
          <w:rFonts w:ascii="Arial" w:cs="Arial" w:eastAsia="Arial" w:hAnsi="Arial"/>
          <w:sz w:val="18"/>
          <w:szCs w:val="18"/>
          <w:color w:val="FF0000"/>
        </w:rPr>
        <w:t>E</w:t>
      </w:r>
      <w:r>
        <w:rPr>
          <w:rFonts w:ascii="Arial" w:cs="Arial" w:eastAsia="Arial" w:hAnsi="Arial"/>
          <w:sz w:val="18"/>
          <w:szCs w:val="18"/>
          <w:u w:val="single" w:color="auto"/>
          <w:color w:val="0000FF"/>
        </w:rPr>
        <w:t>e</w:t>
      </w:r>
      <w:r>
        <w:rPr>
          <w:rFonts w:ascii="Arial" w:cs="Arial" w:eastAsia="Arial" w:hAnsi="Arial"/>
          <w:sz w:val="18"/>
          <w:szCs w:val="18"/>
          <w:color w:val="000000"/>
        </w:rPr>
        <w:t>ach payment by the Borrower on account of the</w:t>
      </w:r>
      <w:r>
        <w:rPr>
          <w:rFonts w:ascii="Arial" w:cs="Arial" w:eastAsia="Arial" w:hAnsi="Arial"/>
          <w:sz w:val="18"/>
          <w:szCs w:val="18"/>
          <w:color w:val="0000FF"/>
        </w:rPr>
        <w:t xml:space="preserve"> </w:t>
      </w:r>
      <w:r>
        <w:rPr>
          <w:rFonts w:ascii="Arial" w:cs="Arial" w:eastAsia="Arial" w:hAnsi="Arial"/>
          <w:sz w:val="18"/>
          <w:szCs w:val="18"/>
          <w:color w:val="000000"/>
        </w:rPr>
        <w:t xml:space="preserve">principal of or interest on the </w:t>
      </w:r>
      <w:r>
        <w:rPr>
          <w:rFonts w:ascii="Arial" w:cs="Arial" w:eastAsia="Arial" w:hAnsi="Arial"/>
          <w:sz w:val="18"/>
          <w:szCs w:val="18"/>
          <w:color w:val="008000"/>
          <w:strike w:val="1"/>
        </w:rPr>
        <w:t>Revolving Credit Loans denominated in</w:t>
      </w:r>
      <w:r>
        <w:rPr>
          <w:rFonts w:ascii="Arial" w:cs="Arial" w:eastAsia="Arial" w:hAnsi="Arial"/>
          <w:sz w:val="18"/>
          <w:szCs w:val="18"/>
          <w:color w:val="000000"/>
        </w:rPr>
        <w:t xml:space="preserve"> </w:t>
      </w:r>
      <w:r>
        <w:rPr>
          <w:rFonts w:ascii="Arial" w:cs="Arial" w:eastAsia="Arial" w:hAnsi="Arial"/>
          <w:sz w:val="18"/>
          <w:szCs w:val="18"/>
          <w:color w:val="FF0000"/>
          <w:strike w:val="1"/>
        </w:rPr>
        <w:t>an Alternative Currency or</w:t>
      </w:r>
      <w:r>
        <w:rPr>
          <w:rFonts w:ascii="Arial" w:cs="Arial" w:eastAsia="Arial" w:hAnsi="Arial"/>
          <w:sz w:val="18"/>
          <w:szCs w:val="18"/>
          <w:u w:val="single" w:color="auto"/>
          <w:color w:val="0000FF"/>
        </w:rPr>
        <w:t>Loans or of</w:t>
      </w:r>
      <w:r>
        <w:rPr>
          <w:rFonts w:ascii="Arial" w:cs="Arial" w:eastAsia="Arial" w:hAnsi="Arial"/>
          <w:sz w:val="18"/>
          <w:szCs w:val="18"/>
          <w:color w:val="000000"/>
        </w:rPr>
        <w:t xml:space="preserve"> any fee, commission or other amounts (including the Reimbursement Obligation) </w:t>
      </w:r>
      <w:r>
        <w:rPr>
          <w:rFonts w:ascii="Arial" w:cs="Arial" w:eastAsia="Arial" w:hAnsi="Arial"/>
          <w:sz w:val="18"/>
          <w:szCs w:val="18"/>
          <w:color w:val="FF0000"/>
          <w:strike w:val="1"/>
        </w:rPr>
        <w:t>denominated</w:t>
      </w:r>
      <w:r>
        <w:rPr>
          <w:rFonts w:ascii="Arial" w:cs="Arial" w:eastAsia="Arial" w:hAnsi="Arial"/>
          <w:sz w:val="18"/>
          <w:szCs w:val="18"/>
          <w:color w:val="000000"/>
        </w:rPr>
        <w:t xml:space="preserve"> </w:t>
      </w:r>
      <w:r>
        <w:rPr>
          <w:rFonts w:ascii="Arial" w:cs="Arial" w:eastAsia="Arial" w:hAnsi="Arial"/>
          <w:sz w:val="18"/>
          <w:szCs w:val="18"/>
          <w:color w:val="008000"/>
          <w:strike w:val="1"/>
        </w:rPr>
        <w:t>in an Alternative Currency or an Alternative L/C Currency</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payable to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Lenders under this Agreement</w:t>
      </w:r>
      <w:r>
        <w:rPr>
          <w:rFonts w:ascii="Arial" w:cs="Arial" w:eastAsia="Arial" w:hAnsi="Arial"/>
          <w:sz w:val="18"/>
          <w:szCs w:val="18"/>
          <w:color w:val="0000FF"/>
        </w:rPr>
        <w:t xml:space="preserve"> </w:t>
      </w:r>
      <w:r>
        <w:rPr>
          <w:rFonts w:ascii="Arial" w:cs="Arial" w:eastAsia="Arial" w:hAnsi="Arial"/>
          <w:sz w:val="18"/>
          <w:szCs w:val="18"/>
          <w:color w:val="000000"/>
        </w:rPr>
        <w:t>shall be made not later than the Applicable Time specified by the Administrative Agent on the date specified for</w:t>
      </w:r>
      <w:r>
        <w:rPr>
          <w:rFonts w:ascii="Arial" w:cs="Arial" w:eastAsia="Arial" w:hAnsi="Arial"/>
          <w:sz w:val="18"/>
          <w:szCs w:val="18"/>
          <w:color w:val="0000FF"/>
        </w:rPr>
        <w:t xml:space="preserve"> </w:t>
      </w:r>
      <w:r>
        <w:rPr>
          <w:rFonts w:ascii="Arial" w:cs="Arial" w:eastAsia="Arial" w:hAnsi="Arial"/>
          <w:sz w:val="18"/>
          <w:szCs w:val="18"/>
          <w:color w:val="000000"/>
        </w:rPr>
        <w:t xml:space="preserve">payment under this Agreement to the Administrative Agent at the applicable Administrative Agent’s Office for the account of the Lenders entitled to such payment in such Alternative Currency </w:t>
      </w:r>
      <w:r>
        <w:rPr>
          <w:rFonts w:ascii="Arial" w:cs="Arial" w:eastAsia="Arial" w:hAnsi="Arial"/>
          <w:sz w:val="18"/>
          <w:szCs w:val="18"/>
          <w:color w:val="FF0000"/>
        </w:rPr>
        <w:t>or Alternative L/C Currency</w:t>
      </w:r>
      <w:r>
        <w:rPr>
          <w:rFonts w:ascii="Arial" w:cs="Arial" w:eastAsia="Arial" w:hAnsi="Arial"/>
          <w:sz w:val="18"/>
          <w:szCs w:val="18"/>
          <w:color w:val="000000"/>
        </w:rPr>
        <w:t>, in Same Day Funds and shall be made without any set</w:t>
      </w:r>
      <w:r>
        <w:rPr>
          <w:rFonts w:ascii="Arial" w:cs="Arial" w:eastAsia="Arial" w:hAnsi="Arial"/>
          <w:sz w:val="18"/>
          <w:szCs w:val="18"/>
          <w:color w:val="FF0000"/>
          <w:strike w:val="1"/>
        </w:rPr>
        <w:t>-</w:t>
      </w:r>
      <w:r>
        <w:rPr>
          <w:rFonts w:ascii="Arial" w:cs="Arial" w:eastAsia="Arial" w:hAnsi="Arial"/>
          <w:sz w:val="18"/>
          <w:szCs w:val="18"/>
          <w:color w:val="000000"/>
        </w:rPr>
        <w:t>off, counterclaim or deduction whatsoever.</w:t>
      </w:r>
    </w:p>
    <w:p>
      <w:pPr>
        <w:spacing w:after="0" w:line="83" w:lineRule="exact"/>
        <w:rPr>
          <w:rFonts w:ascii="Arial" w:cs="Arial" w:eastAsia="Arial" w:hAnsi="Arial"/>
          <w:sz w:val="18"/>
          <w:szCs w:val="18"/>
          <w:color w:val="auto"/>
        </w:rPr>
      </w:pPr>
    </w:p>
    <w:p>
      <w:pPr>
        <w:ind w:left="4" w:right="80" w:firstLine="419"/>
        <w:spacing w:after="0" w:line="255" w:lineRule="auto"/>
        <w:tabs>
          <w:tab w:leader="none" w:pos="732" w:val="left"/>
        </w:tabs>
        <w:numPr>
          <w:ilvl w:val="1"/>
          <w:numId w:val="113"/>
        </w:numPr>
        <w:rPr>
          <w:rFonts w:ascii="Arial" w:cs="Arial" w:eastAsia="Arial" w:hAnsi="Arial"/>
          <w:sz w:val="18"/>
          <w:szCs w:val="18"/>
          <w:u w:val="single" w:color="auto"/>
          <w:color w:val="0000FF"/>
        </w:rPr>
      </w:pPr>
      <w:r>
        <w:rPr>
          <w:rFonts w:ascii="Arial" w:cs="Arial" w:eastAsia="Arial" w:hAnsi="Arial"/>
          <w:sz w:val="18"/>
          <w:szCs w:val="18"/>
          <w:color w:val="auto"/>
        </w:rPr>
        <w:t xml:space="preserve">Any payment received after such time but before </w:t>
      </w:r>
      <w:r>
        <w:rPr>
          <w:rFonts w:ascii="Arial" w:cs="Arial" w:eastAsia="Arial" w:hAnsi="Arial"/>
          <w:sz w:val="18"/>
          <w:szCs w:val="18"/>
          <w:color w:val="FF0000"/>
          <w:strike w:val="1"/>
        </w:rPr>
        <w:t>an hour after</w:t>
      </w:r>
      <w:r>
        <w:rPr>
          <w:rFonts w:ascii="Arial" w:cs="Arial" w:eastAsia="Arial" w:hAnsi="Arial"/>
          <w:sz w:val="18"/>
          <w:szCs w:val="18"/>
          <w:u w:val="single" w:color="auto"/>
          <w:color w:val="0000FF"/>
        </w:rPr>
        <w:t>2:00 p.m. (or, with respect to a payment to be made in an Alternative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Currency or an Alternative L/C Currency,</w:t>
      </w:r>
      <w:r>
        <w:rPr>
          <w:rFonts w:ascii="Arial" w:cs="Arial" w:eastAsia="Arial" w:hAnsi="Arial"/>
          <w:sz w:val="18"/>
          <w:szCs w:val="18"/>
          <w:color w:val="0000FF"/>
        </w:rPr>
        <w:t xml:space="preserve"> </w:t>
      </w:r>
      <w:r>
        <w:rPr>
          <w:rFonts w:ascii="Arial" w:cs="Arial" w:eastAsia="Arial" w:hAnsi="Arial"/>
          <w:sz w:val="18"/>
          <w:szCs w:val="18"/>
          <w:color w:val="000000"/>
        </w:rPr>
        <w:t>the Applicable Time specified by the Administrative Agent</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color w:val="000000"/>
        </w:rPr>
        <w:t>on such day shall be deemed a payment on</w:t>
      </w:r>
      <w:r>
        <w:rPr>
          <w:rFonts w:ascii="Arial" w:cs="Arial" w:eastAsia="Arial" w:hAnsi="Arial"/>
          <w:sz w:val="18"/>
          <w:szCs w:val="18"/>
          <w:color w:val="0000FF"/>
        </w:rPr>
        <w:t xml:space="preserve"> </w:t>
      </w:r>
      <w:r>
        <w:rPr>
          <w:rFonts w:ascii="Arial" w:cs="Arial" w:eastAsia="Arial" w:hAnsi="Arial"/>
          <w:sz w:val="18"/>
          <w:szCs w:val="18"/>
          <w:color w:val="000000"/>
        </w:rPr>
        <w:t xml:space="preserve">such date for the purposes of </w:t>
      </w:r>
      <w:r>
        <w:rPr>
          <w:rFonts w:ascii="Arial" w:cs="Arial" w:eastAsia="Arial" w:hAnsi="Arial"/>
          <w:sz w:val="18"/>
          <w:szCs w:val="18"/>
          <w:u w:val="single" w:color="auto"/>
          <w:color w:val="0000FF"/>
        </w:rPr>
        <w:t>Section 10.1</w:t>
      </w:r>
      <w:r>
        <w:rPr>
          <w:rFonts w:ascii="Arial" w:cs="Arial" w:eastAsia="Arial" w:hAnsi="Arial"/>
          <w:sz w:val="18"/>
          <w:szCs w:val="18"/>
          <w:color w:val="000000"/>
        </w:rPr>
        <w:t xml:space="preserve">, but for all other purposes shall be deemed to have been made on the next succeeding Business Day. Any payment received after </w:t>
      </w:r>
      <w:r>
        <w:rPr>
          <w:rFonts w:ascii="Arial" w:cs="Arial" w:eastAsia="Arial" w:hAnsi="Arial"/>
          <w:sz w:val="18"/>
          <w:szCs w:val="18"/>
          <w:color w:val="FF0000"/>
          <w:strike w:val="1"/>
        </w:rPr>
        <w:t>an hour after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2:00 p.m. (or, with respect to a payment to be made</w:t>
      </w:r>
      <w:r>
        <w:rPr>
          <w:rFonts w:ascii="Arial" w:cs="Arial" w:eastAsia="Arial" w:hAnsi="Arial"/>
          <w:sz w:val="18"/>
          <w:szCs w:val="18"/>
          <w:color w:val="000000"/>
        </w:rPr>
        <w:t xml:space="preserve"> </w:t>
      </w:r>
      <w:r>
        <w:rPr>
          <w:rFonts w:ascii="Arial" w:cs="Arial" w:eastAsia="Arial" w:hAnsi="Arial"/>
          <w:sz w:val="18"/>
          <w:szCs w:val="18"/>
          <w:color w:val="008000"/>
        </w:rPr>
        <w:t>in an Alternative Currency or an Alternative L/C</w:t>
      </w:r>
      <w:r>
        <w:rPr>
          <w:rFonts w:ascii="Arial" w:cs="Arial" w:eastAsia="Arial" w:hAnsi="Arial"/>
          <w:sz w:val="18"/>
          <w:szCs w:val="18"/>
          <w:color w:val="000000"/>
        </w:rPr>
        <w:t xml:space="preserve"> </w:t>
      </w:r>
      <w:r>
        <w:rPr>
          <w:rFonts w:ascii="Arial" w:cs="Arial" w:eastAsia="Arial" w:hAnsi="Arial"/>
          <w:sz w:val="18"/>
          <w:szCs w:val="18"/>
          <w:u w:val="single" w:color="auto"/>
          <w:color w:val="008000"/>
        </w:rPr>
        <w:t>Currency</w:t>
      </w:r>
      <w:r>
        <w:rPr>
          <w:rFonts w:ascii="Arial" w:cs="Arial" w:eastAsia="Arial" w:hAnsi="Arial"/>
          <w:sz w:val="18"/>
          <w:szCs w:val="18"/>
          <w:u w:val="single" w:color="auto"/>
          <w:color w:val="0000FF"/>
        </w:rPr>
        <w:t>,</w:t>
      </w:r>
      <w:r>
        <w:rPr>
          <w:rFonts w:ascii="Arial" w:cs="Arial" w:eastAsia="Arial" w:hAnsi="Arial"/>
          <w:sz w:val="18"/>
          <w:szCs w:val="18"/>
          <w:color w:val="008000"/>
        </w:rPr>
        <w:t xml:space="preserve"> </w:t>
      </w:r>
      <w:r>
        <w:rPr>
          <w:rFonts w:ascii="Arial" w:cs="Arial" w:eastAsia="Arial" w:hAnsi="Arial"/>
          <w:sz w:val="18"/>
          <w:szCs w:val="18"/>
          <w:color w:val="000000"/>
        </w:rPr>
        <w:t>the Applicable Time specified by the Administrative Agent</w:t>
      </w:r>
      <w:r>
        <w:rPr>
          <w:rFonts w:ascii="Arial" w:cs="Arial" w:eastAsia="Arial" w:hAnsi="Arial"/>
          <w:sz w:val="18"/>
          <w:szCs w:val="18"/>
          <w:u w:val="single" w:color="auto"/>
          <w:color w:val="0000FF"/>
        </w:rPr>
        <w:t>)</w:t>
      </w:r>
      <w:r>
        <w:rPr>
          <w:rFonts w:ascii="Arial" w:cs="Arial" w:eastAsia="Arial" w:hAnsi="Arial"/>
          <w:sz w:val="18"/>
          <w:szCs w:val="18"/>
          <w:color w:val="008000"/>
        </w:rPr>
        <w:t xml:space="preserve"> </w:t>
      </w:r>
      <w:r>
        <w:rPr>
          <w:rFonts w:ascii="Arial" w:cs="Arial" w:eastAsia="Arial" w:hAnsi="Arial"/>
          <w:sz w:val="18"/>
          <w:szCs w:val="18"/>
          <w:color w:val="000000"/>
        </w:rPr>
        <w:t>shall be deemed to have been made on the next succeeding Business Day</w:t>
      </w:r>
      <w:r>
        <w:rPr>
          <w:rFonts w:ascii="Arial" w:cs="Arial" w:eastAsia="Arial" w:hAnsi="Arial"/>
          <w:sz w:val="18"/>
          <w:szCs w:val="18"/>
          <w:color w:val="008000"/>
        </w:rPr>
        <w:t xml:space="preserve"> </w:t>
      </w:r>
      <w:r>
        <w:rPr>
          <w:rFonts w:ascii="Arial" w:cs="Arial" w:eastAsia="Arial" w:hAnsi="Arial"/>
          <w:sz w:val="18"/>
          <w:szCs w:val="18"/>
          <w:color w:val="000000"/>
        </w:rPr>
        <w:t>for all purposes.</w:t>
      </w:r>
    </w:p>
    <w:p>
      <w:pPr>
        <w:spacing w:after="0" w:line="84" w:lineRule="exact"/>
        <w:rPr>
          <w:rFonts w:ascii="Arial" w:cs="Arial" w:eastAsia="Arial" w:hAnsi="Arial"/>
          <w:sz w:val="18"/>
          <w:szCs w:val="18"/>
          <w:u w:val="single" w:color="auto"/>
          <w:color w:val="0000FF"/>
        </w:rPr>
      </w:pPr>
    </w:p>
    <w:p>
      <w:pPr>
        <w:ind w:left="4" w:firstLine="419"/>
        <w:spacing w:after="0" w:line="259" w:lineRule="auto"/>
        <w:tabs>
          <w:tab w:leader="none" w:pos="731" w:val="left"/>
        </w:tabs>
        <w:numPr>
          <w:ilvl w:val="1"/>
          <w:numId w:val="113"/>
        </w:numPr>
        <w:rPr>
          <w:rFonts w:ascii="Arial" w:cs="Arial" w:eastAsia="Arial" w:hAnsi="Arial"/>
          <w:sz w:val="18"/>
          <w:szCs w:val="18"/>
          <w:u w:val="single" w:color="auto"/>
          <w:color w:val="0000FF"/>
        </w:rPr>
      </w:pPr>
      <w:r>
        <w:rPr>
          <w:rFonts w:ascii="Arial" w:cs="Arial" w:eastAsia="Arial" w:hAnsi="Arial"/>
          <w:sz w:val="18"/>
          <w:szCs w:val="18"/>
          <w:color w:val="FF0000"/>
          <w:strike w:val="1"/>
        </w:rPr>
        <w:t>(iii)</w:t>
      </w:r>
      <w:r>
        <w:rPr>
          <w:rFonts w:ascii="Arial" w:cs="Arial" w:eastAsia="Arial" w:hAnsi="Arial"/>
          <w:sz w:val="18"/>
          <w:szCs w:val="18"/>
          <w:color w:val="FF0000"/>
        </w:rPr>
        <w:t xml:space="preserve"> </w:t>
      </w:r>
      <w:r>
        <w:rPr>
          <w:rFonts w:ascii="Arial" w:cs="Arial" w:eastAsia="Arial" w:hAnsi="Arial"/>
          <w:sz w:val="18"/>
          <w:szCs w:val="18"/>
          <w:color w:val="000000"/>
        </w:rPr>
        <w:t>Without limiting the generality of the foregoing, the Administrative Agent may require that any payments due under this Agreement</w:t>
      </w:r>
      <w:r>
        <w:rPr>
          <w:rFonts w:ascii="Arial" w:cs="Arial" w:eastAsia="Arial" w:hAnsi="Arial"/>
          <w:sz w:val="18"/>
          <w:szCs w:val="18"/>
          <w:color w:val="FF0000"/>
        </w:rPr>
        <w:t xml:space="preserve"> </w:t>
      </w:r>
      <w:r>
        <w:rPr>
          <w:rFonts w:ascii="Arial" w:cs="Arial" w:eastAsia="Arial" w:hAnsi="Arial"/>
          <w:sz w:val="18"/>
          <w:szCs w:val="18"/>
          <w:color w:val="000000"/>
        </w:rPr>
        <w:t>be made in the United States. If, for any reason, the Borrower is prohibited by any Applicable Law from making any required payment hereunder in an Alternative Currency or an Alternative L/C Currency, the Borrower shall make such payment in Dollars in the Dollar Equivalent of the Alternative Currency or the Alternative L/C Currency payment amount.</w:t>
      </w:r>
    </w:p>
    <w:p>
      <w:pPr>
        <w:spacing w:after="0" w:line="78" w:lineRule="exact"/>
        <w:rPr>
          <w:rFonts w:ascii="Arial" w:cs="Arial" w:eastAsia="Arial" w:hAnsi="Arial"/>
          <w:sz w:val="18"/>
          <w:szCs w:val="18"/>
          <w:u w:val="single" w:color="auto"/>
          <w:color w:val="0000FF"/>
        </w:rPr>
      </w:pPr>
    </w:p>
    <w:p>
      <w:pPr>
        <w:jc w:val="both"/>
        <w:ind w:left="4" w:firstLine="419"/>
        <w:spacing w:after="0" w:line="259" w:lineRule="auto"/>
        <w:tabs>
          <w:tab w:leader="none" w:pos="681" w:val="left"/>
        </w:tabs>
        <w:numPr>
          <w:ilvl w:val="1"/>
          <w:numId w:val="113"/>
        </w:numPr>
        <w:rPr>
          <w:rFonts w:ascii="Arial" w:cs="Arial" w:eastAsia="Arial" w:hAnsi="Arial"/>
          <w:sz w:val="18"/>
          <w:szCs w:val="18"/>
          <w:u w:val="single" w:color="auto"/>
          <w:color w:val="0000FF"/>
        </w:rPr>
      </w:pPr>
      <w:r>
        <w:rPr>
          <w:rFonts w:ascii="Arial" w:cs="Arial" w:eastAsia="Arial" w:hAnsi="Arial"/>
          <w:sz w:val="18"/>
          <w:szCs w:val="18"/>
          <w:color w:val="FF0000"/>
          <w:strike w:val="1"/>
        </w:rPr>
        <w:t>(iv)</w:t>
      </w:r>
      <w:r>
        <w:rPr>
          <w:rFonts w:ascii="Arial" w:cs="Arial" w:eastAsia="Arial" w:hAnsi="Arial"/>
          <w:sz w:val="18"/>
          <w:szCs w:val="18"/>
          <w:color w:val="FF0000"/>
        </w:rPr>
        <w:t xml:space="preserve"> </w:t>
      </w:r>
      <w:r>
        <w:rPr>
          <w:rFonts w:ascii="Arial" w:cs="Arial" w:eastAsia="Arial" w:hAnsi="Arial"/>
          <w:sz w:val="18"/>
          <w:szCs w:val="18"/>
          <w:color w:val="000000"/>
        </w:rPr>
        <w:t>Upon receipt by the Administrative Agent of each such payment, the Administrative Agent shall distribute to each such Lender</w:t>
      </w:r>
      <w:r>
        <w:rPr>
          <w:rFonts w:ascii="Arial" w:cs="Arial" w:eastAsia="Arial" w:hAnsi="Arial"/>
          <w:sz w:val="18"/>
          <w:szCs w:val="18"/>
          <w:color w:val="FF0000"/>
        </w:rPr>
        <w:t xml:space="preserve"> </w:t>
      </w:r>
      <w:r>
        <w:rPr>
          <w:rFonts w:ascii="Arial" w:cs="Arial" w:eastAsia="Arial" w:hAnsi="Arial"/>
          <w:sz w:val="18"/>
          <w:szCs w:val="18"/>
          <w:color w:val="FF0000"/>
          <w:strike w:val="1"/>
        </w:rPr>
        <w:t>in the</w:t>
      </w:r>
      <w:r>
        <w:rPr>
          <w:rFonts w:ascii="Arial" w:cs="Arial" w:eastAsia="Arial" w:hAnsi="Arial"/>
          <w:sz w:val="18"/>
          <w:szCs w:val="18"/>
          <w:color w:val="FF0000"/>
        </w:rPr>
        <w:t xml:space="preserve"> </w:t>
      </w:r>
      <w:r>
        <w:rPr>
          <w:rFonts w:ascii="Arial" w:cs="Arial" w:eastAsia="Arial" w:hAnsi="Arial"/>
          <w:sz w:val="18"/>
          <w:szCs w:val="18"/>
          <w:color w:val="FF0000"/>
          <w:strike w:val="1"/>
        </w:rPr>
        <w:t>applicable Class</w:t>
      </w:r>
      <w:r>
        <w:rPr>
          <w:rFonts w:ascii="Arial" w:cs="Arial" w:eastAsia="Arial" w:hAnsi="Arial"/>
          <w:sz w:val="18"/>
          <w:szCs w:val="18"/>
          <w:color w:val="FF0000"/>
        </w:rPr>
        <w:t xml:space="preserve"> </w:t>
      </w:r>
      <w:r>
        <w:rPr>
          <w:rFonts w:ascii="Arial" w:cs="Arial" w:eastAsia="Arial" w:hAnsi="Arial"/>
          <w:sz w:val="18"/>
          <w:szCs w:val="18"/>
          <w:color w:val="000000"/>
        </w:rPr>
        <w:t>at its address for notices set forth herein its</w:t>
      </w:r>
      <w:r>
        <w:rPr>
          <w:rFonts w:ascii="Arial" w:cs="Arial" w:eastAsia="Arial" w:hAnsi="Arial"/>
          <w:sz w:val="18"/>
          <w:szCs w:val="18"/>
          <w:color w:val="FF0000"/>
        </w:rPr>
        <w:t xml:space="preserve"> </w:t>
      </w:r>
      <w:r>
        <w:rPr>
          <w:rFonts w:ascii="Arial" w:cs="Arial" w:eastAsia="Arial" w:hAnsi="Arial"/>
          <w:sz w:val="18"/>
          <w:szCs w:val="18"/>
          <w:color w:val="FF0000"/>
          <w:strike w:val="1"/>
        </w:rPr>
        <w:t>applicable</w:t>
      </w:r>
      <w:r>
        <w:rPr>
          <w:rFonts w:ascii="Arial" w:cs="Arial" w:eastAsia="Arial" w:hAnsi="Arial"/>
          <w:sz w:val="18"/>
          <w:szCs w:val="18"/>
          <w:color w:val="FF0000"/>
        </w:rPr>
        <w:t xml:space="preserve"> </w:t>
      </w:r>
      <w:r>
        <w:rPr>
          <w:rFonts w:ascii="Arial" w:cs="Arial" w:eastAsia="Arial" w:hAnsi="Arial"/>
          <w:sz w:val="18"/>
          <w:szCs w:val="18"/>
          <w:color w:val="000000"/>
        </w:rPr>
        <w:t>Commitment Percentage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in respect of the relevant Credit Facility</w:t>
      </w:r>
      <w:r>
        <w:rPr>
          <w:rFonts w:ascii="Arial" w:cs="Arial" w:eastAsia="Arial" w:hAnsi="Arial"/>
          <w:sz w:val="18"/>
          <w:szCs w:val="18"/>
          <w:color w:val="FF0000"/>
        </w:rPr>
        <w:t xml:space="preserve"> </w:t>
      </w:r>
      <w:r>
        <w:rPr>
          <w:rFonts w:ascii="Arial" w:cs="Arial" w:eastAsia="Arial" w:hAnsi="Arial"/>
          <w:sz w:val="18"/>
          <w:szCs w:val="18"/>
          <w:color w:val="000000"/>
        </w:rPr>
        <w:t>(or other</w:t>
      </w:r>
      <w:r>
        <w:rPr>
          <w:rFonts w:ascii="Arial" w:cs="Arial" w:eastAsia="Arial" w:hAnsi="Arial"/>
          <w:sz w:val="18"/>
          <w:szCs w:val="18"/>
          <w:color w:val="FF0000"/>
        </w:rPr>
        <w:t xml:space="preserve"> </w:t>
      </w:r>
      <w:r>
        <w:rPr>
          <w:rFonts w:ascii="Arial" w:cs="Arial" w:eastAsia="Arial" w:hAnsi="Arial"/>
          <w:sz w:val="18"/>
          <w:szCs w:val="18"/>
          <w:color w:val="000000"/>
        </w:rPr>
        <w:t>applicable share as provided herein) of such payment and shall wire advice of the amount of such credit to each Lender. Each payment to the Administrative Agent on account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-4338320</wp:posOffset>
            </wp:positionV>
            <wp:extent cx="984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8425" cy="88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-3035300</wp:posOffset>
            </wp:positionV>
            <wp:extent cx="984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842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-2349500</wp:posOffset>
            </wp:positionV>
            <wp:extent cx="13125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1254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-1517650</wp:posOffset>
            </wp:positionV>
            <wp:extent cx="224599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-1543685</wp:posOffset>
            </wp:positionV>
            <wp:extent cx="224663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9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44"/>
          </w:cols>
          <w:pgMar w:left="876" w:top="490" w:right="479" w:bottom="1440" w:gutter="0" w:footer="0" w:header="0"/>
        </w:sectPr>
      </w:pPr>
    </w:p>
    <w:bookmarkStart w:id="124" w:name="page125"/>
    <w:bookmarkEnd w:id="124"/>
    <w:p>
      <w:pPr>
        <w:ind w:left="44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principal of or interest on the Swingline Loans 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shall be paid to the Administrative Agent for the account of the applicable Lender. Subject to the definition</w:t>
      </w:r>
      <w:r>
        <w:rPr>
          <w:rFonts w:ascii="Arial" w:cs="Arial" w:eastAsia="Arial" w:hAnsi="Arial"/>
          <w:sz w:val="16"/>
          <w:szCs w:val="16"/>
          <w:u w:val="single" w:color="auto"/>
          <w:color w:val="0000FF"/>
        </w:rPr>
        <w:t>s</w:t>
      </w:r>
      <w:r>
        <w:rPr>
          <w:rFonts w:ascii="Arial" w:cs="Arial" w:eastAsia="Arial" w:hAnsi="Arial"/>
          <w:sz w:val="16"/>
          <w:szCs w:val="16"/>
          <w:color w:val="auto"/>
        </w:rPr>
        <w:t xml:space="preserve"> of Interest Period </w:t>
      </w:r>
      <w:r>
        <w:rPr>
          <w:rFonts w:ascii="Arial" w:cs="Arial" w:eastAsia="Arial" w:hAnsi="Arial"/>
          <w:sz w:val="16"/>
          <w:szCs w:val="16"/>
          <w:color w:val="0000FF"/>
        </w:rPr>
        <w:t>and Interest Payment Date</w:t>
      </w:r>
      <w:r>
        <w:rPr>
          <w:rFonts w:ascii="Arial" w:cs="Arial" w:eastAsia="Arial" w:hAnsi="Arial"/>
          <w:sz w:val="16"/>
          <w:szCs w:val="16"/>
          <w:color w:val="auto"/>
        </w:rPr>
        <w:t>,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-296545</wp:posOffset>
            </wp:positionV>
            <wp:extent cx="123444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-322580</wp:posOffset>
            </wp:positionV>
            <wp:extent cx="12376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37" w:lineRule="exact"/>
        <w:rPr>
          <w:sz w:val="20"/>
          <w:szCs w:val="20"/>
          <w:color w:val="auto"/>
        </w:rPr>
      </w:pPr>
    </w:p>
    <w:p>
      <w:pPr>
        <w:ind w:right="460" w:firstLine="436"/>
        <w:spacing w:after="0" w:line="277"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the foregoing clause (a), if there exists a Defaulting Lender each payment by the Borrower to such Defaulting Lender hereunder shall be applied in accordance with </w:t>
      </w:r>
      <w:r>
        <w:rPr>
          <w:rFonts w:ascii="Arial" w:cs="Arial" w:eastAsia="Arial" w:hAnsi="Arial"/>
          <w:sz w:val="18"/>
          <w:szCs w:val="18"/>
          <w:u w:val="single" w:color="auto"/>
          <w:color w:val="auto"/>
        </w:rPr>
        <w:t>Section 5.15(a)(ii)</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Evidence of Indebtedness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9" w:lineRule="auto"/>
        <w:tabs>
          <w:tab w:leader="none" w:pos="68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Extensions of Credit</w:t>
      </w:r>
      <w:r>
        <w:rPr>
          <w:rFonts w:ascii="Arial" w:cs="Arial" w:eastAsia="Arial" w:hAnsi="Arial"/>
          <w:sz w:val="17"/>
          <w:szCs w:val="17"/>
          <w:color w:val="auto"/>
        </w:rPr>
        <w:t xml:space="preserve">.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Borrower and its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Revolving Credit Note, a Term Loan Note and/or </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Swingline Note, as applicable, which shall evidence such Lender’s Revolving Credit Loan, Term Loans and/or Swingline Loans, as applicable, to the Borrower in addition to such accounts or records. Each Lender may attach schedules to its Notes and endorse thereon the date, amount, currency and maturity of its Loans and payments with respect thereto.</w:t>
      </w:r>
    </w:p>
    <w:p>
      <w:pPr>
        <w:spacing w:after="0" w:line="70" w:lineRule="exact"/>
        <w:rPr>
          <w:rFonts w:ascii="Arial" w:cs="Arial" w:eastAsia="Arial" w:hAnsi="Arial"/>
          <w:sz w:val="17"/>
          <w:szCs w:val="17"/>
          <w:color w:val="auto"/>
        </w:rPr>
      </w:pPr>
    </w:p>
    <w:p>
      <w:pPr>
        <w:ind w:right="60" w:firstLine="436"/>
        <w:spacing w:after="0" w:line="257"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In addition to the accounts and records referred to in sub</w:t>
      </w:r>
      <w:r>
        <w:rPr>
          <w:rFonts w:ascii="Arial" w:cs="Arial" w:eastAsia="Arial" w:hAnsi="Arial"/>
          <w:sz w:val="18"/>
          <w:szCs w:val="18"/>
          <w:color w:val="FF0000"/>
          <w:strike w:val="1"/>
        </w:rPr>
        <w:t>S</w:t>
      </w:r>
      <w:r>
        <w:rPr>
          <w:rFonts w:ascii="Arial" w:cs="Arial" w:eastAsia="Arial" w:hAnsi="Arial"/>
          <w:sz w:val="18"/>
          <w:szCs w:val="18"/>
          <w:u w:val="single" w:color="auto"/>
          <w:color w:val="0000FF"/>
        </w:rPr>
        <w:t>s</w:t>
      </w:r>
      <w:r>
        <w:rPr>
          <w:rFonts w:ascii="Arial" w:cs="Arial" w:eastAsia="Arial" w:hAnsi="Arial"/>
          <w:sz w:val="18"/>
          <w:szCs w:val="18"/>
          <w:color w:val="auto"/>
        </w:rPr>
        <w:t>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40" w:top="490" w:right="499" w:bottom="1440" w:gutter="0" w:footer="0" w:header="0"/>
        </w:sectPr>
      </w:pPr>
    </w:p>
    <w:bookmarkStart w:id="125" w:name="page126"/>
    <w:bookmarkEnd w:id="125"/>
    <w:p>
      <w:pPr>
        <w:ind w:left="440" w:right="40" w:firstLine="419"/>
        <w:spacing w:after="0" w:line="277" w:lineRule="auto"/>
        <w:tabs>
          <w:tab w:leader="none" w:pos="10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any such participations are purchased and all or any portion of the payment giving rise thereto is recovered, such participations shall be rescinded and the purchase price restored to the extent of such recovery, without interest, and</w:t>
      </w:r>
    </w:p>
    <w:p>
      <w:pPr>
        <w:spacing w:after="0" w:line="62" w:lineRule="exact"/>
        <w:rPr>
          <w:rFonts w:ascii="Arial" w:cs="Arial" w:eastAsia="Arial" w:hAnsi="Arial"/>
          <w:sz w:val="18"/>
          <w:szCs w:val="18"/>
          <w:color w:val="auto"/>
        </w:rPr>
      </w:pPr>
    </w:p>
    <w:p>
      <w:pPr>
        <w:ind w:left="440" w:right="20" w:firstLine="419"/>
        <w:spacing w:after="0" w:line="275" w:lineRule="auto"/>
        <w:tabs>
          <w:tab w:leader="none" w:pos="112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provisions of this paragraph shall not be construed to apply to (A) any payment made by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or (C) any payment obtained by a Lender as consideration for the assignment of or sale of a participation in any of its Loans or participations in Swingline Loans and Letters of Credit to any assignee or participant, other than to the Borrower or any of its Subsidiaries or Affiliates (as to which the provisions of this paragraph shall apply).</w:t>
      </w:r>
    </w:p>
    <w:p>
      <w:pPr>
        <w:spacing w:after="0" w:line="176"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Administrative Agent’s Clawback</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86" w:lineRule="auto"/>
        <w:tabs>
          <w:tab w:leader="none" w:pos="68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w:t>
      </w:r>
      <w:r>
        <w:rPr>
          <w:rFonts w:ascii="Arial" w:cs="Arial" w:eastAsia="Arial" w:hAnsi="Arial"/>
          <w:sz w:val="16"/>
          <w:szCs w:val="16"/>
          <w:color w:val="FF0000"/>
          <w:strike w:val="1"/>
        </w:rPr>
        <w:t>Unless the Administrative Agent shall have received notice from a Lender (i) in</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the case of Base Rate Loans, not later than 12:00 noon on the date of any proposed borrowing and (ii) otherwise, </w:t>
      </w:r>
      <w:r>
        <w:rPr>
          <w:rFonts w:ascii="Arial" w:cs="Arial" w:eastAsia="Arial" w:hAnsi="Arial"/>
          <w:sz w:val="16"/>
          <w:szCs w:val="16"/>
          <w:color w:val="008000"/>
          <w:strike w:val="1"/>
        </w:rPr>
        <w:t>prior to the proposed date of</w:t>
      </w:r>
      <w:r>
        <w:rPr>
          <w:rFonts w:ascii="Arial" w:cs="Arial" w:eastAsia="Arial" w:hAnsi="Arial"/>
          <w:sz w:val="16"/>
          <w:szCs w:val="16"/>
          <w:color w:val="FF0000"/>
          <w:strike w:val="1"/>
        </w:rPr>
        <w:t xml:space="preserve"> any borrowing that such Lender will not make available to the Administrative Agent such Lender’s share of such borrowing</w:t>
      </w:r>
      <w:r>
        <w:rPr>
          <w:rFonts w:ascii="Arial" w:cs="Arial" w:eastAsia="Arial" w:hAnsi="Arial"/>
          <w:sz w:val="16"/>
          <w:szCs w:val="16"/>
          <w:u w:val="single" w:color="auto"/>
          <w:color w:val="0000FF"/>
          <w:strike w:val="1"/>
        </w:rPr>
        <w:t>In connection with any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borrowing hereunder</w:t>
      </w:r>
      <w:r>
        <w:rPr>
          <w:rFonts w:ascii="Arial" w:cs="Arial" w:eastAsia="Arial" w:hAnsi="Arial"/>
          <w:sz w:val="16"/>
          <w:szCs w:val="16"/>
          <w:color w:val="000000"/>
          <w:strike w:val="1"/>
        </w:rPr>
        <w:t>, the Administrative Agent may assume that</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such</w:t>
      </w:r>
      <w:r>
        <w:rPr>
          <w:rFonts w:ascii="Arial" w:cs="Arial" w:eastAsia="Arial" w:hAnsi="Arial"/>
          <w:sz w:val="16"/>
          <w:szCs w:val="16"/>
          <w:u w:val="single" w:color="auto"/>
          <w:color w:val="0000FF"/>
          <w:strike w:val="1"/>
        </w:rPr>
        <w:t>each</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Lender has made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such</w:t>
      </w:r>
      <w:r>
        <w:rPr>
          <w:rFonts w:ascii="Arial" w:cs="Arial" w:eastAsia="Arial" w:hAnsi="Arial"/>
          <w:sz w:val="16"/>
          <w:szCs w:val="16"/>
          <w:u w:val="single" w:color="auto"/>
          <w:color w:val="0000FF"/>
          <w:strike w:val="1"/>
        </w:rPr>
        <w:t>its respective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share</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of such borrowing</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available on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such date in accordance with </w:t>
      </w:r>
      <w:r>
        <w:rPr>
          <w:rFonts w:ascii="Arial" w:cs="Arial" w:eastAsia="Arial" w:hAnsi="Arial"/>
          <w:sz w:val="16"/>
          <w:szCs w:val="16"/>
          <w:u w:val="single" w:color="auto"/>
          <w:color w:val="000000"/>
          <w:strike w:val="1"/>
        </w:rPr>
        <w:t>Sections 2.3(b)</w:t>
      </w:r>
      <w:r>
        <w:rPr>
          <w:rFonts w:ascii="Arial" w:cs="Arial" w:eastAsia="Arial" w:hAnsi="Arial"/>
          <w:sz w:val="16"/>
          <w:szCs w:val="16"/>
          <w:color w:val="000000"/>
          <w:strike w:val="1"/>
        </w:rPr>
        <w:t xml:space="preserve"> and </w:t>
      </w:r>
      <w:r>
        <w:rPr>
          <w:rFonts w:ascii="Arial" w:cs="Arial" w:eastAsia="Arial" w:hAnsi="Arial"/>
          <w:sz w:val="16"/>
          <w:szCs w:val="16"/>
          <w:color w:val="FF0000"/>
          <w:strike w:val="1"/>
        </w:rPr>
        <w:t>5.13 and</w:t>
      </w:r>
      <w:r>
        <w:rPr>
          <w:rFonts w:ascii="Arial" w:cs="Arial" w:eastAsia="Arial" w:hAnsi="Arial"/>
          <w:sz w:val="16"/>
          <w:szCs w:val="16"/>
          <w:color w:val="000000"/>
          <w:strike w:val="1"/>
        </w:rPr>
        <w:t xml:space="preserve">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t>
      </w:r>
      <w:r>
        <w:rPr>
          <w:rFonts w:ascii="Arial" w:cs="Arial" w:eastAsia="Arial" w:hAnsi="Arial"/>
          <w:sz w:val="16"/>
          <w:szCs w:val="16"/>
          <w:u w:val="single" w:color="auto"/>
          <w:color w:val="0000FF"/>
          <w:strike w:val="1"/>
        </w:rPr>
        <w:t>in the</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applicable Currency</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with interest thereon, for each day from and including the date such amount is made available to the Borrower to but excluding the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date of payment to the Administrative Agent, at (A) in the case of a payment to be made by such Lender, the </w:t>
      </w:r>
      <w:r>
        <w:rPr>
          <w:rFonts w:ascii="Arial" w:cs="Arial" w:eastAsia="Arial" w:hAnsi="Arial"/>
          <w:sz w:val="16"/>
          <w:szCs w:val="16"/>
          <w:u w:val="single" w:color="auto"/>
          <w:color w:val="0000FF"/>
          <w:strike w:val="1"/>
        </w:rPr>
        <w:t>applicable</w:t>
      </w:r>
      <w:r>
        <w:rPr>
          <w:rFonts w:ascii="Arial" w:cs="Arial" w:eastAsia="Arial" w:hAnsi="Arial"/>
          <w:sz w:val="16"/>
          <w:szCs w:val="16"/>
          <w:color w:val="000000"/>
          <w:strike w:val="1"/>
        </w:rPr>
        <w:t xml:space="preserve"> Overnight Rate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62" w:lineRule="exact"/>
        <w:rPr>
          <w:rFonts w:ascii="Arial" w:cs="Arial" w:eastAsia="Arial" w:hAnsi="Arial"/>
          <w:sz w:val="16"/>
          <w:szCs w:val="16"/>
          <w:color w:val="auto"/>
        </w:rPr>
      </w:pPr>
    </w:p>
    <w:p>
      <w:pPr>
        <w:ind w:firstLine="436"/>
        <w:spacing w:after="0" w:line="259"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Payments by the Borrower; Presumptions by Administrative Agent</w:t>
      </w:r>
      <w:r>
        <w:rPr>
          <w:rFonts w:ascii="Arial" w:cs="Arial" w:eastAsia="Arial" w:hAnsi="Arial"/>
          <w:sz w:val="18"/>
          <w:szCs w:val="18"/>
          <w:color w:val="auto"/>
        </w:rPr>
        <w:t>. Unless the Administrative Agent shall have received notice from the Borrower prior to the date on which any payment is due to the Administrative Agent for the account of the Lenders, the Issuing Lender</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or the Swingline Lender hereunder that the Borrower will not make such payment, the Administrative Agent may assume that the Borrower has made such payment on such date in accordance herewith and may, in reliance upon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490" w:right="459" w:bottom="1440" w:gutter="0" w:footer="0" w:header="0"/>
        </w:sectPr>
      </w:pPr>
    </w:p>
    <w:bookmarkStart w:id="126" w:name="page127"/>
    <w:bookmarkEnd w:id="126"/>
    <w:p>
      <w:pPr>
        <w:ind w:right="5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such assumption, distribute to the Lenders, the Issuing Lender</w:t>
      </w:r>
      <w:r>
        <w:rPr>
          <w:rFonts w:ascii="Arial" w:cs="Arial" w:eastAsia="Arial" w:hAnsi="Arial"/>
          <w:sz w:val="16"/>
          <w:szCs w:val="16"/>
          <w:u w:val="single" w:color="auto"/>
          <w:color w:val="0000FF"/>
        </w:rPr>
        <w:t>s</w:t>
      </w:r>
      <w:r>
        <w:rPr>
          <w:rFonts w:ascii="Arial" w:cs="Arial" w:eastAsia="Arial" w:hAnsi="Arial"/>
          <w:sz w:val="16"/>
          <w:szCs w:val="16"/>
          <w:color w:val="auto"/>
        </w:rPr>
        <w:t xml:space="preserve"> or the Swingline Lender, as the case may be, the amount due. In such event, if the Borrower has not in fact made such payment, then each of the Lenders, </w:t>
      </w:r>
      <w:r>
        <w:rPr>
          <w:rFonts w:ascii="Arial" w:cs="Arial" w:eastAsia="Arial" w:hAnsi="Arial"/>
          <w:sz w:val="16"/>
          <w:szCs w:val="16"/>
          <w:u w:val="single" w:color="auto"/>
          <w:color w:val="0000FF"/>
        </w:rPr>
        <w:t>each of</w:t>
      </w:r>
      <w:r>
        <w:rPr>
          <w:rFonts w:ascii="Arial" w:cs="Arial" w:eastAsia="Arial" w:hAnsi="Arial"/>
          <w:sz w:val="16"/>
          <w:szCs w:val="16"/>
          <w:color w:val="auto"/>
        </w:rPr>
        <w:t xml:space="preserve"> the Issuing Lender</w:t>
      </w:r>
      <w:r>
        <w:rPr>
          <w:rFonts w:ascii="Arial" w:cs="Arial" w:eastAsia="Arial" w:hAnsi="Arial"/>
          <w:sz w:val="16"/>
          <w:szCs w:val="16"/>
          <w:u w:val="single" w:color="auto"/>
          <w:color w:val="0000FF"/>
        </w:rPr>
        <w:t>s</w:t>
      </w:r>
      <w:r>
        <w:rPr>
          <w:rFonts w:ascii="Arial" w:cs="Arial" w:eastAsia="Arial" w:hAnsi="Arial"/>
          <w:sz w:val="16"/>
          <w:szCs w:val="16"/>
          <w:color w:val="auto"/>
        </w:rPr>
        <w:t xml:space="preserve"> or the Swingline Lender, as the case maybe, severally agrees to repay to the Administrative Agent forthwith on demand the amount so distributed to such Lender, </w:t>
      </w:r>
      <w:r>
        <w:rPr>
          <w:rFonts w:ascii="Arial" w:cs="Arial" w:eastAsia="Arial" w:hAnsi="Arial"/>
          <w:sz w:val="16"/>
          <w:szCs w:val="16"/>
          <w:u w:val="single" w:color="auto"/>
          <w:color w:val="0000FF"/>
        </w:rPr>
        <w:t>such</w:t>
      </w:r>
      <w:r>
        <w:rPr>
          <w:rFonts w:ascii="Arial" w:cs="Arial" w:eastAsia="Arial" w:hAnsi="Arial"/>
          <w:sz w:val="16"/>
          <w:szCs w:val="16"/>
          <w:color w:val="auto"/>
        </w:rPr>
        <w:t xml:space="preserve"> Issuing Lender or the Swingline Lender, in Same Day Funds </w:t>
      </w:r>
      <w:r>
        <w:rPr>
          <w:rFonts w:ascii="Arial" w:cs="Arial" w:eastAsia="Arial" w:hAnsi="Arial"/>
          <w:sz w:val="16"/>
          <w:szCs w:val="16"/>
          <w:u w:val="single" w:color="auto"/>
          <w:color w:val="0000FF"/>
        </w:rPr>
        <w:t>in the applicable Currency</w:t>
      </w:r>
      <w:r>
        <w:rPr>
          <w:rFonts w:ascii="Arial" w:cs="Arial" w:eastAsia="Arial" w:hAnsi="Arial"/>
          <w:sz w:val="16"/>
          <w:szCs w:val="16"/>
          <w:color w:val="auto"/>
        </w:rPr>
        <w:t xml:space="preserve"> with interest thereon, for each day from and including the date such amount is distributed to it to but excluding the date of payment to the Administrative Agent, as the </w:t>
      </w:r>
      <w:r>
        <w:rPr>
          <w:rFonts w:ascii="Arial" w:cs="Arial" w:eastAsia="Arial" w:hAnsi="Arial"/>
          <w:sz w:val="16"/>
          <w:szCs w:val="16"/>
          <w:u w:val="single" w:color="auto"/>
          <w:color w:val="0000FF"/>
        </w:rPr>
        <w:t>applicable</w:t>
      </w:r>
      <w:r>
        <w:rPr>
          <w:rFonts w:ascii="Arial" w:cs="Arial" w:eastAsia="Arial" w:hAnsi="Arial"/>
          <w:sz w:val="16"/>
          <w:szCs w:val="16"/>
          <w:color w:val="auto"/>
        </w:rPr>
        <w:t xml:space="preserve"> Overnight Rate.</w:t>
      </w:r>
    </w:p>
    <w:p>
      <w:pPr>
        <w:spacing w:after="0" w:line="53" w:lineRule="exact"/>
        <w:rPr>
          <w:sz w:val="20"/>
          <w:szCs w:val="20"/>
          <w:color w:val="auto"/>
        </w:rPr>
      </w:pPr>
    </w:p>
    <w:p>
      <w:pPr>
        <w:ind w:firstLine="436"/>
        <w:spacing w:after="0" w:line="273" w:lineRule="auto"/>
        <w:tabs>
          <w:tab w:leader="none" w:pos="685"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Nature of Obligations of Lenders Regarding Extensions of Credit</w:t>
      </w:r>
      <w:r>
        <w:rPr>
          <w:rFonts w:ascii="Arial" w:cs="Arial" w:eastAsia="Arial" w:hAnsi="Arial"/>
          <w:sz w:val="17"/>
          <w:szCs w:val="17"/>
          <w:color w:val="auto"/>
        </w:rPr>
        <w:t xml:space="preserve">. The obligations of the Lenders under this Agreement to make the Loans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to</w:t>
      </w:r>
      <w:r>
        <w:rPr>
          <w:rFonts w:ascii="Arial" w:cs="Arial" w:eastAsia="Arial" w:hAnsi="Arial"/>
          <w:sz w:val="17"/>
          <w:szCs w:val="17"/>
          <w:color w:val="0000FF"/>
        </w:rPr>
        <w:t xml:space="preserve"> </w:t>
      </w:r>
      <w:r>
        <w:rPr>
          <w:rFonts w:ascii="Arial" w:cs="Arial" w:eastAsia="Arial" w:hAnsi="Arial"/>
          <w:sz w:val="17"/>
          <w:szCs w:val="17"/>
          <w:color w:val="000000"/>
        </w:rPr>
        <w:t>issue or participate in Letters of Credit and to make payments under this Section,</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5.11(e)</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Section 11.11,</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12.3(c)</w:t>
      </w:r>
      <w:r>
        <w:rPr>
          <w:rFonts w:ascii="Arial" w:cs="Arial" w:eastAsia="Arial" w:hAnsi="Arial"/>
          <w:sz w:val="17"/>
          <w:szCs w:val="17"/>
          <w:color w:val="0000FF"/>
        </w:rPr>
        <w:t xml:space="preserve"> </w:t>
      </w:r>
      <w:r>
        <w:rPr>
          <w:rFonts w:ascii="Arial" w:cs="Arial" w:eastAsia="Arial" w:hAnsi="Arial"/>
          <w:sz w:val="17"/>
          <w:szCs w:val="17"/>
          <w:color w:val="000000"/>
        </w:rPr>
        <w:t>or</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12.7</w:t>
      </w:r>
      <w:r>
        <w:rPr>
          <w:rFonts w:ascii="Arial" w:cs="Arial" w:eastAsia="Arial" w:hAnsi="Arial"/>
          <w:sz w:val="17"/>
          <w:szCs w:val="17"/>
          <w:color w:val="000000"/>
        </w:rPr>
        <w:t>, as</w:t>
      </w:r>
      <w:r>
        <w:rPr>
          <w:rFonts w:ascii="Arial" w:cs="Arial" w:eastAsia="Arial" w:hAnsi="Arial"/>
          <w:sz w:val="17"/>
          <w:szCs w:val="17"/>
          <w:color w:val="0000FF"/>
        </w:rPr>
        <w:t xml:space="preserve"> </w:t>
      </w:r>
      <w:r>
        <w:rPr>
          <w:rFonts w:ascii="Arial" w:cs="Arial" w:eastAsia="Arial" w:hAnsi="Arial"/>
          <w:sz w:val="17"/>
          <w:szCs w:val="17"/>
          <w:color w:val="000000"/>
        </w:rPr>
        <w:t xml:space="preserve">applicable, are several and are not joint or joint and several. The failure of any Lender to make available its </w:t>
      </w:r>
      <w:r>
        <w:rPr>
          <w:rFonts w:ascii="Arial" w:cs="Arial" w:eastAsia="Arial" w:hAnsi="Arial"/>
          <w:sz w:val="17"/>
          <w:szCs w:val="17"/>
          <w:color w:val="FF0000"/>
          <w:strike w:val="1"/>
        </w:rPr>
        <w:t>Revolving Credit</w:t>
      </w:r>
      <w:r>
        <w:rPr>
          <w:rFonts w:ascii="Arial" w:cs="Arial" w:eastAsia="Arial" w:hAnsi="Arial"/>
          <w:sz w:val="17"/>
          <w:szCs w:val="17"/>
          <w:color w:val="000000"/>
        </w:rPr>
        <w:t xml:space="preserve"> Commitment Percentage of any Loan requested by the Borrower shall not relieve it or any other Lender of its obligation, if any, hereunder to make its </w:t>
      </w:r>
      <w:r>
        <w:rPr>
          <w:rFonts w:ascii="Arial" w:cs="Arial" w:eastAsia="Arial" w:hAnsi="Arial"/>
          <w:sz w:val="17"/>
          <w:szCs w:val="17"/>
          <w:color w:val="FF0000"/>
          <w:strike w:val="1"/>
        </w:rPr>
        <w:t>Revolving Credit</w:t>
      </w:r>
      <w:r>
        <w:rPr>
          <w:rFonts w:ascii="Arial" w:cs="Arial" w:eastAsia="Arial" w:hAnsi="Arial"/>
          <w:sz w:val="17"/>
          <w:szCs w:val="17"/>
          <w:color w:val="000000"/>
        </w:rPr>
        <w:t xml:space="preserve"> Commitment Percentage of such Loan available on the borrowing date, but no Lender shall be responsible for the failure of any other Lender to make its </w:t>
      </w:r>
      <w:r>
        <w:rPr>
          <w:rFonts w:ascii="Arial" w:cs="Arial" w:eastAsia="Arial" w:hAnsi="Arial"/>
          <w:sz w:val="17"/>
          <w:szCs w:val="17"/>
          <w:color w:val="FF0000"/>
          <w:strike w:val="1"/>
        </w:rPr>
        <w:t>Revolving Credit</w:t>
      </w:r>
      <w:r>
        <w:rPr>
          <w:rFonts w:ascii="Arial" w:cs="Arial" w:eastAsia="Arial" w:hAnsi="Arial"/>
          <w:sz w:val="17"/>
          <w:szCs w:val="17"/>
          <w:color w:val="FF0000"/>
        </w:rPr>
        <w:t xml:space="preserve"> </w:t>
      </w:r>
      <w:r>
        <w:rPr>
          <w:rFonts w:ascii="Arial" w:cs="Arial" w:eastAsia="Arial" w:hAnsi="Arial"/>
          <w:sz w:val="17"/>
          <w:szCs w:val="17"/>
          <w:color w:val="000000"/>
        </w:rPr>
        <w:t>Commitment Percentage of such Loan available on the 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6760845</wp:posOffset>
            </wp:positionH>
            <wp:positionV relativeFrom="paragraph">
              <wp:posOffset>-777240</wp:posOffset>
            </wp:positionV>
            <wp:extent cx="1936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Changed Circumstances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84" w:lineRule="auto"/>
        <w:tabs>
          <w:tab w:leader="none" w:pos="68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 xml:space="preserve">Circumstances Affecting Eurocurrency Rates </w:t>
      </w:r>
      <w:r>
        <w:rPr>
          <w:rFonts w:ascii="Arial" w:cs="Arial" w:eastAsia="Arial" w:hAnsi="Arial"/>
          <w:sz w:val="16"/>
          <w:szCs w:val="16"/>
          <w:u w:val="single" w:color="auto"/>
          <w:color w:val="FF0000"/>
          <w:strike w:val="1"/>
        </w:rPr>
        <w:t>Availability</w:t>
      </w:r>
      <w:r>
        <w:rPr>
          <w:rFonts w:ascii="Arial" w:cs="Arial" w:eastAsia="Arial" w:hAnsi="Arial"/>
          <w:sz w:val="16"/>
          <w:szCs w:val="16"/>
          <w:color w:val="FF0000"/>
          <w:strike w:val="1"/>
        </w:rPr>
        <w:t>. Unless and until a Replacement Rate is implemented in accordance with</w:t>
      </w:r>
      <w:r>
        <w:rPr>
          <w:rFonts w:ascii="Arial" w:cs="Arial" w:eastAsia="Arial" w:hAnsi="Arial"/>
          <w:sz w:val="16"/>
          <w:szCs w:val="16"/>
          <w:u w:val="single" w:color="auto"/>
          <w:color w:val="0000FF"/>
        </w:rPr>
        <w:t>and RFRs.</w:t>
      </w:r>
      <w:r>
        <w:rPr>
          <w:rFonts w:ascii="Arial" w:cs="Arial" w:eastAsia="Arial" w:hAnsi="Arial"/>
          <w:sz w:val="16"/>
          <w:szCs w:val="16"/>
          <w:u w:val="single" w:color="auto"/>
          <w:color w:val="auto"/>
        </w:rPr>
        <w:t xml:space="preserve"> </w:t>
      </w:r>
      <w:r>
        <w:rPr>
          <w:rFonts w:ascii="Arial" w:cs="Arial" w:eastAsia="Arial" w:hAnsi="Arial"/>
          <w:sz w:val="16"/>
          <w:szCs w:val="16"/>
          <w:u w:val="single" w:color="auto"/>
          <w:color w:val="0000FF"/>
        </w:rPr>
        <w:t>Subject to</w:t>
      </w:r>
      <w:r>
        <w:rPr>
          <w:rFonts w:ascii="Arial" w:cs="Arial" w:eastAsia="Arial" w:hAnsi="Arial"/>
          <w:sz w:val="16"/>
          <w:szCs w:val="16"/>
          <w:color w:val="0000FF"/>
        </w:rPr>
        <w:t xml:space="preserve"> </w:t>
      </w:r>
      <w:r>
        <w:rPr>
          <w:rFonts w:ascii="Arial" w:cs="Arial" w:eastAsia="Arial" w:hAnsi="Arial"/>
          <w:sz w:val="16"/>
          <w:szCs w:val="16"/>
          <w:color w:val="000000"/>
        </w:rPr>
        <w:t>clause (c) below, in connection with any</w:t>
      </w:r>
      <w:r>
        <w:rPr>
          <w:rFonts w:ascii="Arial" w:cs="Arial" w:eastAsia="Arial" w:hAnsi="Arial"/>
          <w:sz w:val="16"/>
          <w:szCs w:val="16"/>
          <w:color w:val="0000FF"/>
        </w:rPr>
        <w:t xml:space="preserve"> </w:t>
      </w:r>
      <w:r>
        <w:rPr>
          <w:rFonts w:ascii="Arial" w:cs="Arial" w:eastAsia="Arial" w:hAnsi="Arial"/>
          <w:sz w:val="16"/>
          <w:szCs w:val="16"/>
          <w:color w:val="FF0000"/>
          <w:strike w:val="1"/>
        </w:rPr>
        <w:t>request</w:t>
      </w:r>
      <w:r>
        <w:rPr>
          <w:rFonts w:ascii="Arial" w:cs="Arial" w:eastAsia="Arial" w:hAnsi="Arial"/>
          <w:sz w:val="16"/>
          <w:szCs w:val="16"/>
          <w:u w:val="single" w:color="auto"/>
          <w:color w:val="0000FF"/>
        </w:rPr>
        <w:t>RFR Loan</w:t>
      </w:r>
      <w:r>
        <w:rPr>
          <w:rFonts w:ascii="Arial" w:cs="Arial" w:eastAsia="Arial" w:hAnsi="Arial"/>
          <w:sz w:val="16"/>
          <w:szCs w:val="16"/>
          <w:color w:val="0000FF"/>
        </w:rPr>
        <w:t xml:space="preserve"> </w:t>
      </w:r>
      <w:r>
        <w:rPr>
          <w:rFonts w:ascii="Arial" w:cs="Arial" w:eastAsia="Arial" w:hAnsi="Arial"/>
          <w:sz w:val="16"/>
          <w:szCs w:val="16"/>
          <w:color w:val="FF0000"/>
        </w:rPr>
        <w:t>f</w:t>
      </w:r>
      <w:r>
        <w:rPr>
          <w:rFonts w:ascii="Arial" w:cs="Arial" w:eastAsia="Arial" w:hAnsi="Arial"/>
          <w:sz w:val="16"/>
          <w:szCs w:val="16"/>
          <w:color w:val="000000"/>
        </w:rPr>
        <w:t>or</w:t>
      </w:r>
      <w:r>
        <w:rPr>
          <w:rFonts w:ascii="Arial" w:cs="Arial" w:eastAsia="Arial" w:hAnsi="Arial"/>
          <w:sz w:val="16"/>
          <w:szCs w:val="16"/>
          <w:color w:val="0000FF"/>
        </w:rPr>
        <w:t xml:space="preserve"> </w:t>
      </w:r>
      <w:r>
        <w:rPr>
          <w:rFonts w:ascii="Arial" w:cs="Arial" w:eastAsia="Arial" w:hAnsi="Arial"/>
          <w:sz w:val="16"/>
          <w:szCs w:val="16"/>
          <w:color w:val="FF0000"/>
          <w:strike w:val="1"/>
        </w:rPr>
        <w:t>a</w:t>
      </w:r>
      <w:r>
        <w:rPr>
          <w:rFonts w:ascii="Arial" w:cs="Arial" w:eastAsia="Arial" w:hAnsi="Arial"/>
          <w:sz w:val="16"/>
          <w:szCs w:val="16"/>
          <w:color w:val="0000FF"/>
        </w:rPr>
        <w:t xml:space="preserve"> </w:t>
      </w:r>
      <w:r>
        <w:rPr>
          <w:rFonts w:ascii="Arial" w:cs="Arial" w:eastAsia="Arial" w:hAnsi="Arial"/>
          <w:sz w:val="16"/>
          <w:szCs w:val="16"/>
          <w:color w:val="000000"/>
        </w:rPr>
        <w:t>Eurocurrency Rate Loan</w:t>
      </w:r>
      <w:r>
        <w:rPr>
          <w:rFonts w:ascii="Arial" w:cs="Arial" w:eastAsia="Arial" w:hAnsi="Arial"/>
          <w:sz w:val="16"/>
          <w:szCs w:val="16"/>
          <w:color w:val="0000FF"/>
        </w:rPr>
        <w:t xml:space="preserve"> </w:t>
      </w:r>
      <w:r>
        <w:rPr>
          <w:rFonts w:ascii="Arial" w:cs="Arial" w:eastAsia="Arial" w:hAnsi="Arial"/>
          <w:sz w:val="16"/>
          <w:szCs w:val="16"/>
          <w:color w:val="FF0000"/>
        </w:rPr>
        <w:t>or</w:t>
      </w:r>
      <w:r>
        <w:rPr>
          <w:rFonts w:ascii="Arial" w:cs="Arial" w:eastAsia="Arial" w:hAnsi="Arial"/>
          <w:sz w:val="16"/>
          <w:szCs w:val="16"/>
          <w:u w:val="single" w:color="auto"/>
          <w:color w:val="0000FF"/>
        </w:rPr>
        <w:t>, a request therefor,</w:t>
      </w:r>
      <w:r>
        <w:rPr>
          <w:rFonts w:ascii="Arial" w:cs="Arial" w:eastAsia="Arial" w:hAnsi="Arial"/>
          <w:sz w:val="16"/>
          <w:szCs w:val="16"/>
          <w:color w:val="0000FF"/>
        </w:rPr>
        <w:t xml:space="preserve"> </w:t>
      </w:r>
      <w:r>
        <w:rPr>
          <w:rFonts w:ascii="Arial" w:cs="Arial" w:eastAsia="Arial" w:hAnsi="Arial"/>
          <w:sz w:val="16"/>
          <w:szCs w:val="16"/>
          <w:color w:val="000000"/>
        </w:rPr>
        <w:t>a conversion to 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w:t>
      </w:r>
      <w:r>
        <w:rPr>
          <w:rFonts w:ascii="Arial" w:cs="Arial" w:eastAsia="Arial" w:hAnsi="Arial"/>
          <w:sz w:val="16"/>
          <w:szCs w:val="16"/>
          <w:color w:val="0000FF"/>
        </w:rPr>
        <w:t xml:space="preserve"> </w:t>
      </w:r>
      <w:r>
        <w:rPr>
          <w:rFonts w:ascii="Arial" w:cs="Arial" w:eastAsia="Arial" w:hAnsi="Arial"/>
          <w:sz w:val="16"/>
          <w:szCs w:val="16"/>
          <w:color w:val="000000"/>
        </w:rPr>
        <w:t xml:space="preserve">continuation thereof </w:t>
      </w:r>
      <w:r>
        <w:rPr>
          <w:rFonts w:ascii="Arial" w:cs="Arial" w:eastAsia="Arial" w:hAnsi="Arial"/>
          <w:sz w:val="16"/>
          <w:szCs w:val="16"/>
          <w:color w:val="0000FF"/>
        </w:rPr>
        <w:t>or otherwise</w:t>
      </w:r>
      <w:r>
        <w:rPr>
          <w:rFonts w:ascii="Arial" w:cs="Arial" w:eastAsia="Arial" w:hAnsi="Arial"/>
          <w:sz w:val="16"/>
          <w:szCs w:val="16"/>
          <w:color w:val="000000"/>
        </w:rPr>
        <w:t xml:space="preserve">, if for any reason (i) the Administrative Agent shall determine (which determination shall be conclusive and binding absent manifest error) that </w:t>
      </w:r>
      <w:r>
        <w:rPr>
          <w:rFonts w:ascii="Arial" w:cs="Arial" w:eastAsia="Arial" w:hAnsi="Arial"/>
          <w:sz w:val="16"/>
          <w:szCs w:val="16"/>
          <w:color w:val="FF0000"/>
          <w:strike w:val="1"/>
        </w:rPr>
        <w:t>deposits (whether in Dollars or an Alternative Currency) are not being offered to banks in the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(x) if Daily Simple SONIA is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 xml:space="preserve">utilized in any calculations hereunder or under any other Loan Document with respect to any Obligations, interest, fees, commissions or other amounts, </w:t>
      </w:r>
      <w:r>
        <w:rPr>
          <w:rFonts w:ascii="Arial" w:cs="Arial" w:eastAsia="Arial" w:hAnsi="Arial"/>
          <w:sz w:val="16"/>
          <w:szCs w:val="16"/>
          <w:u w:val="single" w:color="auto"/>
          <w:color w:val="008000"/>
        </w:rPr>
        <w:t xml:space="preserve">reasonable and adequate means do not exist for </w:t>
      </w:r>
      <w:r>
        <w:rPr>
          <w:rFonts w:ascii="Arial" w:cs="Arial" w:eastAsia="Arial" w:hAnsi="Arial"/>
          <w:sz w:val="16"/>
          <w:szCs w:val="16"/>
          <w:u w:val="single" w:color="auto"/>
          <w:color w:val="0000FF"/>
        </w:rPr>
        <w:t>ascertaining Daily Simple SONIA pursuant to the definition thereof or (y) if Adjusted Term SOFR or a</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 xml:space="preserve">Eurocurrency Rate is utilized in any calculations hereunder or under any other Loan Document with respect to any Obligations, interest, fees, commissions or other amounts, reasonable and adequate means do not exist for ascertaining Adjusted Term SOFR or such Eurocurrency Rate, as </w:t>
      </w:r>
      <w:r>
        <w:rPr>
          <w:rFonts w:ascii="Arial" w:cs="Arial" w:eastAsia="Arial" w:hAnsi="Arial"/>
          <w:sz w:val="16"/>
          <w:szCs w:val="16"/>
          <w:color w:val="000000"/>
        </w:rPr>
        <w:t xml:space="preserve">applicable </w:t>
      </w:r>
      <w:r>
        <w:rPr>
          <w:rFonts w:ascii="Arial" w:cs="Arial" w:eastAsia="Arial" w:hAnsi="Arial"/>
          <w:sz w:val="16"/>
          <w:szCs w:val="16"/>
          <w:color w:val="FF0000"/>
          <w:strike w:val="1"/>
        </w:rPr>
        <w:t>offshore interbank market for such currency</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for the applicable </w:t>
      </w:r>
      <w:r>
        <w:rPr>
          <w:rFonts w:ascii="Arial" w:cs="Arial" w:eastAsia="Arial" w:hAnsi="Arial"/>
          <w:sz w:val="16"/>
          <w:szCs w:val="16"/>
          <w:color w:val="FF0000"/>
          <w:strike w:val="1"/>
        </w:rPr>
        <w:t>amount</w:t>
      </w:r>
      <w:r>
        <w:rPr>
          <w:rFonts w:ascii="Arial" w:cs="Arial" w:eastAsia="Arial" w:hAnsi="Arial"/>
          <w:sz w:val="16"/>
          <w:szCs w:val="16"/>
          <w:u w:val="single" w:color="auto"/>
          <w:color w:val="0000FF"/>
        </w:rPr>
        <w:t>Currency</w:t>
      </w:r>
      <w:r>
        <w:rPr>
          <w:rFonts w:ascii="Arial" w:cs="Arial" w:eastAsia="Arial" w:hAnsi="Arial"/>
          <w:sz w:val="16"/>
          <w:szCs w:val="16"/>
          <w:color w:val="000000"/>
        </w:rPr>
        <w:t xml:space="preserve"> and </w:t>
      </w:r>
      <w:r>
        <w:rPr>
          <w:rFonts w:ascii="Arial" w:cs="Arial" w:eastAsia="Arial" w:hAnsi="Arial"/>
          <w:sz w:val="16"/>
          <w:szCs w:val="16"/>
          <w:u w:val="single" w:color="auto"/>
          <w:color w:val="0000FF"/>
        </w:rPr>
        <w:t>the applicable</w:t>
      </w:r>
      <w:r>
        <w:rPr>
          <w:rFonts w:ascii="Arial" w:cs="Arial" w:eastAsia="Arial" w:hAnsi="Arial"/>
          <w:sz w:val="16"/>
          <w:szCs w:val="16"/>
          <w:color w:val="000000"/>
        </w:rPr>
        <w:t xml:space="preserve"> Interest Period </w:t>
      </w:r>
      <w:r>
        <w:rPr>
          <w:rFonts w:ascii="Arial" w:cs="Arial" w:eastAsia="Arial" w:hAnsi="Arial"/>
          <w:sz w:val="16"/>
          <w:szCs w:val="16"/>
          <w:color w:val="FF0000"/>
          <w:strike w:val="1"/>
        </w:rPr>
        <w:t>of such Loan,</w:t>
      </w:r>
      <w:r>
        <w:rPr>
          <w:rFonts w:ascii="Arial" w:cs="Arial" w:eastAsia="Arial" w:hAnsi="Arial"/>
          <w:sz w:val="16"/>
          <w:szCs w:val="16"/>
          <w:u w:val="single" w:color="auto"/>
          <w:color w:val="0000FF"/>
        </w:rPr>
        <w:t>with respect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to a proposed Term SOFR Loan or Eurocurrency Rate Loan, as applicable, on or prior to the first day of such Interest Period,</w:t>
      </w:r>
      <w:r>
        <w:rPr>
          <w:rFonts w:ascii="Arial" w:cs="Arial" w:eastAsia="Arial" w:hAnsi="Arial"/>
          <w:sz w:val="16"/>
          <w:szCs w:val="16"/>
          <w:color w:val="0000FF"/>
        </w:rPr>
        <w:t xml:space="preserve"> </w:t>
      </w:r>
      <w:r>
        <w:rPr>
          <w:rFonts w:ascii="Arial" w:cs="Arial" w:eastAsia="Arial" w:hAnsi="Arial"/>
          <w:sz w:val="16"/>
          <w:szCs w:val="16"/>
          <w:color w:val="000000"/>
        </w:rPr>
        <w:t>(ii) the Administrative</w:t>
      </w:r>
      <w:r>
        <w:rPr>
          <w:rFonts w:ascii="Arial" w:cs="Arial" w:eastAsia="Arial" w:hAnsi="Arial"/>
          <w:sz w:val="16"/>
          <w:szCs w:val="16"/>
          <w:color w:val="0000FF"/>
        </w:rPr>
        <w:t xml:space="preserve"> </w:t>
      </w:r>
      <w:r>
        <w:rPr>
          <w:rFonts w:ascii="Arial" w:cs="Arial" w:eastAsia="Arial" w:hAnsi="Arial"/>
          <w:sz w:val="16"/>
          <w:szCs w:val="16"/>
          <w:color w:val="000000"/>
        </w:rPr>
        <w:t xml:space="preserve">Agent shall determine (which determination shall be conclusive and binding absent manifest error) that </w:t>
      </w:r>
      <w:r>
        <w:rPr>
          <w:rFonts w:ascii="Arial" w:cs="Arial" w:eastAsia="Arial" w:hAnsi="Arial"/>
          <w:sz w:val="16"/>
          <w:szCs w:val="16"/>
          <w:color w:val="008000"/>
          <w:strike w:val="1"/>
        </w:rPr>
        <w:t>reasonable and adequate means do not exist for</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the ascertaining the Eurocurrency Rate for such Interest </w:t>
      </w:r>
      <w:r>
        <w:rPr>
          <w:rFonts w:ascii="Arial" w:cs="Arial" w:eastAsia="Arial" w:hAnsi="Arial"/>
          <w:sz w:val="16"/>
          <w:szCs w:val="16"/>
          <w:color w:val="008000"/>
          <w:strike w:val="1"/>
        </w:rPr>
        <w:t>Period with respect to a</w:t>
      </w:r>
      <w:r>
        <w:rPr>
          <w:rFonts w:ascii="Arial" w:cs="Arial" w:eastAsia="Arial" w:hAnsi="Arial"/>
          <w:sz w:val="16"/>
          <w:szCs w:val="16"/>
          <w:color w:val="FF0000"/>
          <w:strike w:val="1"/>
        </w:rPr>
        <w:t xml:space="preserve"> proposed</w:t>
      </w:r>
      <w:r>
        <w:rPr>
          <w:rFonts w:ascii="Arial" w:cs="Arial" w:eastAsia="Arial" w:hAnsi="Arial"/>
          <w:sz w:val="16"/>
          <w:szCs w:val="16"/>
          <w:u w:val="single" w:color="auto"/>
          <w:color w:val="0000FF"/>
          <w:strike w:val="1"/>
        </w:rPr>
        <w:t>a fundamental change has occurred in the foreign exchange or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interbank markets with respect to an applicable Alternative Currency (including changes in national or international financial, political or economic conditions or currency exchange rates or exchange controls), (iii) with respect to any</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Eurocurrency Rate Loan</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(whether denominated in Dollars or an</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 xml:space="preserve">Alternative Currency) </w:t>
      </w:r>
      <w:r>
        <w:rPr>
          <w:rFonts w:ascii="Arial" w:cs="Arial" w:eastAsia="Arial" w:hAnsi="Arial"/>
          <w:sz w:val="16"/>
          <w:szCs w:val="16"/>
          <w:u w:val="single" w:color="auto"/>
          <w:color w:val="0000FF"/>
          <w:strike w:val="1"/>
        </w:rPr>
        <w:t>, the Administrative Agent shall determine (which determination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8000"/>
          <w:strike w:val="1"/>
        </w:rPr>
        <w:t>shall be conclusive and binding</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absent manifest error) that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 xml:space="preserve">deposits are not being offered in the applicable Currency to </w:t>
      </w:r>
      <w:r>
        <w:rPr>
          <w:rFonts w:ascii="Arial" w:cs="Arial" w:eastAsia="Arial" w:hAnsi="Arial"/>
          <w:sz w:val="16"/>
          <w:szCs w:val="16"/>
          <w:u w:val="single" w:color="auto"/>
          <w:color w:val="008000"/>
          <w:strike w:val="1"/>
        </w:rPr>
        <w:t>banks in the London or other applicable offshore interbank market for</w:t>
      </w:r>
      <w:r>
        <w:rPr>
          <w:rFonts w:ascii="Arial" w:cs="Arial" w:eastAsia="Arial" w:hAnsi="Arial"/>
          <w:sz w:val="16"/>
          <w:szCs w:val="16"/>
          <w:u w:val="single" w:color="auto"/>
          <w:color w:val="0000FF"/>
          <w:strike w:val="1"/>
        </w:rPr>
        <w:t xml:space="preserve"> the applicable Currency, amount or Interest Period of such Eurocurrency Rate Loan,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or (</w:t>
      </w:r>
      <w:r>
        <w:rPr>
          <w:rFonts w:ascii="Arial" w:cs="Arial" w:eastAsia="Arial" w:hAnsi="Arial"/>
          <w:sz w:val="16"/>
          <w:szCs w:val="16"/>
          <w:color w:val="FF0000"/>
          <w:strike w:val="1"/>
        </w:rPr>
        <w:t>iii</w:t>
      </w:r>
      <w:r>
        <w:rPr>
          <w:rFonts w:ascii="Arial" w:cs="Arial" w:eastAsia="Arial" w:hAnsi="Arial"/>
          <w:sz w:val="16"/>
          <w:szCs w:val="16"/>
          <w:u w:val="single" w:color="auto"/>
          <w:color w:val="0000FF"/>
          <w:strike w:val="1"/>
        </w:rPr>
        <w:t>iv</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the Required Lenders shall determine (which determination shall be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conclusive and binding absent manifest error) that </w:t>
      </w:r>
      <w:r>
        <w:rPr>
          <w:rFonts w:ascii="Arial" w:cs="Arial" w:eastAsia="Arial" w:hAnsi="Arial"/>
          <w:sz w:val="16"/>
          <w:szCs w:val="16"/>
          <w:color w:val="FF0000"/>
          <w:strike w:val="1"/>
        </w:rPr>
        <w:t>the</w:t>
      </w:r>
      <w:r>
        <w:rPr>
          <w:rFonts w:ascii="Arial" w:cs="Arial" w:eastAsia="Arial" w:hAnsi="Arial"/>
          <w:sz w:val="16"/>
          <w:szCs w:val="16"/>
          <w:u w:val="single" w:color="auto"/>
          <w:color w:val="0000FF"/>
          <w:strike w:val="1"/>
        </w:rPr>
        <w:t>(x) if Daily Simple SONIA is utilized in any calculations hereunder or under any other Loan</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Document with respect to any Obligations, interest, fees, commissions or other amounts, Daily Simple SONIA does not adequately and fairly reflect the cost to such Lenders of making or maintaining such Loans or (y) if Adjusted Term SOFR or a</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Eurocurrency Rate</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is utilized in any calculations</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hereunder or under any other Loan Document with respect to any Obligations, interest, fees, commissions or other amounts, Adjusted Term SOFR or such Eurocurrency Rate, as applicable,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does not adequately and fairly reflect the cost to such Lenders of 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-2834640</wp:posOffset>
            </wp:positionV>
            <wp:extent cx="666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-2834640</wp:posOffset>
            </wp:positionV>
            <wp:extent cx="1193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-2620010</wp:posOffset>
            </wp:positionV>
            <wp:extent cx="5911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-2646045</wp:posOffset>
            </wp:positionV>
            <wp:extent cx="5969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490" w:right="459" w:bottom="1440" w:gutter="0" w:footer="0" w:header="0"/>
        </w:sectPr>
      </w:pPr>
    </w:p>
    <w:bookmarkStart w:id="127" w:name="page128"/>
    <w:bookmarkEnd w:id="127"/>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or maintaining such Loans during </w:t>
      </w:r>
      <w:r>
        <w:rPr>
          <w:rFonts w:ascii="Arial" w:cs="Arial" w:eastAsia="Arial" w:hAnsi="Arial"/>
          <w:sz w:val="16"/>
          <w:szCs w:val="16"/>
          <w:color w:val="FF0000"/>
          <w:strike w:val="1"/>
        </w:rPr>
        <w:t>such</w:t>
      </w:r>
      <w:r>
        <w:rPr>
          <w:rFonts w:ascii="Arial" w:cs="Arial" w:eastAsia="Arial" w:hAnsi="Arial"/>
          <w:sz w:val="16"/>
          <w:szCs w:val="16"/>
          <w:u w:val="single" w:color="auto"/>
          <w:color w:val="0000FF"/>
        </w:rPr>
        <w:t>the applicable</w:t>
      </w:r>
      <w:r>
        <w:rPr>
          <w:rFonts w:ascii="Arial" w:cs="Arial" w:eastAsia="Arial" w:hAnsi="Arial"/>
          <w:sz w:val="16"/>
          <w:szCs w:val="16"/>
          <w:color w:val="auto"/>
        </w:rPr>
        <w:t xml:space="preserve"> Interest Period </w:t>
      </w:r>
      <w:r>
        <w:rPr>
          <w:rFonts w:ascii="Arial" w:cs="Arial" w:eastAsia="Arial" w:hAnsi="Arial"/>
          <w:sz w:val="16"/>
          <w:szCs w:val="16"/>
          <w:u w:val="single" w:color="auto"/>
          <w:color w:val="0000FF"/>
        </w:rPr>
        <w:t>and, in the case of (x) or (y), the Required Lenders have provided notice of such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determination to the Administrative Agent</w:t>
      </w:r>
      <w:r>
        <w:rPr>
          <w:rFonts w:ascii="Arial" w:cs="Arial" w:eastAsia="Arial" w:hAnsi="Arial"/>
          <w:sz w:val="16"/>
          <w:szCs w:val="16"/>
          <w:color w:val="000000"/>
        </w:rPr>
        <w:t>, then</w:t>
      </w:r>
      <w:r>
        <w:rPr>
          <w:rFonts w:ascii="Arial" w:cs="Arial" w:eastAsia="Arial" w:hAnsi="Arial"/>
          <w:sz w:val="16"/>
          <w:szCs w:val="16"/>
          <w:u w:val="single" w:color="auto"/>
          <w:color w:val="0000FF"/>
        </w:rPr>
        <w:t>, in each case,</w:t>
      </w:r>
      <w:r>
        <w:rPr>
          <w:rFonts w:ascii="Arial" w:cs="Arial" w:eastAsia="Arial" w:hAnsi="Arial"/>
          <w:sz w:val="16"/>
          <w:szCs w:val="16"/>
          <w:color w:val="0000FF"/>
        </w:rPr>
        <w:t xml:space="preserve"> </w:t>
      </w:r>
      <w:r>
        <w:rPr>
          <w:rFonts w:ascii="Arial" w:cs="Arial" w:eastAsia="Arial" w:hAnsi="Arial"/>
          <w:sz w:val="16"/>
          <w:szCs w:val="16"/>
          <w:color w:val="000000"/>
        </w:rPr>
        <w:t>the Administrative Agent shall promptly give notice thereof to the Borrower.</w:t>
      </w:r>
      <w:r>
        <w:rPr>
          <w:rFonts w:ascii="Arial" w:cs="Arial" w:eastAsia="Arial" w:hAnsi="Arial"/>
          <w:sz w:val="16"/>
          <w:szCs w:val="16"/>
          <w:color w:val="0000FF"/>
        </w:rPr>
        <w:t xml:space="preserve"> </w:t>
      </w:r>
      <w:r>
        <w:rPr>
          <w:rFonts w:ascii="Arial" w:cs="Arial" w:eastAsia="Arial" w:hAnsi="Arial"/>
          <w:sz w:val="16"/>
          <w:szCs w:val="16"/>
          <w:color w:val="FF0000"/>
          <w:strike w:val="1"/>
        </w:rPr>
        <w:t>Thereafter,</w:t>
      </w:r>
      <w:r>
        <w:rPr>
          <w:rFonts w:ascii="Arial" w:cs="Arial" w:eastAsia="Arial" w:hAnsi="Arial"/>
          <w:sz w:val="16"/>
          <w:szCs w:val="16"/>
          <w:color w:val="0000FF"/>
        </w:rPr>
        <w:t xml:space="preserve"> </w:t>
      </w:r>
      <w:r>
        <w:rPr>
          <w:rFonts w:ascii="Arial" w:cs="Arial" w:eastAsia="Arial" w:hAnsi="Arial"/>
          <w:sz w:val="16"/>
          <w:szCs w:val="16"/>
          <w:color w:val="FF0000"/>
          <w:strike w:val="1"/>
        </w:rPr>
        <w:t>until</w:t>
      </w:r>
      <w:r>
        <w:rPr>
          <w:rFonts w:ascii="Arial" w:cs="Arial" w:eastAsia="Arial" w:hAnsi="Arial"/>
          <w:sz w:val="16"/>
          <w:szCs w:val="16"/>
          <w:u w:val="single" w:color="auto"/>
          <w:color w:val="0000FF"/>
        </w:rPr>
        <w:t>Upon notice thereof by</w:t>
      </w:r>
      <w:r>
        <w:rPr>
          <w:rFonts w:ascii="Arial" w:cs="Arial" w:eastAsia="Arial" w:hAnsi="Arial"/>
          <w:sz w:val="16"/>
          <w:szCs w:val="16"/>
          <w:color w:val="FF0000"/>
        </w:rPr>
        <w:t xml:space="preserve"> </w:t>
      </w:r>
      <w:r>
        <w:rPr>
          <w:rFonts w:ascii="Arial" w:cs="Arial" w:eastAsia="Arial" w:hAnsi="Arial"/>
          <w:sz w:val="16"/>
          <w:szCs w:val="16"/>
          <w:color w:val="000000"/>
        </w:rPr>
        <w:t>the Administrative Agent</w:t>
      </w:r>
      <w:r>
        <w:rPr>
          <w:rFonts w:ascii="Arial" w:cs="Arial" w:eastAsia="Arial" w:hAnsi="Arial"/>
          <w:sz w:val="16"/>
          <w:szCs w:val="16"/>
          <w:color w:val="FF0000"/>
        </w:rPr>
        <w:t xml:space="preserve"> </w:t>
      </w:r>
      <w:r>
        <w:rPr>
          <w:rFonts w:ascii="Arial" w:cs="Arial" w:eastAsia="Arial" w:hAnsi="Arial"/>
          <w:sz w:val="16"/>
          <w:szCs w:val="16"/>
          <w:color w:val="FF0000"/>
          <w:strike w:val="1"/>
        </w:rPr>
        <w:t>notifies</w:t>
      </w:r>
      <w:r>
        <w:rPr>
          <w:rFonts w:ascii="Arial" w:cs="Arial" w:eastAsia="Arial" w:hAnsi="Arial"/>
          <w:sz w:val="16"/>
          <w:szCs w:val="16"/>
          <w:u w:val="single" w:color="auto"/>
          <w:color w:val="0000FF"/>
        </w:rPr>
        <w:t>to</w:t>
      </w:r>
      <w:r>
        <w:rPr>
          <w:rFonts w:ascii="Arial" w:cs="Arial" w:eastAsia="Arial" w:hAnsi="Arial"/>
          <w:sz w:val="16"/>
          <w:szCs w:val="16"/>
          <w:color w:val="FF0000"/>
        </w:rPr>
        <w:t xml:space="preserve"> </w:t>
      </w:r>
      <w:r>
        <w:rPr>
          <w:rFonts w:ascii="Arial" w:cs="Arial" w:eastAsia="Arial" w:hAnsi="Arial"/>
          <w:sz w:val="16"/>
          <w:szCs w:val="16"/>
          <w:color w:val="000000"/>
        </w:rPr>
        <w:t>the Borrower</w:t>
      </w:r>
      <w:r>
        <w:rPr>
          <w:rFonts w:ascii="Arial" w:cs="Arial" w:eastAsia="Arial" w:hAnsi="Arial"/>
          <w:sz w:val="16"/>
          <w:szCs w:val="16"/>
          <w:color w:val="FF0000"/>
        </w:rPr>
        <w:t xml:space="preserve"> that such circumstances no longer exist, the</w:t>
      </w:r>
      <w:r>
        <w:rPr>
          <w:rFonts w:ascii="Arial" w:cs="Arial" w:eastAsia="Arial" w:hAnsi="Arial"/>
          <w:sz w:val="16"/>
          <w:szCs w:val="16"/>
          <w:u w:val="single" w:color="auto"/>
          <w:color w:val="0000FF"/>
        </w:rPr>
        <w:t>, any</w:t>
      </w:r>
      <w:r>
        <w:rPr>
          <w:rFonts w:ascii="Arial" w:cs="Arial" w:eastAsia="Arial" w:hAnsi="Arial"/>
          <w:sz w:val="16"/>
          <w:szCs w:val="16"/>
          <w:color w:val="FF0000"/>
        </w:rPr>
        <w:t xml:space="preserve"> </w:t>
      </w:r>
      <w:r>
        <w:rPr>
          <w:rFonts w:ascii="Arial" w:cs="Arial" w:eastAsia="Arial" w:hAnsi="Arial"/>
          <w:sz w:val="16"/>
          <w:szCs w:val="16"/>
          <w:color w:val="000000"/>
        </w:rPr>
        <w:t>obligation of the Lenders</w:t>
      </w:r>
      <w:r>
        <w:rPr>
          <w:rFonts w:ascii="Arial" w:cs="Arial" w:eastAsia="Arial" w:hAnsi="Arial"/>
          <w:sz w:val="16"/>
          <w:szCs w:val="16"/>
          <w:color w:val="FF0000"/>
        </w:rPr>
        <w:t xml:space="preserve"> </w:t>
      </w:r>
      <w:r>
        <w:rPr>
          <w:rFonts w:ascii="Arial" w:cs="Arial" w:eastAsia="Arial" w:hAnsi="Arial"/>
          <w:sz w:val="16"/>
          <w:szCs w:val="16"/>
          <w:color w:val="000000"/>
        </w:rPr>
        <w:t xml:space="preserve">to make </w:t>
      </w:r>
      <w:r>
        <w:rPr>
          <w:rFonts w:ascii="Arial" w:cs="Arial" w:eastAsia="Arial" w:hAnsi="Arial"/>
          <w:sz w:val="16"/>
          <w:szCs w:val="16"/>
          <w:u w:val="single" w:color="auto"/>
          <w:color w:val="0000FF"/>
        </w:rPr>
        <w:t>RFR Loans or</w:t>
      </w:r>
      <w:r>
        <w:rPr>
          <w:rFonts w:ascii="Arial" w:cs="Arial" w:eastAsia="Arial" w:hAnsi="Arial"/>
          <w:sz w:val="16"/>
          <w:szCs w:val="16"/>
          <w:color w:val="000000"/>
        </w:rPr>
        <w:t xml:space="preserve"> Eurocurrency Rate Loans </w:t>
      </w:r>
      <w:r>
        <w:rPr>
          <w:rFonts w:ascii="Arial" w:cs="Arial" w:eastAsia="Arial" w:hAnsi="Arial"/>
          <w:sz w:val="16"/>
          <w:szCs w:val="16"/>
          <w:color w:val="FF0000"/>
        </w:rPr>
        <w:t>in the affected</w:t>
      </w:r>
      <w:r>
        <w:rPr>
          <w:rFonts w:ascii="Arial" w:cs="Arial" w:eastAsia="Arial" w:hAnsi="Arial"/>
          <w:sz w:val="16"/>
          <w:szCs w:val="16"/>
          <w:u w:val="single" w:color="auto"/>
          <w:color w:val="0000FF"/>
        </w:rPr>
        <w:t>, as applicable, in each such</w:t>
      </w:r>
      <w:r>
        <w:rPr>
          <w:rFonts w:ascii="Arial" w:cs="Arial" w:eastAsia="Arial" w:hAnsi="Arial"/>
          <w:sz w:val="16"/>
          <w:szCs w:val="16"/>
          <w:color w:val="000000"/>
        </w:rPr>
        <w:t xml:space="preserve"> </w:t>
      </w:r>
      <w:r>
        <w:rPr>
          <w:rFonts w:ascii="Arial" w:cs="Arial" w:eastAsia="Arial" w:hAnsi="Arial"/>
          <w:sz w:val="16"/>
          <w:szCs w:val="16"/>
          <w:color w:val="FF0000"/>
        </w:rPr>
        <w:t>c</w:t>
      </w:r>
      <w:r>
        <w:rPr>
          <w:rFonts w:ascii="Arial" w:cs="Arial" w:eastAsia="Arial" w:hAnsi="Arial"/>
          <w:sz w:val="16"/>
          <w:szCs w:val="16"/>
          <w:u w:val="single" w:color="auto"/>
          <w:color w:val="0000FF"/>
        </w:rPr>
        <w:t>C</w:t>
      </w:r>
      <w:r>
        <w:rPr>
          <w:rFonts w:ascii="Arial" w:cs="Arial" w:eastAsia="Arial" w:hAnsi="Arial"/>
          <w:sz w:val="16"/>
          <w:szCs w:val="16"/>
          <w:color w:val="000000"/>
        </w:rPr>
        <w:t xml:space="preserve">urrency </w:t>
      </w:r>
      <w:r>
        <w:rPr>
          <w:rFonts w:ascii="Arial" w:cs="Arial" w:eastAsia="Arial" w:hAnsi="Arial"/>
          <w:sz w:val="16"/>
          <w:szCs w:val="16"/>
          <w:color w:val="FF0000"/>
        </w:rPr>
        <w:t>or currencies</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and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w:t>
      </w:r>
      <w:r>
        <w:rPr>
          <w:rFonts w:ascii="Arial" w:cs="Arial" w:eastAsia="Arial" w:hAnsi="Arial"/>
          <w:sz w:val="16"/>
          <w:szCs w:val="16"/>
          <w:color w:val="000000"/>
        </w:rPr>
        <w:t xml:space="preserve"> right of the Borrower to convert any Loan </w:t>
      </w:r>
      <w:r>
        <w:rPr>
          <w:rFonts w:ascii="Arial" w:cs="Arial" w:eastAsia="Arial" w:hAnsi="Arial"/>
          <w:sz w:val="16"/>
          <w:szCs w:val="16"/>
          <w:u w:val="single" w:color="auto"/>
          <w:color w:val="0000FF"/>
        </w:rPr>
        <w:t>in each such Currency (if applicable)</w:t>
      </w:r>
      <w:r>
        <w:rPr>
          <w:rFonts w:ascii="Arial" w:cs="Arial" w:eastAsia="Arial" w:hAnsi="Arial"/>
          <w:sz w:val="16"/>
          <w:szCs w:val="16"/>
          <w:color w:val="000000"/>
        </w:rPr>
        <w:t xml:space="preserve"> to or continue any Loan as </w:t>
      </w:r>
      <w:r>
        <w:rPr>
          <w:rFonts w:ascii="Arial" w:cs="Arial" w:eastAsia="Arial" w:hAnsi="Arial"/>
          <w:sz w:val="16"/>
          <w:szCs w:val="16"/>
          <w:u w:val="single" w:color="auto"/>
          <w:color w:val="0000FF"/>
        </w:rPr>
        <w:t>an RFR Loan or</w:t>
      </w:r>
      <w:r>
        <w:rPr>
          <w:rFonts w:ascii="Arial" w:cs="Arial" w:eastAsia="Arial" w:hAnsi="Arial"/>
          <w:sz w:val="16"/>
          <w:szCs w:val="16"/>
          <w:color w:val="000000"/>
        </w:rPr>
        <w:t xml:space="preserve"> a Eurocurrency Rate Loan </w:t>
      </w:r>
      <w:r>
        <w:rPr>
          <w:rFonts w:ascii="Arial" w:cs="Arial" w:eastAsia="Arial" w:hAnsi="Arial"/>
          <w:sz w:val="16"/>
          <w:szCs w:val="16"/>
          <w:color w:val="FF0000"/>
        </w:rPr>
        <w:t>in the affected</w:t>
      </w:r>
      <w:r>
        <w:rPr>
          <w:rFonts w:ascii="Arial" w:cs="Arial" w:eastAsia="Arial" w:hAnsi="Arial"/>
          <w:sz w:val="16"/>
          <w:szCs w:val="16"/>
          <w:u w:val="single" w:color="auto"/>
          <w:color w:val="0000FF"/>
        </w:rPr>
        <w:t>, as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applicable, in each such</w:t>
      </w:r>
      <w:r>
        <w:rPr>
          <w:rFonts w:ascii="Arial" w:cs="Arial" w:eastAsia="Arial" w:hAnsi="Arial"/>
          <w:sz w:val="16"/>
          <w:szCs w:val="16"/>
          <w:color w:val="0000FF"/>
        </w:rPr>
        <w:t xml:space="preserve"> </w:t>
      </w:r>
      <w:r>
        <w:rPr>
          <w:rFonts w:ascii="Arial" w:cs="Arial" w:eastAsia="Arial" w:hAnsi="Arial"/>
          <w:sz w:val="16"/>
          <w:szCs w:val="16"/>
          <w:color w:val="FF0000"/>
        </w:rPr>
        <w:t>c</w:t>
      </w:r>
      <w:r>
        <w:rPr>
          <w:rFonts w:ascii="Arial" w:cs="Arial" w:eastAsia="Arial" w:hAnsi="Arial"/>
          <w:sz w:val="16"/>
          <w:szCs w:val="16"/>
          <w:u w:val="single" w:color="auto"/>
          <w:color w:val="0000FF"/>
        </w:rPr>
        <w:t>C</w:t>
      </w:r>
      <w:r>
        <w:rPr>
          <w:rFonts w:ascii="Arial" w:cs="Arial" w:eastAsia="Arial" w:hAnsi="Arial"/>
          <w:sz w:val="16"/>
          <w:szCs w:val="16"/>
          <w:color w:val="000000"/>
        </w:rPr>
        <w:t>urrency</w:t>
      </w:r>
      <w:r>
        <w:rPr>
          <w:rFonts w:ascii="Arial" w:cs="Arial" w:eastAsia="Arial" w:hAnsi="Arial"/>
          <w:sz w:val="16"/>
          <w:szCs w:val="16"/>
          <w:color w:val="0000FF"/>
        </w:rPr>
        <w:t xml:space="preserve"> </w:t>
      </w:r>
      <w:r>
        <w:rPr>
          <w:rFonts w:ascii="Arial" w:cs="Arial" w:eastAsia="Arial" w:hAnsi="Arial"/>
          <w:sz w:val="16"/>
          <w:szCs w:val="16"/>
          <w:color w:val="FF0000"/>
        </w:rPr>
        <w:t>or currencies</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shall be suspended</w:t>
      </w:r>
      <w:r>
        <w:rPr>
          <w:rFonts w:ascii="Arial" w:cs="Arial" w:eastAsia="Arial" w:hAnsi="Arial"/>
          <w:sz w:val="16"/>
          <w:szCs w:val="16"/>
          <w:color w:val="FF0000"/>
          <w:strike w:val="1"/>
        </w:rPr>
        <w:t>, and in</w:t>
      </w:r>
      <w:r>
        <w:rPr>
          <w:rFonts w:ascii="Arial" w:cs="Arial" w:eastAsia="Arial" w:hAnsi="Arial"/>
          <w:sz w:val="16"/>
          <w:szCs w:val="16"/>
          <w:color w:val="0000FF"/>
        </w:rPr>
        <w:t xml:space="preserve"> (to the extent of the affected RFR Loans or Eurocurrency Rate Loans or, in </w:t>
      </w:r>
      <w:r>
        <w:rPr>
          <w:rFonts w:ascii="Arial" w:cs="Arial" w:eastAsia="Arial" w:hAnsi="Arial"/>
          <w:sz w:val="16"/>
          <w:szCs w:val="16"/>
          <w:u w:val="single" w:color="auto"/>
          <w:color w:val="0000FF"/>
        </w:rPr>
        <w:t>the case of Term SOFR Loans or Eurocurrency Rate Loans, the affected Interest Periods) until the Administrative Agent (with respect to clause (iv), at the instruction of the Required Lenders) revokes such notice. Upon receipt of such notice, (A) the Borrower may revoke any pending request for a borrowing of, conversion to or continuation of RFR Loans or Eurocurrency Rate Loans in each such affected Currency (to the extent of the affected RFR Loans or Eurocurrency Rate Loans or, in the case of Term SOFR Loans or Eurocurrency Rate Loans, the affected Interest Periods) or, failing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-1033780</wp:posOffset>
            </wp:positionV>
            <wp:extent cx="20180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18030" cy="8255"/>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-896620</wp:posOffset>
            </wp:positionV>
            <wp:extent cx="68008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0085" cy="825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-896620</wp:posOffset>
            </wp:positionV>
            <wp:extent cx="793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-896620</wp:posOffset>
            </wp:positionV>
            <wp:extent cx="6216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1665" cy="825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-759460</wp:posOffset>
            </wp:positionV>
            <wp:extent cx="6800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0085" cy="889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-622300</wp:posOffset>
            </wp:positionV>
            <wp:extent cx="793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-622300</wp:posOffset>
            </wp:positionV>
            <wp:extent cx="6216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21665" cy="825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-544830</wp:posOffset>
            </wp:positionV>
            <wp:extent cx="34544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-570865</wp:posOffset>
            </wp:positionV>
            <wp:extent cx="34550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55035" cy="8255"/>
                    </a:xfrm>
                    <a:prstGeom prst="rect">
                      <a:avLst/>
                    </a:prstGeom>
                    <a:noFill/>
                  </pic:spPr>
                </pic:pic>
              </a:graphicData>
            </a:graphic>
          </wp:anchor>
        </w:drawing>
      </w:r>
    </w:p>
    <w:p>
      <w:pPr>
        <w:ind w:left="4" w:hanging="4"/>
        <w:spacing w:after="0" w:line="281" w:lineRule="auto"/>
        <w:tabs>
          <w:tab w:leader="none" w:pos="229" w:val="left"/>
        </w:tabs>
        <w:numPr>
          <w:ilvl w:val="0"/>
          <w:numId w:val="120"/>
        </w:numPr>
        <w:rPr>
          <w:rFonts w:ascii="Arial" w:cs="Arial" w:eastAsia="Arial" w:hAnsi="Arial"/>
          <w:sz w:val="16"/>
          <w:szCs w:val="16"/>
          <w:u w:val="single" w:color="auto"/>
          <w:color w:val="0000FF"/>
        </w:rPr>
      </w:pPr>
      <w:r>
        <w:rPr>
          <w:rFonts w:ascii="Arial" w:cs="Arial" w:eastAsia="Arial" w:hAnsi="Arial"/>
          <w:sz w:val="16"/>
          <w:szCs w:val="16"/>
          <w:color w:val="008000"/>
        </w:rPr>
        <w:t xml:space="preserve">in the case of any </w:t>
      </w:r>
      <w:r>
        <w:rPr>
          <w:rFonts w:ascii="Arial" w:cs="Arial" w:eastAsia="Arial" w:hAnsi="Arial"/>
          <w:sz w:val="16"/>
          <w:szCs w:val="16"/>
          <w:u w:val="single" w:color="auto"/>
          <w:color w:val="0000FF"/>
        </w:rPr>
        <w:t>request for a borrowing of an affected Term SOFR Loan, the Borrower will be deemed to have converted any such request into a</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 xml:space="preserve">request for a borrowing of or conversion to Base Rate Loans in the amount specified therein and (II) in the case of any request for a borrowing of an affected RFR Loan or </w:t>
      </w:r>
      <w:r>
        <w:rPr>
          <w:rFonts w:ascii="Arial" w:cs="Arial" w:eastAsia="Arial" w:hAnsi="Arial"/>
          <w:sz w:val="16"/>
          <w:szCs w:val="16"/>
          <w:u w:val="single" w:color="auto"/>
          <w:color w:val="008000"/>
        </w:rPr>
        <w:t>Eurocurrency Rate Loan denominated in an Alternative Currency,</w:t>
      </w:r>
      <w:r>
        <w:rPr>
          <w:rFonts w:ascii="Arial" w:cs="Arial" w:eastAsia="Arial" w:hAnsi="Arial"/>
          <w:sz w:val="16"/>
          <w:szCs w:val="16"/>
          <w:u w:val="single" w:color="auto"/>
          <w:color w:val="0000FF"/>
        </w:rPr>
        <w:t xml:space="preserve"> then such request shall be ineffective and (B)(I) any outstanding affected Term SOFR Loans will be deemed to have been converted into Base Rate Loans at the end of the applicable Interest Period and (II) any outstanding affected Loans denominated in an Alternative Currency, at the Borrower’s election, shall either be converted into Base Rate Loans denominated in Dollars (in an amount equal to the Dollar Equivalent of such Alternative Currency) immediately or, in</w:t>
      </w:r>
      <w:r>
        <w:rPr>
          <w:rFonts w:ascii="Arial" w:cs="Arial" w:eastAsia="Arial" w:hAnsi="Arial"/>
          <w:sz w:val="16"/>
          <w:szCs w:val="16"/>
          <w:color w:val="0000FF"/>
        </w:rPr>
        <w:t xml:space="preserve"> </w:t>
      </w:r>
      <w:r>
        <w:rPr>
          <w:rFonts w:ascii="Arial" w:cs="Arial" w:eastAsia="Arial" w:hAnsi="Arial"/>
          <w:sz w:val="16"/>
          <w:szCs w:val="16"/>
          <w:color w:val="000000"/>
        </w:rPr>
        <w:t>the case of Eurocurrency Rate</w:t>
      </w:r>
      <w:r>
        <w:rPr>
          <w:rFonts w:ascii="Arial" w:cs="Arial" w:eastAsia="Arial" w:hAnsi="Arial"/>
          <w:sz w:val="16"/>
          <w:szCs w:val="16"/>
          <w:color w:val="0000FF"/>
        </w:rPr>
        <w:t xml:space="preserve"> </w:t>
      </w:r>
      <w:r>
        <w:rPr>
          <w:rFonts w:ascii="Arial" w:cs="Arial" w:eastAsia="Arial" w:hAnsi="Arial"/>
          <w:sz w:val="16"/>
          <w:szCs w:val="16"/>
          <w:color w:val="000000"/>
        </w:rPr>
        <w:t xml:space="preserve">Loans, </w:t>
      </w:r>
      <w:r>
        <w:rPr>
          <w:rFonts w:ascii="Arial" w:cs="Arial" w:eastAsia="Arial" w:hAnsi="Arial"/>
          <w:sz w:val="16"/>
          <w:szCs w:val="16"/>
          <w:u w:val="single" w:color="auto"/>
          <w:color w:val="0000FF"/>
        </w:rPr>
        <w:t>at</w:t>
      </w:r>
      <w:r>
        <w:rPr>
          <w:rFonts w:ascii="Arial" w:cs="Arial" w:eastAsia="Arial" w:hAnsi="Arial"/>
          <w:sz w:val="16"/>
          <w:szCs w:val="16"/>
          <w:color w:val="000000"/>
        </w:rPr>
        <w:t xml:space="preserve"> the </w:t>
      </w:r>
      <w:r>
        <w:rPr>
          <w:rFonts w:ascii="Arial" w:cs="Arial" w:eastAsia="Arial" w:hAnsi="Arial"/>
          <w:sz w:val="16"/>
          <w:szCs w:val="16"/>
          <w:color w:val="FF0000"/>
          <w:strike w:val="1"/>
        </w:rPr>
        <w:t>Borrower shall either (A) repay in full (or cause to be repaid in full) the then outstanding principal amount of each such</w:t>
      </w:r>
      <w:r>
        <w:rPr>
          <w:rFonts w:ascii="Arial" w:cs="Arial" w:eastAsia="Arial" w:hAnsi="Arial"/>
          <w:sz w:val="16"/>
          <w:szCs w:val="16"/>
          <w:u w:val="single" w:color="auto"/>
          <w:color w:val="0000FF"/>
        </w:rPr>
        <w:t>end of the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applicable Interest Period or be prepaid in full immediately or, in the case of Eurocurrency Rate Loans, at the end of the applicable Interest Period; provided that if no election is made by the Borrower by the date that is the earlier of (x) three (3) Business Days after receipt by the Borrower of such notice or (y) with respect to a</w:t>
      </w:r>
      <w:r>
        <w:rPr>
          <w:rFonts w:ascii="Arial" w:cs="Arial" w:eastAsia="Arial" w:hAnsi="Arial"/>
          <w:sz w:val="16"/>
          <w:szCs w:val="16"/>
          <w:color w:val="0000FF"/>
        </w:rPr>
        <w:t xml:space="preserve"> </w:t>
      </w:r>
      <w:r>
        <w:rPr>
          <w:rFonts w:ascii="Arial" w:cs="Arial" w:eastAsia="Arial" w:hAnsi="Arial"/>
          <w:sz w:val="16"/>
          <w:szCs w:val="16"/>
          <w:color w:val="000000"/>
        </w:rPr>
        <w:t>Eurocurrency Rate Loan</w:t>
      </w:r>
      <w:r>
        <w:rPr>
          <w:rFonts w:ascii="Arial" w:cs="Arial" w:eastAsia="Arial" w:hAnsi="Arial"/>
          <w:sz w:val="16"/>
          <w:szCs w:val="16"/>
          <w:color w:val="0000FF"/>
        </w:rPr>
        <w:t xml:space="preserve"> </w:t>
      </w:r>
      <w:r>
        <w:rPr>
          <w:rFonts w:ascii="Arial" w:cs="Arial" w:eastAsia="Arial" w:hAnsi="Arial"/>
          <w:sz w:val="16"/>
          <w:szCs w:val="16"/>
          <w:color w:val="FF0000"/>
          <w:strike w:val="1"/>
        </w:rPr>
        <w:t>together with accrued interest thereon (subject to Section 5.1(d)), on</w:t>
      </w:r>
      <w:r>
        <w:rPr>
          <w:rFonts w:ascii="Arial" w:cs="Arial" w:eastAsia="Arial" w:hAnsi="Arial"/>
          <w:sz w:val="16"/>
          <w:szCs w:val="16"/>
          <w:color w:val="0000FF"/>
        </w:rPr>
        <w:t xml:space="preserve"> </w:t>
      </w:r>
      <w:r>
        <w:rPr>
          <w:rFonts w:ascii="Arial" w:cs="Arial" w:eastAsia="Arial" w:hAnsi="Arial"/>
          <w:sz w:val="16"/>
          <w:szCs w:val="16"/>
          <w:color w:val="000000"/>
        </w:rPr>
        <w:t>the last day of the</w:t>
      </w:r>
      <w:r>
        <w:rPr>
          <w:rFonts w:ascii="Arial" w:cs="Arial" w:eastAsia="Arial" w:hAnsi="Arial"/>
          <w:sz w:val="16"/>
          <w:szCs w:val="16"/>
          <w:color w:val="0000FF"/>
        </w:rPr>
        <w:t xml:space="preserve"> </w:t>
      </w:r>
      <w:r>
        <w:rPr>
          <w:rFonts w:ascii="Arial" w:cs="Arial" w:eastAsia="Arial" w:hAnsi="Arial"/>
          <w:sz w:val="16"/>
          <w:szCs w:val="16"/>
          <w:color w:val="FF0000"/>
          <w:strike w:val="1"/>
        </w:rPr>
        <w:t>then</w:t>
      </w:r>
      <w:r>
        <w:rPr>
          <w:rFonts w:ascii="Arial" w:cs="Arial" w:eastAsia="Arial" w:hAnsi="Arial"/>
          <w:sz w:val="16"/>
          <w:szCs w:val="16"/>
          <w:color w:val="0000FF"/>
        </w:rPr>
        <w:t xml:space="preserve"> </w:t>
      </w:r>
      <w:r>
        <w:rPr>
          <w:rFonts w:ascii="Arial" w:cs="Arial" w:eastAsia="Arial" w:hAnsi="Arial"/>
          <w:sz w:val="16"/>
          <w:szCs w:val="16"/>
          <w:color w:val="000000"/>
        </w:rPr>
        <w:t xml:space="preserve">current Interest Period </w:t>
      </w:r>
      <w:r>
        <w:rPr>
          <w:rFonts w:ascii="Arial" w:cs="Arial" w:eastAsia="Arial" w:hAnsi="Arial"/>
          <w:sz w:val="16"/>
          <w:szCs w:val="16"/>
          <w:color w:val="FF0000"/>
          <w:strike w:val="1"/>
        </w:rPr>
        <w:t>applicable to such Eurocurrency Rate Loan; or (B) convert the then outstanding principal amount of each such Eurocurrency Rate</w:t>
      </w:r>
      <w:r>
        <w:rPr>
          <w:rFonts w:ascii="Arial" w:cs="Arial" w:eastAsia="Arial" w:hAnsi="Arial"/>
          <w:sz w:val="16"/>
          <w:szCs w:val="16"/>
          <w:color w:val="000000"/>
        </w:rPr>
        <w:t xml:space="preserve"> </w:t>
      </w:r>
      <w:r>
        <w:rPr>
          <w:rFonts w:ascii="Arial" w:cs="Arial" w:eastAsia="Arial" w:hAnsi="Arial"/>
          <w:sz w:val="16"/>
          <w:szCs w:val="16"/>
          <w:color w:val="FF0000"/>
          <w:strike w:val="1"/>
        </w:rPr>
        <w:t>Loan to a Base Rate Loan denominated in Dollars as of the last day of such Interest Period.</w:t>
      </w:r>
      <w:r>
        <w:rPr>
          <w:rFonts w:ascii="Arial" w:cs="Arial" w:eastAsia="Arial" w:hAnsi="Arial"/>
          <w:sz w:val="16"/>
          <w:szCs w:val="16"/>
          <w:u w:val="single" w:color="auto"/>
          <w:color w:val="0000FF"/>
          <w:strike w:val="1"/>
        </w:rPr>
        <w:t>, the Borrower shall be deemed to have elected clause</w:t>
      </w:r>
    </w:p>
    <w:p>
      <w:pPr>
        <w:spacing w:after="0" w:line="7" w:lineRule="exact"/>
        <w:rPr>
          <w:rFonts w:ascii="Arial" w:cs="Arial" w:eastAsia="Arial" w:hAnsi="Arial"/>
          <w:sz w:val="16"/>
          <w:szCs w:val="16"/>
          <w:u w:val="single" w:color="auto"/>
          <w:color w:val="0000FF"/>
        </w:rPr>
      </w:pPr>
    </w:p>
    <w:p>
      <w:pPr>
        <w:ind w:left="4" w:right="80"/>
        <w:spacing w:after="0" w:line="323" w:lineRule="auto"/>
        <w:rPr>
          <w:rFonts w:ascii="Arial" w:cs="Arial" w:eastAsia="Arial" w:hAnsi="Arial"/>
          <w:sz w:val="16"/>
          <w:szCs w:val="16"/>
          <w:u w:val="single" w:color="auto"/>
          <w:color w:val="0000FF"/>
        </w:rPr>
      </w:pPr>
      <w:r>
        <w:rPr>
          <w:rFonts w:ascii="Arial" w:cs="Arial" w:eastAsia="Arial" w:hAnsi="Arial"/>
          <w:sz w:val="16"/>
          <w:szCs w:val="16"/>
          <w:u w:val="single" w:color="auto"/>
          <w:color w:val="0000FF"/>
        </w:rPr>
        <w:t>(1) above. Upon any such prepayment or conversion, the Borrower shall also pay accrued interest (except with respect to any prepayment or conversion of a Daily Simple SONIA Loan) on the amount so prepaid or converted, together with any additional amounts required pursuant to Section 5.9.</w:t>
      </w:r>
    </w:p>
    <w:p>
      <w:pPr>
        <w:spacing w:after="0" w:line="30" w:lineRule="exact"/>
        <w:rPr>
          <w:rFonts w:ascii="Arial" w:cs="Arial" w:eastAsia="Arial" w:hAnsi="Arial"/>
          <w:sz w:val="16"/>
          <w:szCs w:val="16"/>
          <w:u w:val="single" w:color="auto"/>
          <w:color w:val="0000FF"/>
        </w:rPr>
      </w:pPr>
    </w:p>
    <w:p>
      <w:pPr>
        <w:ind w:left="4" w:right="20" w:firstLine="436"/>
        <w:spacing w:after="0" w:line="269" w:lineRule="auto"/>
        <w:tabs>
          <w:tab w:leader="none" w:pos="699"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Laws Affecting Eurocurrency Rate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 RFR</w:t>
      </w:r>
      <w:r>
        <w:rPr>
          <w:rFonts w:ascii="Arial" w:cs="Arial" w:eastAsia="Arial" w:hAnsi="Arial"/>
          <w:sz w:val="17"/>
          <w:szCs w:val="17"/>
          <w:color w:val="auto"/>
        </w:rPr>
        <w:t xml:space="preserve"> </w:t>
      </w:r>
      <w:r>
        <w:rPr>
          <w:rFonts w:ascii="Arial" w:cs="Arial" w:eastAsia="Arial" w:hAnsi="Arial"/>
          <w:sz w:val="17"/>
          <w:szCs w:val="17"/>
          <w:u w:val="single" w:color="auto"/>
          <w:color w:val="auto"/>
        </w:rPr>
        <w:t>Availability</w:t>
      </w:r>
      <w:r>
        <w:rPr>
          <w:rFonts w:ascii="Arial" w:cs="Arial" w:eastAsia="Arial" w:hAnsi="Arial"/>
          <w:sz w:val="17"/>
          <w:szCs w:val="17"/>
          <w:color w:val="auto"/>
        </w:rPr>
        <w:t xml:space="preserve">.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w:t>
      </w:r>
      <w:r>
        <w:rPr>
          <w:rFonts w:ascii="Arial" w:cs="Arial" w:eastAsia="Arial" w:hAnsi="Arial"/>
          <w:sz w:val="17"/>
          <w:szCs w:val="17"/>
          <w:u w:val="single" w:color="auto"/>
          <w:color w:val="0000FF"/>
        </w:rPr>
        <w:t>Daily Simple SONIA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Loan, Term SOFR Loan or</w:t>
      </w:r>
      <w:r>
        <w:rPr>
          <w:rFonts w:ascii="Arial" w:cs="Arial" w:eastAsia="Arial" w:hAnsi="Arial"/>
          <w:sz w:val="17"/>
          <w:szCs w:val="17"/>
          <w:color w:val="0000FF"/>
        </w:rPr>
        <w:t xml:space="preserve"> </w:t>
      </w:r>
      <w:r>
        <w:rPr>
          <w:rFonts w:ascii="Arial" w:cs="Arial" w:eastAsia="Arial" w:hAnsi="Arial"/>
          <w:sz w:val="17"/>
          <w:szCs w:val="17"/>
          <w:color w:val="000000"/>
        </w:rPr>
        <w:t>Eurocurrency Rate Loan</w:t>
      </w:r>
      <w:r>
        <w:rPr>
          <w:rFonts w:ascii="Arial" w:cs="Arial" w:eastAsia="Arial" w:hAnsi="Arial"/>
          <w:sz w:val="17"/>
          <w:szCs w:val="17"/>
          <w:color w:val="0000FF"/>
        </w:rPr>
        <w:t xml:space="preserve"> </w:t>
      </w:r>
      <w:r>
        <w:rPr>
          <w:rFonts w:ascii="Arial" w:cs="Arial" w:eastAsia="Arial" w:hAnsi="Arial"/>
          <w:sz w:val="17"/>
          <w:szCs w:val="17"/>
          <w:color w:val="FF0000"/>
          <w:strike w:val="1"/>
        </w:rPr>
        <w:t>(whether denominated in Dollars or an Alternative Currency)</w:t>
      </w:r>
      <w:r>
        <w:rPr>
          <w:rFonts w:ascii="Arial" w:cs="Arial" w:eastAsia="Arial" w:hAnsi="Arial"/>
          <w:sz w:val="17"/>
          <w:szCs w:val="17"/>
          <w:color w:val="000000"/>
        </w:rPr>
        <w:t>, or to determine or charge interest</w:t>
      </w:r>
      <w:r>
        <w:rPr>
          <w:rFonts w:ascii="Arial" w:cs="Arial" w:eastAsia="Arial" w:hAnsi="Arial"/>
          <w:sz w:val="17"/>
          <w:szCs w:val="17"/>
          <w:color w:val="0000FF"/>
        </w:rPr>
        <w:t xml:space="preserve"> </w:t>
      </w:r>
      <w:r>
        <w:rPr>
          <w:rFonts w:ascii="Arial" w:cs="Arial" w:eastAsia="Arial" w:hAnsi="Arial"/>
          <w:sz w:val="17"/>
          <w:szCs w:val="17"/>
          <w:color w:val="FF0000"/>
          <w:strike w:val="1"/>
        </w:rPr>
        <w:t>rates</w:t>
      </w:r>
      <w:r>
        <w:rPr>
          <w:rFonts w:ascii="Arial" w:cs="Arial" w:eastAsia="Arial" w:hAnsi="Arial"/>
          <w:sz w:val="17"/>
          <w:szCs w:val="17"/>
          <w:color w:val="FF0000"/>
        </w:rPr>
        <w:t xml:space="preserve"> </w:t>
      </w:r>
      <w:r>
        <w:rPr>
          <w:rFonts w:ascii="Arial" w:cs="Arial" w:eastAsia="Arial" w:hAnsi="Arial"/>
          <w:sz w:val="17"/>
          <w:szCs w:val="17"/>
          <w:color w:val="000000"/>
        </w:rPr>
        <w:t>based upon</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any applicable RFR, Daily Simple SONIA, the Term SOFR Reference Rate, Term SOFR, Adjusted Term SOFR,</w:t>
      </w:r>
      <w:r>
        <w:rPr>
          <w:rFonts w:ascii="Arial" w:cs="Arial" w:eastAsia="Arial" w:hAnsi="Arial"/>
          <w:sz w:val="17"/>
          <w:szCs w:val="17"/>
          <w:color w:val="FF0000"/>
        </w:rPr>
        <w:t xml:space="preserve"> </w:t>
      </w:r>
      <w:r>
        <w:rPr>
          <w:rFonts w:ascii="Arial" w:cs="Arial" w:eastAsia="Arial" w:hAnsi="Arial"/>
          <w:sz w:val="17"/>
          <w:szCs w:val="17"/>
          <w:color w:val="000000"/>
        </w:rPr>
        <w:t>the Eurocurrency</w:t>
      </w:r>
      <w:r>
        <w:rPr>
          <w:rFonts w:ascii="Arial" w:cs="Arial" w:eastAsia="Arial" w:hAnsi="Arial"/>
          <w:sz w:val="17"/>
          <w:szCs w:val="17"/>
          <w:color w:val="FF0000"/>
        </w:rPr>
        <w:t xml:space="preserve"> </w:t>
      </w:r>
      <w:r>
        <w:rPr>
          <w:rFonts w:ascii="Arial" w:cs="Arial" w:eastAsia="Arial" w:hAnsi="Arial"/>
          <w:sz w:val="17"/>
          <w:szCs w:val="17"/>
          <w:color w:val="000000"/>
        </w:rPr>
        <w:t>Rate</w:t>
      </w:r>
      <w:r>
        <w:rPr>
          <w:rFonts w:ascii="Arial" w:cs="Arial" w:eastAsia="Arial" w:hAnsi="Arial"/>
          <w:sz w:val="17"/>
          <w:szCs w:val="17"/>
          <w:color w:val="FF0000"/>
          <w:strike w:val="1"/>
        </w:rPr>
        <w:t>,</w:t>
      </w:r>
      <w:r>
        <w:rPr>
          <w:rFonts w:ascii="Arial" w:cs="Arial" w:eastAsia="Arial" w:hAnsi="Arial"/>
          <w:sz w:val="17"/>
          <w:szCs w:val="17"/>
          <w:color w:val="000000"/>
        </w:rPr>
        <w:t xml:space="preserve"> or </w:t>
      </w:r>
      <w:r>
        <w:rPr>
          <w:rFonts w:ascii="Arial" w:cs="Arial" w:eastAsia="Arial" w:hAnsi="Arial"/>
          <w:sz w:val="17"/>
          <w:szCs w:val="17"/>
          <w:color w:val="FF0000"/>
          <w:strike w:val="1"/>
        </w:rPr>
        <w:t>any Governmental Authority has imposed material restrictions on the authority of such Lender to purchase or sell, or to take deposits of, Dollars</w:t>
      </w:r>
      <w:r>
        <w:rPr>
          <w:rFonts w:ascii="Arial" w:cs="Arial" w:eastAsia="Arial" w:hAnsi="Arial"/>
          <w:sz w:val="17"/>
          <w:szCs w:val="17"/>
          <w:color w:val="000000"/>
        </w:rPr>
        <w:t xml:space="preserve"> </w:t>
      </w:r>
      <w:r>
        <w:rPr>
          <w:rFonts w:ascii="Arial" w:cs="Arial" w:eastAsia="Arial" w:hAnsi="Arial"/>
          <w:sz w:val="17"/>
          <w:szCs w:val="17"/>
          <w:color w:val="FF0000"/>
          <w:strike w:val="1"/>
        </w:rPr>
        <w:t>in the London interbank market</w:t>
      </w:r>
      <w:r>
        <w:rPr>
          <w:rFonts w:ascii="Arial" w:cs="Arial" w:eastAsia="Arial" w:hAnsi="Arial"/>
          <w:sz w:val="17"/>
          <w:szCs w:val="17"/>
          <w:u w:val="single" w:color="auto"/>
          <w:color w:val="0000FF"/>
        </w:rPr>
        <w:t>the Adjusted Eurocurrency Rate</w:t>
      </w:r>
      <w:r>
        <w:rPr>
          <w:rFonts w:ascii="Arial" w:cs="Arial" w:eastAsia="Arial" w:hAnsi="Arial"/>
          <w:sz w:val="17"/>
          <w:szCs w:val="17"/>
          <w:color w:val="000000"/>
        </w:rPr>
        <w:t>, such Lender shall promptly give notice thereof to the Administrative Agent and the</w:t>
      </w:r>
      <w:r>
        <w:rPr>
          <w:rFonts w:ascii="Arial" w:cs="Arial" w:eastAsia="Arial" w:hAnsi="Arial"/>
          <w:sz w:val="17"/>
          <w:szCs w:val="17"/>
          <w:color w:val="FF0000"/>
        </w:rPr>
        <w:t xml:space="preserve"> </w:t>
      </w:r>
      <w:r>
        <w:rPr>
          <w:rFonts w:ascii="Arial" w:cs="Arial" w:eastAsia="Arial" w:hAnsi="Arial"/>
          <w:sz w:val="17"/>
          <w:szCs w:val="17"/>
          <w:color w:val="000000"/>
        </w:rPr>
        <w:t xml:space="preserve">Administrative Agent shall promptly give notice to the Borrower and the other Lenders </w:t>
      </w:r>
      <w:r>
        <w:rPr>
          <w:rFonts w:ascii="Arial" w:cs="Arial" w:eastAsia="Arial" w:hAnsi="Arial"/>
          <w:sz w:val="17"/>
          <w:szCs w:val="17"/>
          <w:color w:val="0000FF"/>
        </w:rPr>
        <w:t>(an “Illegality Notice”)</w:t>
      </w:r>
      <w:r>
        <w:rPr>
          <w:rFonts w:ascii="Arial" w:cs="Arial" w:eastAsia="Arial" w:hAnsi="Arial"/>
          <w:sz w:val="17"/>
          <w:szCs w:val="17"/>
          <w:color w:val="000000"/>
        </w:rPr>
        <w:t xml:space="preserve">. Thereafter, until </w:t>
      </w:r>
      <w:r>
        <w:rPr>
          <w:rFonts w:ascii="Arial" w:cs="Arial" w:eastAsia="Arial" w:hAnsi="Arial"/>
          <w:sz w:val="17"/>
          <w:szCs w:val="17"/>
          <w:u w:val="single" w:color="auto"/>
          <w:color w:val="0000FF"/>
        </w:rPr>
        <w:t>each affected Lender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notifies the Administrative Agent and</w:t>
      </w:r>
      <w:r>
        <w:rPr>
          <w:rFonts w:ascii="Arial" w:cs="Arial" w:eastAsia="Arial" w:hAnsi="Arial"/>
          <w:sz w:val="17"/>
          <w:szCs w:val="17"/>
          <w:color w:val="0000FF"/>
        </w:rPr>
        <w:t xml:space="preserve"> </w:t>
      </w:r>
      <w:r>
        <w:rPr>
          <w:rFonts w:ascii="Arial" w:cs="Arial" w:eastAsia="Arial" w:hAnsi="Arial"/>
          <w:sz w:val="17"/>
          <w:szCs w:val="17"/>
          <w:color w:val="000000"/>
        </w:rPr>
        <w:t>the Administrative Agent notifies the Borrower that</w:t>
      </w:r>
      <w:r>
        <w:rPr>
          <w:rFonts w:ascii="Arial" w:cs="Arial" w:eastAsia="Arial" w:hAnsi="Arial"/>
          <w:sz w:val="17"/>
          <w:szCs w:val="17"/>
          <w:color w:val="0000FF"/>
        </w:rPr>
        <w:t xml:space="preserve"> </w:t>
      </w:r>
      <w:r>
        <w:rPr>
          <w:rFonts w:ascii="Arial" w:cs="Arial" w:eastAsia="Arial" w:hAnsi="Arial"/>
          <w:sz w:val="17"/>
          <w:szCs w:val="17"/>
          <w:color w:val="FF0000"/>
          <w:strike w:val="1"/>
        </w:rPr>
        <w:t>such</w:t>
      </w:r>
      <w:r>
        <w:rPr>
          <w:rFonts w:ascii="Arial" w:cs="Arial" w:eastAsia="Arial" w:hAnsi="Arial"/>
          <w:sz w:val="17"/>
          <w:szCs w:val="17"/>
          <w:u w:val="single" w:color="auto"/>
          <w:color w:val="0000FF"/>
        </w:rPr>
        <w:t>the</w:t>
      </w:r>
      <w:r>
        <w:rPr>
          <w:rFonts w:ascii="Arial" w:cs="Arial" w:eastAsia="Arial" w:hAnsi="Arial"/>
          <w:sz w:val="17"/>
          <w:szCs w:val="17"/>
          <w:color w:val="0000FF"/>
        </w:rPr>
        <w:t xml:space="preserve"> </w:t>
      </w:r>
      <w:r>
        <w:rPr>
          <w:rFonts w:ascii="Arial" w:cs="Arial" w:eastAsia="Arial" w:hAnsi="Arial"/>
          <w:sz w:val="17"/>
          <w:szCs w:val="17"/>
          <w:color w:val="000000"/>
        </w:rPr>
        <w:t>circumstances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giving rise to such determination</w:t>
      </w:r>
      <w:r>
        <w:rPr>
          <w:rFonts w:ascii="Arial" w:cs="Arial" w:eastAsia="Arial" w:hAnsi="Arial"/>
          <w:sz w:val="17"/>
          <w:szCs w:val="17"/>
          <w:color w:val="0000FF"/>
        </w:rPr>
        <w:t xml:space="preserve"> </w:t>
      </w:r>
      <w:r>
        <w:rPr>
          <w:rFonts w:ascii="Arial" w:cs="Arial" w:eastAsia="Arial" w:hAnsi="Arial"/>
          <w:sz w:val="17"/>
          <w:szCs w:val="17"/>
          <w:color w:val="000000"/>
        </w:rPr>
        <w:t>no</w:t>
      </w:r>
      <w:r>
        <w:rPr>
          <w:rFonts w:ascii="Arial" w:cs="Arial" w:eastAsia="Arial" w:hAnsi="Arial"/>
          <w:sz w:val="17"/>
          <w:szCs w:val="17"/>
          <w:color w:val="0000FF"/>
        </w:rPr>
        <w:t xml:space="preserve"> </w:t>
      </w:r>
      <w:r>
        <w:rPr>
          <w:rFonts w:ascii="Arial" w:cs="Arial" w:eastAsia="Arial" w:hAnsi="Arial"/>
          <w:sz w:val="17"/>
          <w:szCs w:val="17"/>
          <w:color w:val="000000"/>
        </w:rPr>
        <w:t xml:space="preserve">longer exist, (i)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-3511550</wp:posOffset>
            </wp:positionV>
            <wp:extent cx="85725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-3536950</wp:posOffset>
            </wp:positionV>
            <wp:extent cx="8566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661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-288290</wp:posOffset>
            </wp:positionV>
            <wp:extent cx="10890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-313690</wp:posOffset>
            </wp:positionV>
            <wp:extent cx="10883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9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4"/>
          </w:cols>
          <w:pgMar w:left="436" w:top="490" w:right="459" w:bottom="1440" w:gutter="0" w:footer="0" w:header="0"/>
        </w:sectPr>
      </w:pPr>
    </w:p>
    <w:bookmarkStart w:id="128" w:name="page129"/>
    <w:bookmarkEnd w:id="128"/>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obligation</w:t>
      </w:r>
      <w:r>
        <w:rPr>
          <w:rFonts w:ascii="Arial" w:cs="Arial" w:eastAsia="Arial" w:hAnsi="Arial"/>
          <w:sz w:val="16"/>
          <w:szCs w:val="16"/>
          <w:color w:val="FF0000"/>
          <w:strike w:val="1"/>
        </w:rPr>
        <w:t>s</w:t>
      </w:r>
      <w:r>
        <w:rPr>
          <w:rFonts w:ascii="Arial" w:cs="Arial" w:eastAsia="Arial" w:hAnsi="Arial"/>
          <w:sz w:val="16"/>
          <w:szCs w:val="16"/>
          <w:color w:val="auto"/>
        </w:rPr>
        <w:t xml:space="preserve"> of the Lenders to make </w:t>
      </w:r>
      <w:r>
        <w:rPr>
          <w:rFonts w:ascii="Arial" w:cs="Arial" w:eastAsia="Arial" w:hAnsi="Arial"/>
          <w:sz w:val="16"/>
          <w:szCs w:val="16"/>
          <w:u w:val="single" w:color="auto"/>
          <w:color w:val="0000FF"/>
        </w:rPr>
        <w:t>RFR Loans or</w:t>
      </w:r>
      <w:r>
        <w:rPr>
          <w:rFonts w:ascii="Arial" w:cs="Arial" w:eastAsia="Arial" w:hAnsi="Arial"/>
          <w:sz w:val="16"/>
          <w:szCs w:val="16"/>
          <w:color w:val="auto"/>
        </w:rPr>
        <w:t xml:space="preserve"> Eurocurrency Rate Loans</w:t>
      </w:r>
      <w:r>
        <w:rPr>
          <w:rFonts w:ascii="Arial" w:cs="Arial" w:eastAsia="Arial" w:hAnsi="Arial"/>
          <w:sz w:val="16"/>
          <w:szCs w:val="16"/>
          <w:u w:val="single" w:color="auto"/>
          <w:color w:val="0000FF"/>
        </w:rPr>
        <w:t>, as applicable,</w:t>
      </w:r>
      <w:r>
        <w:rPr>
          <w:rFonts w:ascii="Arial" w:cs="Arial" w:eastAsia="Arial" w:hAnsi="Arial"/>
          <w:sz w:val="16"/>
          <w:szCs w:val="16"/>
          <w:color w:val="auto"/>
        </w:rPr>
        <w:t xml:space="preserve"> in the affected </w:t>
      </w:r>
      <w:r>
        <w:rPr>
          <w:rFonts w:ascii="Arial" w:cs="Arial" w:eastAsia="Arial" w:hAnsi="Arial"/>
          <w:sz w:val="16"/>
          <w:szCs w:val="16"/>
          <w:color w:val="FF0000"/>
          <w:strike w:val="1"/>
        </w:rPr>
        <w:t>c</w:t>
      </w:r>
      <w:r>
        <w:rPr>
          <w:rFonts w:ascii="Arial" w:cs="Arial" w:eastAsia="Arial" w:hAnsi="Arial"/>
          <w:sz w:val="16"/>
          <w:szCs w:val="16"/>
          <w:u w:val="single" w:color="auto"/>
          <w:color w:val="0000FF"/>
        </w:rPr>
        <w:t>C</w:t>
      </w:r>
      <w:r>
        <w:rPr>
          <w:rFonts w:ascii="Arial" w:cs="Arial" w:eastAsia="Arial" w:hAnsi="Arial"/>
          <w:sz w:val="16"/>
          <w:szCs w:val="16"/>
          <w:color w:val="auto"/>
        </w:rPr>
        <w:t xml:space="preserve">urrency or </w:t>
      </w:r>
      <w:r>
        <w:rPr>
          <w:rFonts w:ascii="Arial" w:cs="Arial" w:eastAsia="Arial" w:hAnsi="Arial"/>
          <w:sz w:val="16"/>
          <w:szCs w:val="16"/>
          <w:color w:val="FF0000"/>
          <w:strike w:val="1"/>
        </w:rPr>
        <w:t>c</w:t>
      </w:r>
      <w:r>
        <w:rPr>
          <w:rFonts w:ascii="Arial" w:cs="Arial" w:eastAsia="Arial" w:hAnsi="Arial"/>
          <w:sz w:val="16"/>
          <w:szCs w:val="16"/>
          <w:u w:val="single" w:color="auto"/>
          <w:color w:val="0000FF"/>
        </w:rPr>
        <w:t>C</w:t>
      </w:r>
      <w:r>
        <w:rPr>
          <w:rFonts w:ascii="Arial" w:cs="Arial" w:eastAsia="Arial" w:hAnsi="Arial"/>
          <w:sz w:val="16"/>
          <w:szCs w:val="16"/>
          <w:color w:val="auto"/>
        </w:rPr>
        <w:t xml:space="preserve">urrencies, and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w:t>
      </w:r>
      <w:r>
        <w:rPr>
          <w:rFonts w:ascii="Arial" w:cs="Arial" w:eastAsia="Arial" w:hAnsi="Arial"/>
          <w:sz w:val="16"/>
          <w:szCs w:val="16"/>
          <w:color w:val="auto"/>
        </w:rPr>
        <w:t xml:space="preserve"> right of the Borrower to convert any Loan </w:t>
      </w:r>
      <w:r>
        <w:rPr>
          <w:rFonts w:ascii="Arial" w:cs="Arial" w:eastAsia="Arial" w:hAnsi="Arial"/>
          <w:sz w:val="16"/>
          <w:szCs w:val="16"/>
          <w:color w:val="FF0000"/>
          <w:strike w:val="1"/>
        </w:rPr>
        <w:t>to a Eurocurrency Rate</w:t>
      </w:r>
      <w:r>
        <w:rPr>
          <w:rFonts w:ascii="Arial" w:cs="Arial" w:eastAsia="Arial" w:hAnsi="Arial"/>
          <w:sz w:val="16"/>
          <w:szCs w:val="16"/>
          <w:u w:val="single" w:color="auto"/>
          <w:color w:val="0000FF"/>
        </w:rPr>
        <w:t>denominated in Dollars to a Term SOFR</w:t>
      </w:r>
      <w:r>
        <w:rPr>
          <w:rFonts w:ascii="Arial" w:cs="Arial" w:eastAsia="Arial" w:hAnsi="Arial"/>
          <w:sz w:val="16"/>
          <w:szCs w:val="16"/>
          <w:color w:val="auto"/>
        </w:rPr>
        <w:t xml:space="preserve"> Loan or continue any Loan as </w:t>
      </w:r>
      <w:r>
        <w:rPr>
          <w:rFonts w:ascii="Arial" w:cs="Arial" w:eastAsia="Arial" w:hAnsi="Arial"/>
          <w:sz w:val="16"/>
          <w:szCs w:val="16"/>
          <w:u w:val="single" w:color="auto"/>
          <w:color w:val="0000FF"/>
        </w:rPr>
        <w:t>an RFR Loan or</w:t>
      </w:r>
      <w:r>
        <w:rPr>
          <w:rFonts w:ascii="Arial" w:cs="Arial" w:eastAsia="Arial" w:hAnsi="Arial"/>
          <w:sz w:val="16"/>
          <w:szCs w:val="16"/>
          <w:color w:val="auto"/>
        </w:rPr>
        <w:t xml:space="preserve"> a Eurocurrency Rate Loan</w:t>
      </w:r>
      <w:r>
        <w:rPr>
          <w:rFonts w:ascii="Arial" w:cs="Arial" w:eastAsia="Arial" w:hAnsi="Arial"/>
          <w:sz w:val="16"/>
          <w:szCs w:val="16"/>
          <w:u w:val="single" w:color="auto"/>
          <w:color w:val="0000FF"/>
        </w:rPr>
        <w:t>, as applicable, in the affected Currency or Currencies</w:t>
      </w:r>
      <w:r>
        <w:rPr>
          <w:rFonts w:ascii="Arial" w:cs="Arial" w:eastAsia="Arial" w:hAnsi="Arial"/>
          <w:sz w:val="16"/>
          <w:szCs w:val="16"/>
          <w:color w:val="auto"/>
        </w:rPr>
        <w:t xml:space="preserve"> shall be suspended and </w:t>
      </w:r>
      <w:r>
        <w:rPr>
          <w:rFonts w:ascii="Arial" w:cs="Arial" w:eastAsia="Arial" w:hAnsi="Arial"/>
          <w:sz w:val="16"/>
          <w:szCs w:val="16"/>
          <w:color w:val="FF0000"/>
          <w:strike w:val="1"/>
        </w:rPr>
        <w:t>thereafter the Borrower may select only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(ii) if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 xml:space="preserve">necessary to avoid such illegality, the Administrative Agent shall compute the Base Rate without reference to clause (c) of the definition of “Base Rate”. Upon receipt of an Illegality Notice, the Borrower shall, if necessary to avoid such illegality, upon demand from any Lender (with a copy to the Administrative Agent), prepay or, if applicable, (A) convert all Term SOFR Loans to Base Rate Loans or (B) convert all RFR Loans or </w:t>
      </w:r>
      <w:r>
        <w:rPr>
          <w:rFonts w:ascii="Arial" w:cs="Arial" w:eastAsia="Arial" w:hAnsi="Arial"/>
          <w:sz w:val="16"/>
          <w:szCs w:val="16"/>
          <w:u w:val="single" w:color="auto"/>
          <w:color w:val="008000"/>
        </w:rPr>
        <w:t>Eurocurrency</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Rate Loans denominated in</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an affected Alternative Currency to</w:t>
      </w:r>
      <w:r>
        <w:rPr>
          <w:rFonts w:ascii="Arial" w:cs="Arial" w:eastAsia="Arial" w:hAnsi="Arial"/>
          <w:sz w:val="16"/>
          <w:szCs w:val="16"/>
          <w:color w:val="008000"/>
        </w:rPr>
        <w:t xml:space="preserve"> </w:t>
      </w:r>
      <w:r>
        <w:rPr>
          <w:rFonts w:ascii="Arial" w:cs="Arial" w:eastAsia="Arial" w:hAnsi="Arial"/>
          <w:sz w:val="16"/>
          <w:szCs w:val="16"/>
          <w:color w:val="000000"/>
        </w:rPr>
        <w:t>Base Rate Loans denominated in Dollars</w:t>
      </w:r>
      <w:r>
        <w:rPr>
          <w:rFonts w:ascii="Arial" w:cs="Arial" w:eastAsia="Arial" w:hAnsi="Arial"/>
          <w:sz w:val="16"/>
          <w:szCs w:val="16"/>
          <w:color w:val="008000"/>
        </w:rPr>
        <w:t xml:space="preserve"> </w:t>
      </w:r>
      <w:r>
        <w:rPr>
          <w:rFonts w:ascii="Arial" w:cs="Arial" w:eastAsia="Arial" w:hAnsi="Arial"/>
          <w:sz w:val="16"/>
          <w:szCs w:val="16"/>
          <w:color w:val="FF0000"/>
          <w:strike w:val="1"/>
        </w:rPr>
        <w:t>and (ii) if any of the Lenders</w:t>
      </w:r>
      <w:r>
        <w:rPr>
          <w:rFonts w:ascii="Arial" w:cs="Arial" w:eastAsia="Arial" w:hAnsi="Arial"/>
          <w:sz w:val="16"/>
          <w:szCs w:val="16"/>
          <w:u w:val="single" w:color="auto"/>
          <w:color w:val="0000FF"/>
        </w:rPr>
        <w:t>(in an amount</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 xml:space="preserve">equal to the Dollar Equivalent of such Alternative Currency) (in each case, if necessary to avoid such illegality, the Administrative Agent shall compute the Base Rate without reference to clause (c) of the definition of “Base Rate”), (I) with respect to Daily Simple SONIA Loans, on the Interest Payment Date therefor, if all affected Lenders may lawfully continue to maintain such Daily Simple SONIA Loans to such day, or immediately, if any Lender </w:t>
      </w:r>
      <w:r>
        <w:rPr>
          <w:rFonts w:ascii="Arial" w:cs="Arial" w:eastAsia="Arial" w:hAnsi="Arial"/>
          <w:sz w:val="16"/>
          <w:szCs w:val="16"/>
          <w:color w:val="000000"/>
        </w:rPr>
        <w:t xml:space="preserve">may not lawfully continue to maintain </w:t>
      </w:r>
      <w:r>
        <w:rPr>
          <w:rFonts w:ascii="Arial" w:cs="Arial" w:eastAsia="Arial" w:hAnsi="Arial"/>
          <w:sz w:val="16"/>
          <w:szCs w:val="16"/>
          <w:color w:val="FF0000"/>
          <w:strike w:val="1"/>
        </w:rPr>
        <w:t>a</w:t>
      </w:r>
      <w:r>
        <w:rPr>
          <w:rFonts w:ascii="Arial" w:cs="Arial" w:eastAsia="Arial" w:hAnsi="Arial"/>
          <w:sz w:val="16"/>
          <w:szCs w:val="16"/>
          <w:u w:val="single" w:color="auto"/>
          <w:color w:val="0000FF"/>
        </w:rPr>
        <w:t>such Daily Simple SONIA Loans to such day or (II) with respect to</w:t>
      </w:r>
      <w:r>
        <w:rPr>
          <w:rFonts w:ascii="Arial" w:cs="Arial" w:eastAsia="Arial" w:hAnsi="Arial"/>
          <w:sz w:val="16"/>
          <w:szCs w:val="16"/>
          <w:color w:val="000000"/>
        </w:rPr>
        <w:t xml:space="preserve"> Eurocurrency Rate Loan</w:t>
      </w:r>
      <w:r>
        <w:rPr>
          <w:rFonts w:ascii="Arial" w:cs="Arial" w:eastAsia="Arial" w:hAnsi="Arial"/>
          <w:sz w:val="16"/>
          <w:szCs w:val="16"/>
          <w:u w:val="single" w:color="auto"/>
          <w:color w:val="0000FF"/>
        </w:rPr>
        <w:t>s</w:t>
      </w:r>
      <w:r>
        <w:rPr>
          <w:rFonts w:ascii="Arial" w:cs="Arial" w:eastAsia="Arial" w:hAnsi="Arial"/>
          <w:sz w:val="16"/>
          <w:szCs w:val="16"/>
          <w:color w:val="000000"/>
        </w:rPr>
        <w:t xml:space="preserve"> </w:t>
      </w:r>
      <w:r>
        <w:rPr>
          <w:rFonts w:ascii="Arial" w:cs="Arial" w:eastAsia="Arial" w:hAnsi="Arial"/>
          <w:sz w:val="16"/>
          <w:szCs w:val="16"/>
          <w:color w:val="FF0000"/>
        </w:rPr>
        <w:t>to</w:t>
      </w:r>
      <w:r>
        <w:rPr>
          <w:rFonts w:ascii="Arial" w:cs="Arial" w:eastAsia="Arial" w:hAnsi="Arial"/>
          <w:sz w:val="16"/>
          <w:szCs w:val="16"/>
          <w:u w:val="single" w:color="auto"/>
          <w:color w:val="0000FF"/>
        </w:rPr>
        <w:t>or Term SOFR</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Loans, on</w:t>
      </w:r>
      <w:r>
        <w:rPr>
          <w:rFonts w:ascii="Arial" w:cs="Arial" w:eastAsia="Arial" w:hAnsi="Arial"/>
          <w:sz w:val="16"/>
          <w:szCs w:val="16"/>
          <w:color w:val="0000FF"/>
        </w:rPr>
        <w:t xml:space="preserve"> </w:t>
      </w:r>
      <w:r>
        <w:rPr>
          <w:rFonts w:ascii="Arial" w:cs="Arial" w:eastAsia="Arial" w:hAnsi="Arial"/>
          <w:sz w:val="16"/>
          <w:szCs w:val="16"/>
          <w:color w:val="000000"/>
        </w:rPr>
        <w:t>the</w:t>
      </w:r>
      <w:r>
        <w:rPr>
          <w:rFonts w:ascii="Arial" w:cs="Arial" w:eastAsia="Arial" w:hAnsi="Arial"/>
          <w:sz w:val="16"/>
          <w:szCs w:val="16"/>
          <w:color w:val="0000FF"/>
        </w:rPr>
        <w:t xml:space="preserve"> </w:t>
      </w:r>
      <w:r>
        <w:rPr>
          <w:rFonts w:ascii="Arial" w:cs="Arial" w:eastAsia="Arial" w:hAnsi="Arial"/>
          <w:sz w:val="16"/>
          <w:szCs w:val="16"/>
          <w:color w:val="FF0000"/>
          <w:strike w:val="1"/>
        </w:rPr>
        <w:t>end</w:t>
      </w:r>
      <w:r>
        <w:rPr>
          <w:rFonts w:ascii="Arial" w:cs="Arial" w:eastAsia="Arial" w:hAnsi="Arial"/>
          <w:sz w:val="16"/>
          <w:szCs w:val="16"/>
          <w:u w:val="single" w:color="auto"/>
          <w:color w:val="0000FF"/>
        </w:rPr>
        <w:t>last day</w:t>
      </w:r>
      <w:r>
        <w:rPr>
          <w:rFonts w:ascii="Arial" w:cs="Arial" w:eastAsia="Arial" w:hAnsi="Arial"/>
          <w:sz w:val="16"/>
          <w:szCs w:val="16"/>
          <w:color w:val="0000FF"/>
        </w:rPr>
        <w:t xml:space="preserve"> </w:t>
      </w:r>
      <w:r>
        <w:rPr>
          <w:rFonts w:ascii="Arial" w:cs="Arial" w:eastAsia="Arial" w:hAnsi="Arial"/>
          <w:sz w:val="16"/>
          <w:szCs w:val="16"/>
          <w:color w:val="000000"/>
        </w:rPr>
        <w:t>of the</w:t>
      </w:r>
      <w:r>
        <w:rPr>
          <w:rFonts w:ascii="Arial" w:cs="Arial" w:eastAsia="Arial" w:hAnsi="Arial"/>
          <w:sz w:val="16"/>
          <w:szCs w:val="16"/>
          <w:color w:val="0000FF"/>
        </w:rPr>
        <w:t xml:space="preserve"> </w:t>
      </w:r>
      <w:r>
        <w:rPr>
          <w:rFonts w:ascii="Arial" w:cs="Arial" w:eastAsia="Arial" w:hAnsi="Arial"/>
          <w:sz w:val="16"/>
          <w:szCs w:val="16"/>
          <w:color w:val="FF0000"/>
          <w:strike w:val="1"/>
        </w:rPr>
        <w:t>then current</w:t>
      </w:r>
      <w:r>
        <w:rPr>
          <w:rFonts w:ascii="Arial" w:cs="Arial" w:eastAsia="Arial" w:hAnsi="Arial"/>
          <w:sz w:val="16"/>
          <w:szCs w:val="16"/>
          <w:color w:val="0000FF"/>
        </w:rPr>
        <w:t xml:space="preserve"> </w:t>
      </w:r>
      <w:r>
        <w:rPr>
          <w:rFonts w:ascii="Arial" w:cs="Arial" w:eastAsia="Arial" w:hAnsi="Arial"/>
          <w:sz w:val="16"/>
          <w:szCs w:val="16"/>
          <w:color w:val="000000"/>
        </w:rPr>
        <w:t>Interest Period</w:t>
      </w:r>
      <w:r>
        <w:rPr>
          <w:rFonts w:ascii="Arial" w:cs="Arial" w:eastAsia="Arial" w:hAnsi="Arial"/>
          <w:sz w:val="16"/>
          <w:szCs w:val="16"/>
          <w:color w:val="0000FF"/>
        </w:rPr>
        <w:t xml:space="preserve"> </w:t>
      </w:r>
      <w:r>
        <w:rPr>
          <w:rFonts w:ascii="Arial" w:cs="Arial" w:eastAsia="Arial" w:hAnsi="Arial"/>
          <w:sz w:val="16"/>
          <w:szCs w:val="16"/>
          <w:color w:val="FF0000"/>
          <w:strike w:val="1"/>
        </w:rPr>
        <w:t>applicable thereto, the applicable Loan shall immediately</w:t>
      </w:r>
      <w:r>
        <w:rPr>
          <w:rFonts w:ascii="Arial" w:cs="Arial" w:eastAsia="Arial" w:hAnsi="Arial"/>
          <w:sz w:val="16"/>
          <w:szCs w:val="16"/>
          <w:color w:val="0000FF"/>
        </w:rPr>
        <w:t xml:space="preserve"> </w:t>
      </w:r>
      <w:r>
        <w:rPr>
          <w:rFonts w:ascii="Arial" w:cs="Arial" w:eastAsia="Arial" w:hAnsi="Arial"/>
          <w:sz w:val="16"/>
          <w:szCs w:val="16"/>
          <w:color w:val="008000"/>
          <w:strike w:val="1"/>
        </w:rPr>
        <w:t>be converted to a Base Rate Loan</w:t>
      </w:r>
      <w:r>
        <w:rPr>
          <w:rFonts w:ascii="Arial" w:cs="Arial" w:eastAsia="Arial" w:hAnsi="Arial"/>
          <w:sz w:val="16"/>
          <w:szCs w:val="16"/>
          <w:color w:val="0000FF"/>
        </w:rPr>
        <w:t xml:space="preserve"> </w:t>
      </w:r>
      <w:r>
        <w:rPr>
          <w:rFonts w:ascii="Arial" w:cs="Arial" w:eastAsia="Arial" w:hAnsi="Arial"/>
          <w:sz w:val="16"/>
          <w:szCs w:val="16"/>
          <w:color w:val="008000"/>
          <w:strike w:val="1"/>
        </w:rPr>
        <w:t xml:space="preserve">denominated in Dollars </w:t>
      </w:r>
      <w:r>
        <w:rPr>
          <w:rFonts w:ascii="Arial" w:cs="Arial" w:eastAsia="Arial" w:hAnsi="Arial"/>
          <w:sz w:val="16"/>
          <w:szCs w:val="16"/>
          <w:color w:val="FF0000"/>
          <w:strike w:val="1"/>
        </w:rPr>
        <w:t>for the remainder of such Interest Period.</w:t>
      </w:r>
      <w:r>
        <w:rPr>
          <w:rFonts w:ascii="Arial" w:cs="Arial" w:eastAsia="Arial" w:hAnsi="Arial"/>
          <w:sz w:val="16"/>
          <w:szCs w:val="16"/>
          <w:u w:val="single" w:color="auto"/>
          <w:color w:val="0000FF"/>
          <w:strike w:val="1"/>
        </w:rPr>
        <w:t>therefor, if all affected Lenders may lawfully continue to maintain such Eurocurrency</w:t>
      </w:r>
      <w:r>
        <w:rPr>
          <w:rFonts w:ascii="Arial" w:cs="Arial" w:eastAsia="Arial" w:hAnsi="Arial"/>
          <w:sz w:val="16"/>
          <w:szCs w:val="16"/>
          <w:color w:val="008000"/>
          <w:strike w:val="1"/>
        </w:rPr>
        <w:t xml:space="preserve"> </w:t>
      </w:r>
      <w:r>
        <w:rPr>
          <w:rFonts w:ascii="Arial" w:cs="Arial" w:eastAsia="Arial" w:hAnsi="Arial"/>
          <w:sz w:val="16"/>
          <w:szCs w:val="16"/>
          <w:u w:val="single" w:color="auto"/>
          <w:color w:val="0000FF"/>
          <w:strike w:val="1"/>
        </w:rPr>
        <w:t>Rate Loans or Term SOFR Loans, as applicable, to such day, or immediately, if any Lender may not lawfully continue to maintain such Eurocurrency Rate Loans or Term SOFR Loans, as applicable, to such day. Upon any such prepayment or conversion, the Borrower shall also pay accrued interest (except with respect to any prepayment or conversion of a Daily Simple SONIA Loan) on the amount so prepaid or converted, together with any additional amounts required pursuant to 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6099175</wp:posOffset>
            </wp:positionH>
            <wp:positionV relativeFrom="paragraph">
              <wp:posOffset>-778510</wp:posOffset>
            </wp:positionV>
            <wp:extent cx="11747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264" w:lineRule="exact"/>
        <w:rPr>
          <w:sz w:val="20"/>
          <w:szCs w:val="20"/>
          <w:color w:val="auto"/>
        </w:rPr>
      </w:pPr>
    </w:p>
    <w:p>
      <w:pPr>
        <w:ind w:left="680" w:hanging="244"/>
        <w:spacing w:after="0"/>
        <w:tabs>
          <w:tab w:leader="none" w:pos="680" w:val="left"/>
        </w:tabs>
        <w:numPr>
          <w:ilvl w:val="0"/>
          <w:numId w:val="121"/>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Alternative Rate of Interest</w:t>
      </w:r>
      <w:r>
        <w:rPr>
          <w:rFonts w:ascii="Arial" w:cs="Arial" w:eastAsia="Arial" w:hAnsi="Arial"/>
          <w:sz w:val="17"/>
          <w:szCs w:val="17"/>
          <w:color w:val="FF0000"/>
          <w:strike w:val="1"/>
        </w:rPr>
        <w:t>. Notwithstanding anything to the contrary in Section 5.8(a) above, if the Administrative Agent has made</w:t>
      </w:r>
    </w:p>
    <w:p>
      <w:pPr>
        <w:spacing w:after="0" w:line="34" w:lineRule="exact"/>
        <w:rPr>
          <w:rFonts w:ascii="Arial" w:cs="Arial" w:eastAsia="Arial" w:hAnsi="Arial"/>
          <w:sz w:val="17"/>
          <w:szCs w:val="17"/>
          <w:color w:val="FF0000"/>
          <w:strike w:val="1"/>
        </w:rPr>
      </w:pPr>
    </w:p>
    <w:p>
      <w:pPr>
        <w:spacing w:after="0" w:line="266" w:lineRule="auto"/>
        <w:rPr>
          <w:rFonts w:ascii="Arial" w:cs="Arial" w:eastAsia="Arial" w:hAnsi="Arial"/>
          <w:sz w:val="17"/>
          <w:szCs w:val="17"/>
          <w:color w:val="FF0000"/>
          <w:strike w:val="1"/>
        </w:rPr>
      </w:pPr>
      <w:r>
        <w:rPr>
          <w:rFonts w:ascii="Arial" w:cs="Arial" w:eastAsia="Arial" w:hAnsi="Arial"/>
          <w:sz w:val="17"/>
          <w:szCs w:val="17"/>
          <w:color w:val="FF0000"/>
          <w:strike w:val="1"/>
        </w:rPr>
        <w:t xml:space="preserve">determination (such determination to be conclusive absent manifest error) that (i) the circumstances described in </w:t>
      </w:r>
      <w:r>
        <w:rPr>
          <w:rFonts w:ascii="Arial" w:cs="Arial" w:eastAsia="Arial" w:hAnsi="Arial"/>
          <w:sz w:val="17"/>
          <w:szCs w:val="17"/>
          <w:u w:val="single" w:color="auto"/>
          <w:color w:val="FF0000"/>
          <w:strike w:val="1"/>
        </w:rPr>
        <w:t>Section 5.8</w:t>
      </w:r>
      <w:r>
        <w:rPr>
          <w:rFonts w:ascii="Arial" w:cs="Arial" w:eastAsia="Arial" w:hAnsi="Arial"/>
          <w:sz w:val="17"/>
          <w:szCs w:val="17"/>
          <w:u w:val="single" w:color="auto"/>
          <w:color w:val="008000"/>
          <w:strike w:val="1"/>
        </w:rPr>
        <w:t>(a)(i)</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or</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8000"/>
          <w:strike w:val="1"/>
        </w:rPr>
        <w:t>(a)(ii)</w:t>
      </w:r>
      <w:r>
        <w:rPr>
          <w:rFonts w:ascii="Arial" w:cs="Arial" w:eastAsia="Arial" w:hAnsi="Arial"/>
          <w:sz w:val="17"/>
          <w:szCs w:val="17"/>
          <w:color w:val="FF0000"/>
          <w:strike w:val="1"/>
        </w:rPr>
        <w:t xml:space="preserve"> have arisen and that such circumstances are unlikely to be temporary, (ii) any applicable interest rate specified herein is no longer a widely recognized benchmark rate for newly originated loans in the syndicated loan market in the applicable currency or (iii) the applicable supervisor or administrator (if any) of any applicable interest rate specified herein or any Governmental Authority having, or purporting to have, jurisdiction over the Administrative Agent has made a public statement identifying a specific date after which any applicable interest rate specified herein shall no longer be used for determining interest rates for loans in the syndicated loan market in the applicable currency, then the Administrative Agent and the Borrower shall endeavor to establish a replacement interest rate that gives due consideration to the then prevailing market convention for determining a rate of interest for syndicated loans in the United States at such time (the “</w:t>
      </w:r>
      <w:r>
        <w:rPr>
          <w:rFonts w:ascii="Arial" w:cs="Arial" w:eastAsia="Arial" w:hAnsi="Arial"/>
          <w:sz w:val="17"/>
          <w:szCs w:val="17"/>
          <w:u w:val="single" w:color="auto"/>
          <w:color w:val="FF0000"/>
          <w:strike w:val="1"/>
        </w:rPr>
        <w:t>Replacement Rate</w:t>
      </w:r>
      <w:r>
        <w:rPr>
          <w:rFonts w:ascii="Arial" w:cs="Arial" w:eastAsia="Arial" w:hAnsi="Arial"/>
          <w:sz w:val="17"/>
          <w:szCs w:val="17"/>
          <w:color w:val="FF0000"/>
          <w:strike w:val="1"/>
        </w:rPr>
        <w:t xml:space="preserve">”), in which case, the Replacement Rate shall, subject to the next two sentences, replace such applicable interest rate for all purposes under the Loan Documents unless and until (A) an event described in </w:t>
      </w:r>
      <w:r>
        <w:rPr>
          <w:rFonts w:ascii="Arial" w:cs="Arial" w:eastAsia="Arial" w:hAnsi="Arial"/>
          <w:sz w:val="17"/>
          <w:szCs w:val="17"/>
          <w:u w:val="single" w:color="auto"/>
          <w:color w:val="FF0000"/>
          <w:strike w:val="1"/>
        </w:rPr>
        <w:t>Section 5.8(a)(i)</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(a)(ii)</w:t>
      </w: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 xml:space="preserve"> (c)(i)</w:t>
      </w: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 xml:space="preserve"> (c)(ii) </w:t>
      </w:r>
      <w:r>
        <w:rPr>
          <w:rFonts w:ascii="Arial" w:cs="Arial" w:eastAsia="Arial" w:hAnsi="Arial"/>
          <w:sz w:val="17"/>
          <w:szCs w:val="17"/>
          <w:color w:val="FF0000"/>
          <w:strike w:val="1"/>
        </w:rPr>
        <w:t>or</w:t>
      </w:r>
      <w:r>
        <w:rPr>
          <w:rFonts w:ascii="Arial" w:cs="Arial" w:eastAsia="Arial" w:hAnsi="Arial"/>
          <w:sz w:val="17"/>
          <w:szCs w:val="17"/>
          <w:u w:val="single" w:color="auto"/>
          <w:color w:val="FF0000"/>
          <w:strike w:val="1"/>
        </w:rPr>
        <w:t xml:space="preserve"> (c)(iii) </w:t>
      </w:r>
      <w:r>
        <w:rPr>
          <w:rFonts w:ascii="Arial" w:cs="Arial" w:eastAsia="Arial" w:hAnsi="Arial"/>
          <w:sz w:val="17"/>
          <w:szCs w:val="17"/>
          <w:color w:val="FF0000"/>
          <w:strike w:val="1"/>
        </w:rPr>
        <w:t>occurs with respect to the Replacement Rate or (B) the Required Lenders (either directly or through the Administrative</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Agent) notify the Borrower that the Replacement Rate does not adequately and fairly reflect the cost to the Lenders of funding the Loans bearing interest at the Replacement Rate. In connection with the establishment and application of the Replacement Rate, this Agreement and the other Loan Documents shall be amended solely with the consent of the Administrative Agent, as may be necessary or appropriate, in the opinion of the Administrative Agent, to effect the provisions of this </w:t>
      </w:r>
      <w:r>
        <w:rPr>
          <w:rFonts w:ascii="Arial" w:cs="Arial" w:eastAsia="Arial" w:hAnsi="Arial"/>
          <w:sz w:val="17"/>
          <w:szCs w:val="17"/>
          <w:u w:val="single" w:color="auto"/>
          <w:color w:val="FF0000"/>
          <w:strike w:val="1"/>
        </w:rPr>
        <w:t>Section 5.8(c)</w:t>
      </w:r>
      <w:r>
        <w:rPr>
          <w:rFonts w:ascii="Arial" w:cs="Arial" w:eastAsia="Arial" w:hAnsi="Arial"/>
          <w:sz w:val="17"/>
          <w:szCs w:val="17"/>
          <w:color w:val="FF0000"/>
          <w:strike w:val="1"/>
        </w:rPr>
        <w:t xml:space="preserve">. Notwithstanding anything to the contrary in this Agreement or the other Loan Documents (including, without limitation, </w:t>
      </w:r>
      <w:r>
        <w:rPr>
          <w:rFonts w:ascii="Arial" w:cs="Arial" w:eastAsia="Arial" w:hAnsi="Arial"/>
          <w:sz w:val="17"/>
          <w:szCs w:val="17"/>
          <w:u w:val="single" w:color="auto"/>
          <w:color w:val="FF0000"/>
          <w:strike w:val="1"/>
        </w:rPr>
        <w:t>Section 12.2</w:t>
      </w:r>
      <w:r>
        <w:rPr>
          <w:rFonts w:ascii="Arial" w:cs="Arial" w:eastAsia="Arial" w:hAnsi="Arial"/>
          <w:sz w:val="17"/>
          <w:szCs w:val="17"/>
          <w:color w:val="FF0000"/>
          <w:strike w:val="1"/>
        </w:rPr>
        <w:t xml:space="preserve">), such amendment shall </w:t>
      </w:r>
      <w:r>
        <w:rPr>
          <w:rFonts w:ascii="Arial" w:cs="Arial" w:eastAsia="Arial" w:hAnsi="Arial"/>
          <w:sz w:val="17"/>
          <w:szCs w:val="17"/>
          <w:color w:val="008000"/>
          <w:strike w:val="1"/>
        </w:rPr>
        <w:t>become effective without any further action or consent of any other party to this Agreement</w:t>
      </w:r>
      <w:r>
        <w:rPr>
          <w:rFonts w:ascii="Arial" w:cs="Arial" w:eastAsia="Arial" w:hAnsi="Arial"/>
          <w:sz w:val="17"/>
          <w:szCs w:val="17"/>
          <w:color w:val="FF0000"/>
          <w:strike w:val="1"/>
        </w:rPr>
        <w:t xml:space="preserve"> so long as the Administrative Agent shall not have received, within five (5) Business Days of the delivery of such amendment to the Lenders, written notices from such Lenders that in the aggregate constitute Required Lenders, with each such notice stating that such Lender objects to such amendment (which such notice shall note with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490" w:right="459" w:bottom="1440" w:gutter="0" w:footer="0" w:header="0"/>
        </w:sectPr>
      </w:pPr>
    </w:p>
    <w:bookmarkStart w:id="129" w:name="page130"/>
    <w:bookmarkEnd w:id="129"/>
    <w:p>
      <w:pPr>
        <w:ind w:right="240"/>
        <w:spacing w:after="0" w:line="275"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specificity the particular provisions of the amendment to which such Lender objects). To the extent the Replacement Rate is approved by the Administrative Agent in connection with this clause (c), the Replacement Rate shall be applied in a manner consistent with market practice; provided that, in each case, to the extent </w:t>
      </w:r>
      <w:r>
        <w:rPr>
          <w:rFonts w:ascii="Arial" w:cs="Arial" w:eastAsia="Arial" w:hAnsi="Arial"/>
          <w:sz w:val="17"/>
          <w:szCs w:val="17"/>
          <w:color w:val="008000"/>
          <w:strike w:val="1"/>
        </w:rPr>
        <w:t>such market practice is not administratively feasible for the Administrative Agent, such</w:t>
      </w:r>
      <w:r>
        <w:rPr>
          <w:rFonts w:ascii="Arial" w:cs="Arial" w:eastAsia="Arial" w:hAnsi="Arial"/>
          <w:sz w:val="17"/>
          <w:szCs w:val="17"/>
          <w:color w:val="FF0000"/>
          <w:strike w:val="1"/>
        </w:rPr>
        <w:t xml:space="preserve"> Replacement Rate shall be applied </w:t>
      </w:r>
      <w:r>
        <w:rPr>
          <w:rFonts w:ascii="Arial" w:cs="Arial" w:eastAsia="Arial" w:hAnsi="Arial"/>
          <w:sz w:val="17"/>
          <w:szCs w:val="17"/>
          <w:color w:val="008000"/>
          <w:strike w:val="1"/>
        </w:rPr>
        <w:t>as otherwise reasonably determined by the Administrative Agent</w:t>
      </w:r>
      <w:r>
        <w:rPr>
          <w:rFonts w:ascii="Arial" w:cs="Arial" w:eastAsia="Arial" w:hAnsi="Arial"/>
          <w:sz w:val="17"/>
          <w:szCs w:val="17"/>
          <w:color w:val="FF0000"/>
          <w:strike w:val="1"/>
        </w:rPr>
        <w:t xml:space="preserve"> in consultation with the Borrower (it being understood that any such modification pursuant to this clause (c) shall not require the consent of, or consultation with, any of the Lenders).</w:t>
      </w:r>
    </w:p>
    <w:p>
      <w:pPr>
        <w:spacing w:after="0" w:line="68" w:lineRule="exact"/>
        <w:rPr>
          <w:sz w:val="20"/>
          <w:szCs w:val="20"/>
          <w:color w:val="auto"/>
        </w:rPr>
      </w:pPr>
    </w:p>
    <w:p>
      <w:pPr>
        <w:ind w:left="680" w:hanging="244"/>
        <w:spacing w:after="0"/>
        <w:tabs>
          <w:tab w:leader="none" w:pos="680" w:val="left"/>
        </w:tabs>
        <w:numPr>
          <w:ilvl w:val="0"/>
          <w:numId w:val="12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Benchmark Replacement.</w:t>
      </w:r>
    </w:p>
    <w:p>
      <w:pPr>
        <w:spacing w:after="0" w:line="117" w:lineRule="exact"/>
        <w:rPr>
          <w:rFonts w:ascii="Arial" w:cs="Arial" w:eastAsia="Arial" w:hAnsi="Arial"/>
          <w:sz w:val="18"/>
          <w:szCs w:val="18"/>
          <w:u w:val="single" w:color="auto"/>
          <w:color w:val="0000FF"/>
        </w:rPr>
      </w:pPr>
    </w:p>
    <w:p>
      <w:pPr>
        <w:ind w:left="440" w:right="220" w:firstLine="419"/>
        <w:spacing w:after="0" w:line="252" w:lineRule="auto"/>
        <w:tabs>
          <w:tab w:leader="none" w:pos="1078" w:val="left"/>
        </w:tabs>
        <w:numPr>
          <w:ilvl w:val="1"/>
          <w:numId w:val="12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Benchmark Replacement. Notwithstanding anything to the contrary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on the fifth (5</w:t>
      </w:r>
      <w:r>
        <w:rPr>
          <w:rFonts w:ascii="Arial" w:cs="Arial" w:eastAsia="Arial" w:hAnsi="Arial"/>
          <w:sz w:val="25"/>
          <w:szCs w:val="25"/>
          <w:u w:val="single" w:color="auto"/>
          <w:color w:val="0000FF"/>
          <w:vertAlign w:val="superscript"/>
        </w:rPr>
        <w:t>th</w:t>
      </w:r>
      <w:r>
        <w:rPr>
          <w:rFonts w:ascii="Arial" w:cs="Arial" w:eastAsia="Arial" w:hAnsi="Arial"/>
          <w:sz w:val="17"/>
          <w:szCs w:val="17"/>
          <w:u w:val="single" w:color="auto"/>
          <w:color w:val="0000FF"/>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5.8(c)(i)(A) will occur prior to the applicable Benchmark Transition Start Date.</w:t>
      </w:r>
    </w:p>
    <w:p>
      <w:pPr>
        <w:spacing w:after="0" w:line="86" w:lineRule="exact"/>
        <w:rPr>
          <w:rFonts w:ascii="Arial" w:cs="Arial" w:eastAsia="Arial" w:hAnsi="Arial"/>
          <w:sz w:val="17"/>
          <w:szCs w:val="17"/>
          <w:u w:val="single" w:color="auto"/>
          <w:color w:val="0000FF"/>
        </w:rPr>
      </w:pPr>
    </w:p>
    <w:p>
      <w:pPr>
        <w:ind w:left="440" w:right="60" w:firstLine="419"/>
        <w:spacing w:after="0" w:line="279" w:lineRule="auto"/>
        <w:tabs>
          <w:tab w:leader="none" w:pos="1128" w:val="left"/>
        </w:tabs>
        <w:numPr>
          <w:ilvl w:val="1"/>
          <w:numId w:val="12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63" w:lineRule="exact"/>
        <w:rPr>
          <w:rFonts w:ascii="Arial" w:cs="Arial" w:eastAsia="Arial" w:hAnsi="Arial"/>
          <w:sz w:val="17"/>
          <w:szCs w:val="17"/>
          <w:u w:val="single" w:color="auto"/>
          <w:color w:val="0000FF"/>
        </w:rPr>
      </w:pPr>
    </w:p>
    <w:p>
      <w:pPr>
        <w:ind w:left="1180" w:hanging="321"/>
        <w:spacing w:after="0"/>
        <w:tabs>
          <w:tab w:leader="none" w:pos="1180" w:val="left"/>
        </w:tabs>
        <w:numPr>
          <w:ilvl w:val="1"/>
          <w:numId w:val="12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Notices; Standards for Decisions and Determinations. The Administrative Agent will promptly notify the Borrower and the Lenders of</w:t>
      </w:r>
    </w:p>
    <w:p>
      <w:pPr>
        <w:spacing w:after="0" w:line="46" w:lineRule="exact"/>
        <w:rPr>
          <w:rFonts w:ascii="Arial" w:cs="Arial" w:eastAsia="Arial" w:hAnsi="Arial"/>
          <w:sz w:val="16"/>
          <w:szCs w:val="16"/>
          <w:u w:val="single" w:color="auto"/>
          <w:color w:val="0000FF"/>
        </w:rPr>
      </w:pPr>
    </w:p>
    <w:p>
      <w:pPr>
        <w:ind w:left="440"/>
        <w:spacing w:after="0" w:line="251" w:lineRule="auto"/>
        <w:rPr>
          <w:rFonts w:ascii="Arial" w:cs="Arial" w:eastAsia="Arial" w:hAnsi="Arial"/>
          <w:sz w:val="16"/>
          <w:szCs w:val="16"/>
          <w:u w:val="single" w:color="auto"/>
          <w:color w:val="0000FF"/>
        </w:rPr>
      </w:pPr>
      <w:r>
        <w:rPr>
          <w:rFonts w:ascii="Arial" w:cs="Arial" w:eastAsia="Arial" w:hAnsi="Arial"/>
          <w:sz w:val="18"/>
          <w:szCs w:val="18"/>
          <w:u w:val="single" w:color="auto"/>
          <w:color w:val="0000FF"/>
        </w:rPr>
        <w:t>(A)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Section 5.8(c)(iv). Any determination, decision or election that may be made by the Administrative Agent or, if applicable, any Lender (or group of Lenders) pursuant to this Section 5.8(c),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5.8(c).</w:t>
      </w:r>
    </w:p>
    <w:p>
      <w:pPr>
        <w:spacing w:after="0" w:line="89" w:lineRule="exact"/>
        <w:rPr>
          <w:rFonts w:ascii="Arial" w:cs="Arial" w:eastAsia="Arial" w:hAnsi="Arial"/>
          <w:sz w:val="16"/>
          <w:szCs w:val="16"/>
          <w:u w:val="single" w:color="auto"/>
          <w:color w:val="0000FF"/>
        </w:rPr>
      </w:pPr>
    </w:p>
    <w:p>
      <w:pPr>
        <w:ind w:left="440" w:right="80" w:firstLine="419"/>
        <w:spacing w:after="0" w:line="293" w:lineRule="auto"/>
        <w:tabs>
          <w:tab w:leader="none" w:pos="1168" w:val="left"/>
        </w:tabs>
        <w:numPr>
          <w:ilvl w:val="1"/>
          <w:numId w:val="12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Unavailability of Tenor of Benchmark</w:t>
      </w:r>
      <w:r>
        <w:rPr>
          <w:rFonts w:ascii="Arial" w:cs="Arial" w:eastAsia="Arial" w:hAnsi="Arial"/>
          <w:sz w:val="16"/>
          <w:szCs w:val="16"/>
          <w:u w:val="single" w:color="auto"/>
          <w:color w:val="008000"/>
        </w:rPr>
        <w:t>. Notwithstanding anything to the contrary herein</w:t>
      </w:r>
      <w:r>
        <w:rPr>
          <w:rFonts w:ascii="Arial" w:cs="Arial" w:eastAsia="Arial" w:hAnsi="Arial"/>
          <w:sz w:val="16"/>
          <w:szCs w:val="16"/>
          <w:u w:val="single" w:color="auto"/>
          <w:color w:val="0000FF"/>
        </w:rPr>
        <w:t xml:space="preserve"> or in any other Loan Document, at any time (including in connection with the implementation of a Benchmark Replacement), (A) if any then-current Benchmark is a term rate (including the Term SOFR Reference Rate, EURIBOR or CDOR)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490" w:right="479" w:bottom="1440" w:gutter="0" w:footer="0" w:header="0"/>
        </w:sectPr>
      </w:pPr>
    </w:p>
    <w:bookmarkStart w:id="130" w:name="page131"/>
    <w:bookmarkEnd w:id="130"/>
    <w:p>
      <w:pPr>
        <w:ind w:left="420"/>
        <w:spacing w:after="0"/>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similar or analogous definition) for any Benchmark settings at or after such time to remove such unavailable or non-representative tenor and</w:t>
      </w:r>
    </w:p>
    <w:p>
      <w:pPr>
        <w:spacing w:after="0" w:line="46" w:lineRule="exact"/>
        <w:rPr>
          <w:sz w:val="20"/>
          <w:szCs w:val="20"/>
          <w:color w:val="auto"/>
        </w:rPr>
      </w:pPr>
    </w:p>
    <w:p>
      <w:pPr>
        <w:ind w:left="420" w:right="440" w:hanging="4"/>
        <w:spacing w:after="0" w:line="295" w:lineRule="auto"/>
        <w:tabs>
          <w:tab w:leader="none" w:pos="705" w:val="left"/>
        </w:tabs>
        <w:numPr>
          <w:ilvl w:val="0"/>
          <w:numId w:val="12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53" w:lineRule="exact"/>
        <w:rPr>
          <w:rFonts w:ascii="Arial" w:cs="Arial" w:eastAsia="Arial" w:hAnsi="Arial"/>
          <w:sz w:val="16"/>
          <w:szCs w:val="16"/>
          <w:u w:val="single" w:color="auto"/>
          <w:color w:val="0000FF"/>
        </w:rPr>
      </w:pPr>
    </w:p>
    <w:p>
      <w:pPr>
        <w:ind w:left="420" w:firstLine="419"/>
        <w:spacing w:after="0" w:line="285" w:lineRule="auto"/>
        <w:tabs>
          <w:tab w:leader="none" w:pos="1098" w:val="left"/>
        </w:tabs>
        <w:numPr>
          <w:ilvl w:val="1"/>
          <w:numId w:val="12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Benchmark Unavailability Period. Upon the Borrower’s receipt of notice of the commencement of a Benchmark Unavailability </w:t>
      </w:r>
      <w:r>
        <w:rPr>
          <w:rFonts w:ascii="Arial" w:cs="Arial" w:eastAsia="Arial" w:hAnsi="Arial"/>
          <w:sz w:val="16"/>
          <w:szCs w:val="16"/>
          <w:u w:val="single" w:color="auto"/>
          <w:color w:val="008000"/>
        </w:rPr>
        <w:t>Period</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 xml:space="preserve">with respect to a </w:t>
      </w:r>
      <w:r>
        <w:rPr>
          <w:rFonts w:ascii="Arial" w:cs="Arial" w:eastAsia="Arial" w:hAnsi="Arial"/>
          <w:sz w:val="16"/>
          <w:szCs w:val="16"/>
          <w:u w:val="single" w:color="auto"/>
          <w:color w:val="0000FF"/>
        </w:rPr>
        <w:t>given Benchmark, (A) the Borrower may revoke any pending request for a borrowing of, conversion to or continuation of RFR</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Loans or Eurocurrency Rate Loans, in each case, to be made, converted or continued during any Benchmark Unavailability Period denominated in the applicable Currency and, failing that, (I) in the case of any request for any affected Term SOFR Loans, if applicable, the Borrower will be deemed to have converted any such request into a request for a borrowing of or conversion to Base Rate Loans in the amount specified therein and</w:t>
      </w:r>
    </w:p>
    <w:p>
      <w:pPr>
        <w:spacing w:after="0" w:line="1" w:lineRule="exact"/>
        <w:rPr>
          <w:rFonts w:ascii="Arial" w:cs="Arial" w:eastAsia="Arial" w:hAnsi="Arial"/>
          <w:sz w:val="16"/>
          <w:szCs w:val="16"/>
          <w:u w:val="single" w:color="auto"/>
          <w:color w:val="0000FF"/>
        </w:rPr>
      </w:pPr>
    </w:p>
    <w:p>
      <w:pPr>
        <w:ind w:left="420" w:right="40" w:hanging="4"/>
        <w:spacing w:after="0" w:line="281" w:lineRule="auto"/>
        <w:tabs>
          <w:tab w:leader="none" w:pos="705" w:val="left"/>
        </w:tabs>
        <w:numPr>
          <w:ilvl w:val="0"/>
          <w:numId w:val="12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the case of any request for any affected RFR Loan or Eurocurrency Rate Loan, in each case, in an Alternative Currency, if applicable, then such request shall be ineffective and (B)(I) any outstanding affected Term SOFR Loans, if applicable, will be deemed to have been converted into Base Rate Loans at the end of the applicable Interest Period and (II) any outstanding affected RFR Loans or Eurocurrency Rate Loans, in each case, denominated in an Alternative Currency, at the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provided that, with respect to any Daily Simple SONIA Loan, if no election is made by the Borrower by the date that is three</w:t>
      </w:r>
    </w:p>
    <w:p>
      <w:pPr>
        <w:spacing w:after="0" w:line="4" w:lineRule="exact"/>
        <w:rPr>
          <w:rFonts w:ascii="Arial" w:cs="Arial" w:eastAsia="Arial" w:hAnsi="Arial"/>
          <w:sz w:val="16"/>
          <w:szCs w:val="16"/>
          <w:u w:val="single" w:color="auto"/>
          <w:color w:val="0000FF"/>
        </w:rPr>
      </w:pPr>
    </w:p>
    <w:p>
      <w:pPr>
        <w:ind w:left="420" w:right="20"/>
        <w:spacing w:after="0" w:line="268" w:lineRule="auto"/>
        <w:rPr>
          <w:rFonts w:ascii="Arial" w:cs="Arial" w:eastAsia="Arial" w:hAnsi="Arial"/>
          <w:sz w:val="16"/>
          <w:szCs w:val="16"/>
          <w:u w:val="single" w:color="auto"/>
          <w:color w:val="0000FF"/>
        </w:rPr>
      </w:pPr>
      <w:r>
        <w:rPr>
          <w:rFonts w:ascii="Arial" w:cs="Arial" w:eastAsia="Arial" w:hAnsi="Arial"/>
          <w:sz w:val="17"/>
          <w:szCs w:val="17"/>
          <w:u w:val="single" w:color="auto"/>
          <w:color w:val="0000FF"/>
        </w:rPr>
        <w:t xml:space="preserve">(3) Business Days after receipt by the Borrower of such notice, the Borrower shall be deemed to have elected clause (1) above; provided, further that, with respect to any Eurocurrency Rate Loan, if no election is made by the Borrower by the earlier of (x) the date that is three (3) Business Days after receipt by the Borrower of such notice and (y) the last day of the current </w:t>
      </w:r>
      <w:r>
        <w:rPr>
          <w:rFonts w:ascii="Arial" w:cs="Arial" w:eastAsia="Arial" w:hAnsi="Arial"/>
          <w:sz w:val="17"/>
          <w:szCs w:val="17"/>
          <w:u w:val="single" w:color="auto"/>
          <w:color w:val="008000"/>
        </w:rPr>
        <w:t>Interest Period for the applicable Eurocurrency Rate Loan</w:t>
      </w:r>
      <w:r>
        <w:rPr>
          <w:rFonts w:ascii="Arial" w:cs="Arial" w:eastAsia="Arial" w:hAnsi="Arial"/>
          <w:sz w:val="17"/>
          <w:szCs w:val="17"/>
          <w:u w:val="single" w:color="auto"/>
          <w:color w:val="0000FF"/>
        </w:rPr>
        <w:t>, the Borrower shall be deemed to have elected clause (1) above. Upon any such prepayment or conversion, the Borrower shall also pay accrued interest (except with respect to any prepayment or conversion of a Daily Simple SONIA Loan) on the amount so prepaid or converted, together with any additional amounts required pursuant to Section 5.9.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73" w:lineRule="exact"/>
        <w:rPr>
          <w:sz w:val="20"/>
          <w:szCs w:val="20"/>
          <w:color w:val="auto"/>
        </w:rPr>
      </w:pPr>
    </w:p>
    <w:p>
      <w:pPr>
        <w:ind w:left="-20" w:right="20" w:firstLine="436"/>
        <w:spacing w:after="0" w:line="291" w:lineRule="auto"/>
        <w:tabs>
          <w:tab w:leader="none" w:pos="665" w:val="left"/>
        </w:tabs>
        <w:numPr>
          <w:ilvl w:val="0"/>
          <w:numId w:val="12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Alternative Currencies and Alternative L/C Currencies. If, after the designation by the Revolving Credit Lenders of any currency as an Alternative Currency or the applicable Issuing Lender(s) of any currency as an Alternative L/C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Dollars, (ii) a Dollar Equivalent no longer being readily calculable with respect to such currency, (iii) such currency being impracticable for the Lenders to loan or the applicable Issuing Lender(s) to issue or extend a Letter of Credit or (iv) such currency no longer being a currency in which the Required Revolving Credit Lenders are willing to make Extensions of Credit or the applicable Issuing Lender(s) 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60" w:top="490" w:right="459" w:bottom="1440" w:gutter="0" w:footer="0" w:header="0"/>
        </w:sectPr>
      </w:pPr>
    </w:p>
    <w:bookmarkStart w:id="131" w:name="page132"/>
    <w:bookmarkEnd w:id="131"/>
    <w:p>
      <w:pPr>
        <w:spacing w:after="0" w:line="273"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willing to issue or extend Letters of Credit (each of clauses (i), (ii), (iii) and (iv), a “Disqualifying Event”), then the Administrative Agent shall promptly notify the Revolving Credit Lenders, the applicable Issuing Lender(s) and the Borrower, and such currency shall no longer be an Alternative Currency or an Alternative L/C Currency, as applicable, until such time as the Disqualifying Event(s) no longer exist. With respect to any applicable Revolving Credit Loans, within five (5) Business Days after receipt of such notice from the Administrative Agent, the Borrower shall repay all </w:t>
      </w:r>
      <w:r>
        <w:rPr>
          <w:rFonts w:ascii="Arial" w:cs="Arial" w:eastAsia="Arial" w:hAnsi="Arial"/>
          <w:sz w:val="17"/>
          <w:szCs w:val="17"/>
          <w:u w:val="single" w:color="auto"/>
          <w:color w:val="008000"/>
        </w:rPr>
        <w:t>Revolving Credit</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Loans denominated in </w:t>
      </w:r>
      <w:r>
        <w:rPr>
          <w:rFonts w:ascii="Arial" w:cs="Arial" w:eastAsia="Arial" w:hAnsi="Arial"/>
          <w:sz w:val="17"/>
          <w:szCs w:val="17"/>
          <w:u w:val="single" w:color="auto"/>
          <w:color w:val="0000FF"/>
        </w:rPr>
        <w:t>such currency to which the Disqualifying Event(s) apply or convert such Revolving Credit Loans into the Dollar Equivalent in</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Dollars, bearing interest at the Base Rate, subject to the other terms contained herein.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Indemnity for Losses</w:t>
      </w:r>
      <w:r>
        <w:rPr>
          <w:rFonts w:ascii="Arial" w:cs="Arial" w:eastAsia="Arial" w:hAnsi="Arial"/>
          <w:sz w:val="16"/>
          <w:szCs w:val="16"/>
          <w:color w:val="auto"/>
        </w:rPr>
        <w:t>. The Borrower hereby indemnifies each of the Lenders against any loss</w:t>
      </w:r>
      <w:r>
        <w:rPr>
          <w:rFonts w:ascii="Arial" w:cs="Arial" w:eastAsia="Arial" w:hAnsi="Arial"/>
          <w:sz w:val="16"/>
          <w:szCs w:val="16"/>
          <w:u w:val="single" w:color="auto"/>
          <w:color w:val="0000FF"/>
        </w:rPr>
        <w:t>, cost</w:t>
      </w:r>
      <w:r>
        <w:rPr>
          <w:rFonts w:ascii="Arial" w:cs="Arial" w:eastAsia="Arial" w:hAnsi="Arial"/>
          <w:sz w:val="16"/>
          <w:szCs w:val="16"/>
          <w:color w:val="auto"/>
        </w:rPr>
        <w:t xml:space="preserve"> or expense (including any loss</w:t>
      </w:r>
      <w:r>
        <w:rPr>
          <w:rFonts w:ascii="Arial" w:cs="Arial" w:eastAsia="Arial" w:hAnsi="Arial"/>
          <w:sz w:val="16"/>
          <w:szCs w:val="16"/>
          <w:u w:val="single" w:color="auto"/>
          <w:color w:val="0000FF"/>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cost</w:t>
      </w:r>
      <w:r>
        <w:rPr>
          <w:rFonts w:ascii="Arial" w:cs="Arial" w:eastAsia="Arial" w:hAnsi="Arial"/>
          <w:sz w:val="17"/>
          <w:szCs w:val="17"/>
          <w:color w:val="0000FF"/>
        </w:rPr>
        <w:t xml:space="preserve"> </w:t>
      </w:r>
      <w:r>
        <w:rPr>
          <w:rFonts w:ascii="Arial" w:cs="Arial" w:eastAsia="Arial" w:hAnsi="Arial"/>
          <w:sz w:val="17"/>
          <w:szCs w:val="17"/>
          <w:color w:val="000000"/>
        </w:rPr>
        <w:t>or expense arising from the liquidation or reemployment of funds</w:t>
      </w:r>
      <w:r>
        <w:rPr>
          <w:rFonts w:ascii="Arial" w:cs="Arial" w:eastAsia="Arial" w:hAnsi="Arial"/>
          <w:sz w:val="17"/>
          <w:szCs w:val="17"/>
          <w:color w:val="0000FF"/>
        </w:rPr>
        <w:t xml:space="preserve"> </w:t>
      </w:r>
      <w:r>
        <w:rPr>
          <w:rFonts w:ascii="Arial" w:cs="Arial" w:eastAsia="Arial" w:hAnsi="Arial"/>
          <w:sz w:val="17"/>
          <w:szCs w:val="17"/>
          <w:color w:val="FF0000"/>
          <w:strike w:val="1"/>
        </w:rPr>
        <w:t>obtained by it to maintain a Eurocurrency Rate Loan or from fees payable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terminate the deposits from which such funds were obtained or from the performance of any foreign exchange contract, and any customary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administrative fees charged by such Lender in connection therewith,</w:t>
      </w:r>
      <w:r>
        <w:rPr>
          <w:rFonts w:ascii="Arial" w:cs="Arial" w:eastAsia="Arial" w:hAnsi="Arial"/>
          <w:sz w:val="17"/>
          <w:szCs w:val="17"/>
          <w:u w:val="single" w:color="auto"/>
          <w:color w:val="0000FF"/>
        </w:rPr>
        <w:t>or from any fees payable)</w:t>
      </w:r>
      <w:r>
        <w:rPr>
          <w:rFonts w:ascii="Arial" w:cs="Arial" w:eastAsia="Arial" w:hAnsi="Arial"/>
          <w:sz w:val="17"/>
          <w:szCs w:val="17"/>
          <w:color w:val="FF0000"/>
        </w:rPr>
        <w:t xml:space="preserve"> </w:t>
      </w:r>
      <w:r>
        <w:rPr>
          <w:rFonts w:ascii="Arial" w:cs="Arial" w:eastAsia="Arial" w:hAnsi="Arial"/>
          <w:sz w:val="17"/>
          <w:szCs w:val="17"/>
          <w:color w:val="000000"/>
        </w:rPr>
        <w:t>which may arise</w:t>
      </w:r>
      <w:r>
        <w:rPr>
          <w:rFonts w:ascii="Arial" w:cs="Arial" w:eastAsia="Arial" w:hAnsi="Arial"/>
          <w:sz w:val="17"/>
          <w:szCs w:val="17"/>
          <w:color w:val="FF0000"/>
        </w:rPr>
        <w:t xml:space="preserve"> or</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color w:val="000000"/>
        </w:rPr>
        <w:t>be attributable to</w:t>
      </w:r>
      <w:r>
        <w:rPr>
          <w:rFonts w:ascii="Arial" w:cs="Arial" w:eastAsia="Arial" w:hAnsi="Arial"/>
          <w:sz w:val="17"/>
          <w:szCs w:val="17"/>
          <w:color w:val="FF0000"/>
        </w:rPr>
        <w:t xml:space="preserve"> </w:t>
      </w:r>
      <w:r>
        <w:rPr>
          <w:rFonts w:ascii="Arial" w:cs="Arial" w:eastAsia="Arial" w:hAnsi="Arial"/>
          <w:sz w:val="17"/>
          <w:szCs w:val="17"/>
          <w:color w:val="FF0000"/>
          <w:strike w:val="1"/>
        </w:rPr>
        <w:t>each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-63500</wp:posOffset>
            </wp:positionV>
            <wp:extent cx="1193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obtaining, liquidating or employing deposits or other funds acquired to effect, fund or maintain any Loan) incurred by it</w:t>
      </w:r>
      <w:r>
        <w:rPr>
          <w:rFonts w:ascii="Arial" w:cs="Arial" w:eastAsia="Arial" w:hAnsi="Arial"/>
          <w:sz w:val="17"/>
          <w:szCs w:val="17"/>
          <w:u w:val="single" w:color="auto"/>
          <w:color w:val="0000FF"/>
        </w:rPr>
        <w:t>or result due to or</w:t>
      </w:r>
      <w:r>
        <w:rPr>
          <w:rFonts w:ascii="Arial" w:cs="Arial" w:eastAsia="Arial" w:hAnsi="Arial"/>
          <w:sz w:val="17"/>
          <w:szCs w:val="17"/>
          <w:color w:val="FF0000"/>
        </w:rPr>
        <w:t xml:space="preserve"> </w:t>
      </w:r>
      <w:r>
        <w:rPr>
          <w:rFonts w:ascii="Arial" w:cs="Arial" w:eastAsia="Arial" w:hAnsi="Arial"/>
          <w:sz w:val="17"/>
          <w:szCs w:val="17"/>
          <w:color w:val="000000"/>
        </w:rPr>
        <w:t>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consequence of (a) any failure by the Borrower to make any payment when due of any amount due hereunder in connection with </w:t>
      </w:r>
      <w:r>
        <w:rPr>
          <w:rFonts w:ascii="Arial" w:cs="Arial" w:eastAsia="Arial" w:hAnsi="Arial"/>
          <w:sz w:val="16"/>
          <w:szCs w:val="16"/>
          <w:u w:val="single" w:color="auto"/>
          <w:color w:val="0000FF"/>
        </w:rPr>
        <w:t>an RFR Loan or</w:t>
      </w:r>
      <w:r>
        <w:rPr>
          <w:rFonts w:ascii="Arial" w:cs="Arial" w:eastAsia="Arial" w:hAnsi="Arial"/>
          <w:sz w:val="16"/>
          <w:szCs w:val="16"/>
          <w:color w:val="auto"/>
        </w:rPr>
        <w:t xml:space="preserv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Eurocurrency Rate Loan, (b) any failure of the Borrower to borrow</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0000FF"/>
        </w:rPr>
        <w:t>or</w:t>
      </w:r>
      <w:r>
        <w:rPr>
          <w:rFonts w:ascii="Arial" w:cs="Arial" w:eastAsia="Arial" w:hAnsi="Arial"/>
          <w:sz w:val="16"/>
          <w:szCs w:val="16"/>
          <w:color w:val="auto"/>
        </w:rPr>
        <w:t xml:space="preserve"> continue </w:t>
      </w:r>
      <w:r>
        <w:rPr>
          <w:rFonts w:ascii="Arial" w:cs="Arial" w:eastAsia="Arial" w:hAnsi="Arial"/>
          <w:sz w:val="16"/>
          <w:szCs w:val="16"/>
          <w:u w:val="single" w:color="auto"/>
          <w:color w:val="0000FF"/>
        </w:rPr>
        <w:t>an RFR Loan or a Eurocurrency Rate Loan</w:t>
      </w:r>
      <w:r>
        <w:rPr>
          <w:rFonts w:ascii="Arial" w:cs="Arial" w:eastAsia="Arial" w:hAnsi="Arial"/>
          <w:sz w:val="16"/>
          <w:szCs w:val="16"/>
          <w:color w:val="auto"/>
        </w:rPr>
        <w:t xml:space="preserve"> or convert </w:t>
      </w:r>
      <w:r>
        <w:rPr>
          <w:rFonts w:ascii="Arial" w:cs="Arial" w:eastAsia="Arial" w:hAnsi="Arial"/>
          <w:sz w:val="16"/>
          <w:szCs w:val="16"/>
          <w:color w:val="FF0000"/>
          <w:strike w:val="1"/>
        </w:rPr>
        <w:t>a</w:t>
      </w:r>
      <w:r>
        <w:rPr>
          <w:rFonts w:ascii="Arial" w:cs="Arial" w:eastAsia="Arial" w:hAnsi="Arial"/>
          <w:sz w:val="16"/>
          <w:szCs w:val="16"/>
          <w:u w:val="single" w:color="auto"/>
          <w:color w:val="0000FF"/>
        </w:rPr>
        <w:t>to an RFR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20320</wp:posOffset>
            </wp:positionV>
            <wp:extent cx="1289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3086735</wp:posOffset>
            </wp:positionH>
            <wp:positionV relativeFrom="paragraph">
              <wp:posOffset>-4445</wp:posOffset>
            </wp:positionV>
            <wp:extent cx="1238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or a Eurocurrency Rate</w:t>
      </w:r>
      <w:r>
        <w:rPr>
          <w:rFonts w:ascii="Arial" w:cs="Arial" w:eastAsia="Arial" w:hAnsi="Arial"/>
          <w:sz w:val="17"/>
          <w:szCs w:val="17"/>
          <w:color w:val="0000FF"/>
        </w:rPr>
        <w:t xml:space="preserve"> </w:t>
      </w:r>
      <w:r>
        <w:rPr>
          <w:rFonts w:ascii="Arial" w:cs="Arial" w:eastAsia="Arial" w:hAnsi="Arial"/>
          <w:sz w:val="17"/>
          <w:szCs w:val="17"/>
          <w:color w:val="000000"/>
        </w:rPr>
        <w:t>Loan on a date specified therefor in a Notice of Borrowing or Notice of Conversion/Continuation, (c) any</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failure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Borrower to prepay any RFR Loan or Eurocurrency Rate Loan on a date specified therefor in any Notice of Prepayment (regardless of whether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Notice of Prepayment may be revoked under Section 2.4(c) or Section 4.4(a) and is revoked in accordance therewith), (d) any</w:t>
      </w:r>
      <w:r>
        <w:rPr>
          <w:rFonts w:ascii="Arial" w:cs="Arial" w:eastAsia="Arial" w:hAnsi="Arial"/>
          <w:sz w:val="16"/>
          <w:szCs w:val="16"/>
          <w:color w:val="0000FF"/>
        </w:rPr>
        <w:t xml:space="preserve"> </w:t>
      </w:r>
      <w:r>
        <w:rPr>
          <w:rFonts w:ascii="Arial" w:cs="Arial" w:eastAsia="Arial" w:hAnsi="Arial"/>
          <w:sz w:val="16"/>
          <w:szCs w:val="16"/>
          <w:color w:val="000000"/>
        </w:rPr>
        <w:t>payment, prepayment</w:t>
      </w:r>
      <w:r>
        <w:rPr>
          <w:rFonts w:ascii="Arial" w:cs="Arial" w:eastAsia="Arial" w:hAnsi="Arial"/>
          <w:sz w:val="16"/>
          <w:szCs w:val="16"/>
          <w:color w:val="FF0000"/>
          <w:strike w:val="1"/>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continuation</w:t>
      </w:r>
      <w:r>
        <w:rPr>
          <w:rFonts w:ascii="Arial" w:cs="Arial" w:eastAsia="Arial" w:hAnsi="Arial"/>
          <w:sz w:val="17"/>
          <w:szCs w:val="17"/>
          <w:color w:val="FF0000"/>
        </w:rPr>
        <w:t xml:space="preserve"> </w:t>
      </w:r>
      <w:r>
        <w:rPr>
          <w:rFonts w:ascii="Arial" w:cs="Arial" w:eastAsia="Arial" w:hAnsi="Arial"/>
          <w:sz w:val="17"/>
          <w:szCs w:val="17"/>
          <w:color w:val="000000"/>
        </w:rPr>
        <w:t>or conversion of any</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Daily Simple SONIA Loan on a date other than on the Interest Payment Date therefor (including as a result of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Event of Default) or Term SOFR Loan or</w:t>
      </w:r>
      <w:r>
        <w:rPr>
          <w:rFonts w:ascii="Arial" w:cs="Arial" w:eastAsia="Arial" w:hAnsi="Arial"/>
          <w:sz w:val="16"/>
          <w:szCs w:val="16"/>
          <w:color w:val="0000FF"/>
        </w:rPr>
        <w:t xml:space="preserve"> </w:t>
      </w:r>
      <w:r>
        <w:rPr>
          <w:rFonts w:ascii="Arial" w:cs="Arial" w:eastAsia="Arial" w:hAnsi="Arial"/>
          <w:sz w:val="16"/>
          <w:szCs w:val="16"/>
          <w:color w:val="000000"/>
        </w:rPr>
        <w:t>Eurocurrency Rate Loan on a date other than the last day of the Interest Period therefor (</w:t>
      </w:r>
      <w:r>
        <w:rPr>
          <w:rFonts w:ascii="Arial" w:cs="Arial" w:eastAsia="Arial" w:hAnsi="Arial"/>
          <w:sz w:val="16"/>
          <w:szCs w:val="16"/>
          <w:color w:val="FF0000"/>
          <w:strike w:val="1"/>
        </w:rPr>
        <w:t>whether voluntary,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automatic, by reason of acceleration or otherwise), (d) any failure of the Borrower to make payment of any Eurocurrency Rate Loan (or interest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thereon) denominated in an Alternative Currency on its scheduled due date or any payment thereof in a different currency or (e) any assignment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a</w:t>
      </w:r>
      <w:r>
        <w:rPr>
          <w:rFonts w:ascii="Arial" w:cs="Arial" w:eastAsia="Arial" w:hAnsi="Arial"/>
          <w:sz w:val="16"/>
          <w:szCs w:val="16"/>
          <w:u w:val="single" w:color="auto"/>
          <w:color w:val="0000FF"/>
          <w:strike w:val="1"/>
        </w:rPr>
        <w:t>including as a result of an Event of Default) or (e) the assignment of any Daily Simple SONIA Loan other than on the Interest Payment Date therefor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any</w:t>
      </w:r>
      <w:r>
        <w:rPr>
          <w:rFonts w:ascii="Arial" w:cs="Arial" w:eastAsia="Arial" w:hAnsi="Arial"/>
          <w:sz w:val="16"/>
          <w:szCs w:val="16"/>
          <w:color w:val="0000FF"/>
        </w:rPr>
        <w:t xml:space="preserve"> </w:t>
      </w:r>
      <w:r>
        <w:rPr>
          <w:rFonts w:ascii="Arial" w:cs="Arial" w:eastAsia="Arial" w:hAnsi="Arial"/>
          <w:sz w:val="16"/>
          <w:szCs w:val="16"/>
          <w:color w:val="000000"/>
        </w:rPr>
        <w:t>Eurocurrency Rate Loan</w:t>
      </w:r>
      <w:r>
        <w:rPr>
          <w:rFonts w:ascii="Arial" w:cs="Arial" w:eastAsia="Arial" w:hAnsi="Arial"/>
          <w:sz w:val="16"/>
          <w:szCs w:val="16"/>
          <w:color w:val="0000FF"/>
        </w:rPr>
        <w:t xml:space="preserve"> </w:t>
      </w:r>
      <w:r>
        <w:rPr>
          <w:rFonts w:ascii="Arial" w:cs="Arial" w:eastAsia="Arial" w:hAnsi="Arial"/>
          <w:sz w:val="16"/>
          <w:szCs w:val="16"/>
          <w:color w:val="FF0000"/>
        </w:rPr>
        <w:t>on the a day</w:t>
      </w:r>
      <w:r>
        <w:rPr>
          <w:rFonts w:ascii="Arial" w:cs="Arial" w:eastAsia="Arial" w:hAnsi="Arial"/>
          <w:sz w:val="16"/>
          <w:szCs w:val="16"/>
          <w:u w:val="single" w:color="auto"/>
          <w:color w:val="0000FF"/>
        </w:rPr>
        <w:t>or Term SOFR Loan</w:t>
      </w:r>
      <w:r>
        <w:rPr>
          <w:rFonts w:ascii="Arial" w:cs="Arial" w:eastAsia="Arial" w:hAnsi="Arial"/>
          <w:sz w:val="16"/>
          <w:szCs w:val="16"/>
          <w:color w:val="0000FF"/>
        </w:rPr>
        <w:t xml:space="preserve"> </w:t>
      </w:r>
      <w:r>
        <w:rPr>
          <w:rFonts w:ascii="Arial" w:cs="Arial" w:eastAsia="Arial" w:hAnsi="Arial"/>
          <w:sz w:val="16"/>
          <w:szCs w:val="16"/>
          <w:color w:val="000000"/>
        </w:rPr>
        <w:t>other than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on</w:t>
      </w:r>
      <w:r>
        <w:rPr>
          <w:rFonts w:ascii="Arial" w:cs="Arial" w:eastAsia="Arial" w:hAnsi="Arial"/>
          <w:sz w:val="16"/>
          <w:szCs w:val="16"/>
          <w:color w:val="0000FF"/>
        </w:rPr>
        <w:t xml:space="preserve"> </w:t>
      </w:r>
      <w:r>
        <w:rPr>
          <w:rFonts w:ascii="Arial" w:cs="Arial" w:eastAsia="Arial" w:hAnsi="Arial"/>
          <w:sz w:val="16"/>
          <w:szCs w:val="16"/>
          <w:color w:val="000000"/>
        </w:rPr>
        <w:t>the last day of the Interest Period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applicable</w:t>
      </w:r>
      <w:r>
        <w:rPr>
          <w:rFonts w:ascii="Arial" w:cs="Arial" w:eastAsia="Arial" w:hAnsi="Arial"/>
          <w:sz w:val="16"/>
          <w:szCs w:val="16"/>
          <w:color w:val="0000FF"/>
        </w:rPr>
        <w:t xml:space="preserve"> </w:t>
      </w:r>
      <w:r>
        <w:rPr>
          <w:rFonts w:ascii="Arial" w:cs="Arial" w:eastAsia="Arial" w:hAnsi="Arial"/>
          <w:sz w:val="16"/>
          <w:szCs w:val="16"/>
          <w:color w:val="000000"/>
        </w:rPr>
        <w:t>there</w:t>
      </w:r>
      <w:r>
        <w:rPr>
          <w:rFonts w:ascii="Arial" w:cs="Arial" w:eastAsia="Arial" w:hAnsi="Arial"/>
          <w:sz w:val="16"/>
          <w:szCs w:val="16"/>
          <w:color w:val="FF0000"/>
          <w:strike w:val="1"/>
        </w:rPr>
        <w:t>for</w:t>
      </w:r>
      <w:r>
        <w:rPr>
          <w:rFonts w:ascii="Arial" w:cs="Arial" w:eastAsia="Arial" w:hAnsi="Arial"/>
          <w:sz w:val="16"/>
          <w:szCs w:val="16"/>
          <w:u w:val="single" w:color="auto"/>
          <w:color w:val="0000FF"/>
        </w:rPr>
        <w:t>to</w:t>
      </w:r>
      <w:r>
        <w:rPr>
          <w:rFonts w:ascii="Arial" w:cs="Arial" w:eastAsia="Arial" w:hAnsi="Arial"/>
          <w:sz w:val="16"/>
          <w:szCs w:val="16"/>
          <w:color w:val="0000FF"/>
        </w:rPr>
        <w:t xml:space="preserve"> </w:t>
      </w:r>
      <w:r>
        <w:rPr>
          <w:rFonts w:ascii="Arial" w:cs="Arial" w:eastAsia="Arial" w:hAnsi="Arial"/>
          <w:sz w:val="16"/>
          <w:szCs w:val="16"/>
          <w:color w:val="000000"/>
        </w:rPr>
        <w:t>as a result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-55880</wp:posOffset>
            </wp:positionV>
            <wp:extent cx="58356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835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request by the Borrower pursuant to </w:t>
      </w:r>
      <w:r>
        <w:rPr>
          <w:rFonts w:ascii="Arial" w:cs="Arial" w:eastAsia="Arial" w:hAnsi="Arial"/>
          <w:sz w:val="16"/>
          <w:szCs w:val="16"/>
          <w:u w:val="single" w:color="auto"/>
          <w:color w:val="auto"/>
        </w:rPr>
        <w:t>Section 5.12(b)</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w:t>
      </w:r>
      <w:r>
        <w:rPr>
          <w:rFonts w:ascii="Arial" w:cs="Arial" w:eastAsia="Arial" w:hAnsi="Arial"/>
          <w:sz w:val="16"/>
          <w:szCs w:val="16"/>
          <w:color w:val="auto"/>
        </w:rPr>
        <w:t xml:space="preserve"> </w:t>
      </w:r>
      <w:r>
        <w:rPr>
          <w:rFonts w:ascii="Arial" w:cs="Arial" w:eastAsia="Arial" w:hAnsi="Arial"/>
          <w:sz w:val="16"/>
          <w:szCs w:val="16"/>
          <w:color w:val="FF0000"/>
        </w:rPr>
        <w:t>T</w:t>
      </w:r>
      <w:r>
        <w:rPr>
          <w:rFonts w:ascii="Arial" w:cs="Arial" w:eastAsia="Arial" w:hAnsi="Arial"/>
          <w:sz w:val="16"/>
          <w:szCs w:val="16"/>
          <w:u w:val="single" w:color="auto"/>
          <w:color w:val="0000FF"/>
        </w:rPr>
        <w:t>t</w:t>
      </w:r>
      <w:r>
        <w:rPr>
          <w:rFonts w:ascii="Arial" w:cs="Arial" w:eastAsia="Arial" w:hAnsi="Arial"/>
          <w:sz w:val="16"/>
          <w:szCs w:val="16"/>
          <w:color w:val="auto"/>
        </w:rPr>
        <w:t xml:space="preserve">he </w:t>
      </w:r>
      <w:r>
        <w:rPr>
          <w:rFonts w:ascii="Arial" w:cs="Arial" w:eastAsia="Arial" w:hAnsi="Arial"/>
          <w:sz w:val="16"/>
          <w:szCs w:val="16"/>
          <w:u w:val="single" w:color="auto"/>
          <w:color w:val="008000"/>
        </w:rPr>
        <w:t>case of a Eurocurrency Rate Loan, the</w:t>
      </w:r>
      <w:r>
        <w:rPr>
          <w:rFonts w:ascii="Arial" w:cs="Arial" w:eastAsia="Arial" w:hAnsi="Arial"/>
          <w:sz w:val="16"/>
          <w:szCs w:val="16"/>
          <w:color w:val="auto"/>
        </w:rPr>
        <w:t xml:space="preserve"> amount of such loss or expense shall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-55880</wp:posOffset>
            </wp:positionV>
            <wp:extent cx="965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65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 the applicable Lender’s sole discretion, based upon the assumption that such Lender funded its Revolving Credit Commitment Percentage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Eurocurrency Rate Loans in the </w:t>
      </w:r>
      <w:r>
        <w:rPr>
          <w:rFonts w:ascii="Arial" w:cs="Arial" w:eastAsia="Arial" w:hAnsi="Arial"/>
          <w:sz w:val="16"/>
          <w:szCs w:val="16"/>
          <w:u w:val="single" w:color="auto"/>
          <w:color w:val="0000FF"/>
        </w:rPr>
        <w:t>London or other applicable</w:t>
      </w:r>
      <w:r>
        <w:rPr>
          <w:rFonts w:ascii="Arial" w:cs="Arial" w:eastAsia="Arial" w:hAnsi="Arial"/>
          <w:sz w:val="16"/>
          <w:szCs w:val="16"/>
          <w:color w:val="auto"/>
        </w:rPr>
        <w:t xml:space="preserve"> offshore interbank market for such </w:t>
      </w:r>
      <w:r>
        <w:rPr>
          <w:rFonts w:ascii="Arial" w:cs="Arial" w:eastAsia="Arial" w:hAnsi="Arial"/>
          <w:sz w:val="16"/>
          <w:szCs w:val="16"/>
          <w:u w:val="single" w:color="auto"/>
          <w:color w:val="0000FF"/>
        </w:rPr>
        <w:t>Currency, whether or not such Euro</w:t>
      </w:r>
      <w:r>
        <w:rPr>
          <w:rFonts w:ascii="Arial" w:cs="Arial" w:eastAsia="Arial" w:hAnsi="Arial"/>
          <w:sz w:val="16"/>
          <w:szCs w:val="16"/>
          <w:color w:val="auto"/>
        </w:rPr>
        <w:t xml:space="preserve">currency </w:t>
      </w:r>
      <w:r>
        <w:rPr>
          <w:rFonts w:ascii="Arial" w:cs="Arial" w:eastAsia="Arial" w:hAnsi="Arial"/>
          <w:sz w:val="16"/>
          <w:szCs w:val="16"/>
          <w:u w:val="single" w:color="auto"/>
          <w:color w:val="0000FF"/>
        </w:rPr>
        <w:t>Rate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was in fact so funded,</w:t>
      </w:r>
      <w:r>
        <w:rPr>
          <w:rFonts w:ascii="Arial" w:cs="Arial" w:eastAsia="Arial" w:hAnsi="Arial"/>
          <w:sz w:val="16"/>
          <w:szCs w:val="16"/>
          <w:color w:val="0000FF"/>
        </w:rPr>
        <w:t xml:space="preserve"> </w:t>
      </w:r>
      <w:r>
        <w:rPr>
          <w:rFonts w:ascii="Arial" w:cs="Arial" w:eastAsia="Arial" w:hAnsi="Arial"/>
          <w:sz w:val="16"/>
          <w:szCs w:val="16"/>
          <w:color w:val="000000"/>
        </w:rPr>
        <w:t>and using any reasonable attribution or averaging methods which such Lender deems appropriate and practical. A 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Lender setting forth the basis for determining such amount or amounts necessary to compensate such Lender shall be forwarded to the Borrower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the Administrative Agent and shall be conclusively presumed to be correct save for manifest error. All of the obligations of the Credit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shall survive the resignation or replacement of the Administrative Agent or any assignment of rights by, or the replacement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the termination of the Revolving Credit Commitments and the repayment, satisfaction or discharge of all obligations under any Loan Document.</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07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w:t>
      </w:r>
      <w:r>
        <w:rPr>
          <w:rFonts w:ascii="Arial" w:cs="Arial" w:eastAsia="Arial" w:hAnsi="Arial"/>
          <w:sz w:val="18"/>
          <w:szCs w:val="18"/>
          <w:u w:val="single" w:color="auto"/>
          <w:color w:val="0000FF"/>
        </w:rPr>
        <w:t>Adjusted</w:t>
      </w:r>
      <w:r>
        <w:rPr>
          <w:rFonts w:ascii="Arial" w:cs="Arial" w:eastAsia="Arial" w:hAnsi="Arial"/>
          <w:sz w:val="18"/>
          <w:szCs w:val="18"/>
          <w:color w:val="auto"/>
        </w:rPr>
        <w:t xml:space="preserve"> Eurocurrency Rate) or any Issuing Lender;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490" w:right="459" w:bottom="1440" w:gutter="0" w:footer="0" w:header="0"/>
        </w:sectPr>
      </w:pPr>
    </w:p>
    <w:bookmarkStart w:id="132" w:name="page133"/>
    <w:bookmarkEnd w:id="132"/>
    <w:p>
      <w:pPr>
        <w:jc w:val="both"/>
        <w:ind w:left="440" w:right="20" w:firstLine="419"/>
        <w:spacing w:after="0" w:line="263" w:lineRule="auto"/>
        <w:tabs>
          <w:tab w:leader="none" w:pos="11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75" w:lineRule="exact"/>
        <w:rPr>
          <w:rFonts w:ascii="Arial" w:cs="Arial" w:eastAsia="Arial" w:hAnsi="Arial"/>
          <w:sz w:val="18"/>
          <w:szCs w:val="18"/>
          <w:color w:val="auto"/>
        </w:rPr>
      </w:pPr>
    </w:p>
    <w:p>
      <w:pPr>
        <w:jc w:val="both"/>
        <w:ind w:left="440" w:right="400" w:firstLine="419"/>
        <w:spacing w:after="0" w:line="263" w:lineRule="auto"/>
        <w:tabs>
          <w:tab w:leader="none" w:pos="117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impose on any Lender or any Issuing Lender or </w:t>
      </w:r>
      <w:r>
        <w:rPr>
          <w:rFonts w:ascii="Arial" w:cs="Arial" w:eastAsia="Arial" w:hAnsi="Arial"/>
          <w:sz w:val="18"/>
          <w:szCs w:val="18"/>
          <w:u w:val="single" w:color="auto"/>
          <w:color w:val="0000FF"/>
        </w:rPr>
        <w:t>(with respect to Eurocurrency Rate Loans)</w:t>
      </w:r>
      <w:r>
        <w:rPr>
          <w:rFonts w:ascii="Arial" w:cs="Arial" w:eastAsia="Arial" w:hAnsi="Arial"/>
          <w:sz w:val="18"/>
          <w:szCs w:val="18"/>
          <w:color w:val="auto"/>
        </w:rPr>
        <w:t xml:space="preserve"> the London </w:t>
      </w:r>
      <w:r>
        <w:rPr>
          <w:rFonts w:ascii="Arial" w:cs="Arial" w:eastAsia="Arial" w:hAnsi="Arial"/>
          <w:sz w:val="18"/>
          <w:szCs w:val="18"/>
          <w:u w:val="single" w:color="auto"/>
          <w:color w:val="0000FF"/>
        </w:rPr>
        <w:t>or other applicable offshore</w:t>
      </w:r>
      <w:r>
        <w:rPr>
          <w:rFonts w:ascii="Arial" w:cs="Arial" w:eastAsia="Arial" w:hAnsi="Arial"/>
          <w:sz w:val="18"/>
          <w:szCs w:val="18"/>
          <w:color w:val="auto"/>
        </w:rPr>
        <w:t xml:space="preserve"> interbank market any other condition, cost or expense (other than Taxes) affecting this Agreement or </w:t>
      </w:r>
      <w:r>
        <w:rPr>
          <w:rFonts w:ascii="Arial" w:cs="Arial" w:eastAsia="Arial" w:hAnsi="Arial"/>
          <w:sz w:val="18"/>
          <w:szCs w:val="18"/>
          <w:color w:val="FF0000"/>
          <w:strike w:val="1"/>
        </w:rPr>
        <w:t>Eurocurrency Rate</w:t>
      </w:r>
      <w:r>
        <w:rPr>
          <w:rFonts w:ascii="Arial" w:cs="Arial" w:eastAsia="Arial" w:hAnsi="Arial"/>
          <w:sz w:val="18"/>
          <w:szCs w:val="18"/>
          <w:color w:val="auto"/>
        </w:rPr>
        <w:t xml:space="preserve"> Loans made by such Lender or any Letter of Credit or participation therein;</w:t>
      </w:r>
    </w:p>
    <w:p>
      <w:pPr>
        <w:spacing w:after="0" w:line="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and the result of any of the foregoing shall be to increase the cost to such Lender,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w:t>
      </w:r>
      <w:r>
        <w:rPr>
          <w:rFonts w:ascii="Arial" w:cs="Arial" w:eastAsia="Arial" w:hAnsi="Arial"/>
          <w:sz w:val="16"/>
          <w:szCs w:val="16"/>
          <w:color w:val="auto"/>
        </w:rPr>
        <w:t xml:space="preserv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 shall </w:t>
      </w:r>
      <w:r>
        <w:rPr>
          <w:rFonts w:ascii="Arial" w:cs="Arial" w:eastAsia="Arial" w:hAnsi="Arial"/>
          <w:sz w:val="16"/>
          <w:szCs w:val="16"/>
          <w:u w:val="single" w:color="auto"/>
          <w:color w:val="0000FF"/>
        </w:rPr>
        <w:t>promptly</w:t>
      </w:r>
      <w:r>
        <w:rPr>
          <w:rFonts w:ascii="Arial" w:cs="Arial" w:eastAsia="Arial" w:hAnsi="Arial"/>
          <w:sz w:val="16"/>
          <w:szCs w:val="16"/>
          <w:color w:val="auto"/>
        </w:rPr>
        <w:t xml:space="preserve">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58" w:lineRule="exact"/>
        <w:rPr>
          <w:sz w:val="20"/>
          <w:szCs w:val="20"/>
          <w:color w:val="auto"/>
        </w:rPr>
      </w:pPr>
    </w:p>
    <w:p>
      <w:pPr>
        <w:ind w:firstLine="436"/>
        <w:spacing w:after="0" w:line="288"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xml:space="preserve">.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Borrower shall </w:t>
      </w:r>
      <w:r>
        <w:rPr>
          <w:rFonts w:ascii="Arial" w:cs="Arial" w:eastAsia="Arial" w:hAnsi="Arial"/>
          <w:sz w:val="16"/>
          <w:szCs w:val="16"/>
          <w:u w:val="single" w:color="auto"/>
          <w:color w:val="0000FF"/>
        </w:rPr>
        <w:t>promptly</w:t>
      </w:r>
      <w:r>
        <w:rPr>
          <w:rFonts w:ascii="Arial" w:cs="Arial" w:eastAsia="Arial" w:hAnsi="Arial"/>
          <w:sz w:val="16"/>
          <w:szCs w:val="16"/>
          <w:color w:val="auto"/>
        </w:rPr>
        <w:t xml:space="preserve"> pay to such Lender or such Issuing Lender, as the case may be, such additional amount or amounts as will compensate such Lender or such Issuing Lender or such Lender’s or such Issuing Lender’s holding company for any such reduction suffered.</w:t>
      </w:r>
    </w:p>
    <w:p>
      <w:pPr>
        <w:spacing w:after="0" w:line="60" w:lineRule="exact"/>
        <w:rPr>
          <w:rFonts w:ascii="Arial" w:cs="Arial" w:eastAsia="Arial" w:hAnsi="Arial"/>
          <w:sz w:val="16"/>
          <w:szCs w:val="16"/>
          <w:color w:val="auto"/>
        </w:rPr>
      </w:pPr>
    </w:p>
    <w:p>
      <w:pPr>
        <w:ind w:right="40" w:firstLine="436"/>
        <w:spacing w:after="0" w:line="257" w:lineRule="auto"/>
        <w:tabs>
          <w:tab w:leader="none" w:pos="68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Borrower, shall be conclusive absent manifest error. The Borrower shall pay such Lender or such Issuing Lender or such other Recipient, as the case may be, the amount shown as due on any such certificate within thirty (30) days after receipt thereof.</w:t>
      </w:r>
    </w:p>
    <w:p>
      <w:pPr>
        <w:spacing w:after="0" w:line="79" w:lineRule="exact"/>
        <w:rPr>
          <w:rFonts w:ascii="Arial" w:cs="Arial" w:eastAsia="Arial" w:hAnsi="Arial"/>
          <w:sz w:val="18"/>
          <w:szCs w:val="18"/>
          <w:color w:val="auto"/>
        </w:rPr>
      </w:pPr>
    </w:p>
    <w:p>
      <w:pPr>
        <w:ind w:right="20" w:firstLine="436"/>
        <w:spacing w:after="0" w:line="291"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any Lender or an Issuing Lender or any other Recipient pursuant to this Section for any increased costs incurred or reductions suffered more than 180 days prior to the date that such Lender or such Issuing Lender or such other Recipient, as the case may be, notifies the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490" w:right="459" w:bottom="1440" w:gutter="0" w:footer="0" w:header="0"/>
        </w:sectPr>
      </w:pPr>
    </w:p>
    <w:bookmarkStart w:id="133" w:name="page134"/>
    <w:bookmarkEnd w:id="133"/>
    <w:p>
      <w:pPr>
        <w:ind w:right="20" w:firstLine="436"/>
        <w:spacing w:after="0" w:line="271" w:lineRule="auto"/>
        <w:tabs>
          <w:tab w:leader="none" w:pos="675"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Additional Reserve Requirements</w:t>
      </w:r>
      <w:r>
        <w:rPr>
          <w:rFonts w:ascii="Arial" w:cs="Arial" w:eastAsia="Arial" w:hAnsi="Arial"/>
          <w:sz w:val="17"/>
          <w:szCs w:val="17"/>
          <w:color w:val="auto"/>
        </w:rPr>
        <w:t xml:space="preserve">. The Borrower shall pay to each Lender, as long as such Lender shall be required to comply with any reserve ratio requirement or analogous requirement of any central banking or financial regulatory authority imposed in respect of the maintenance of the Revolving Credit Commitment or the funding of the Eurocurrency Rate Loans, such additional costs (expressed as a percentage per annum and rounded upwards, if necessary, to the nearest five decimal places) equal to the actual costs allocated to such Revolving Credit Commitment or Eurocurrency Rate Loan by such Lender (as determined by such Lender in good faith, which determination shall be conclusive), which shall be due and payable on each date on which interest is payable on such Eurocurrency Rate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Borrower shall have received at least ten (10) days’ prior notice (with a copy to the Administrative Agent) of such additional costs from such Lender. If a Lender fails to give notice ten (10) days prior to the relevant payment date, such additional costs shall be due and payable ten (10) days from receipt of such notice.</w:t>
      </w:r>
    </w:p>
    <w:p>
      <w:pPr>
        <w:spacing w:after="0" w:line="70" w:lineRule="exact"/>
        <w:rPr>
          <w:rFonts w:ascii="Arial" w:cs="Arial" w:eastAsia="Arial" w:hAnsi="Arial"/>
          <w:sz w:val="17"/>
          <w:szCs w:val="17"/>
          <w:color w:val="auto"/>
        </w:rPr>
      </w:pPr>
    </w:p>
    <w:p>
      <w:pPr>
        <w:ind w:right="160" w:firstLine="436"/>
        <w:spacing w:after="0" w:line="263" w:lineRule="auto"/>
        <w:tabs>
          <w:tab w:leader="none" w:pos="66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obligations of the Credit Parties under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the term “Lender” includes any Issuing Lender and the term “Applicable Law” includes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FATCA.</w:t>
      </w:r>
    </w:p>
    <w:p>
      <w:pPr>
        <w:spacing w:after="0" w:line="102" w:lineRule="exact"/>
        <w:rPr>
          <w:rFonts w:ascii="Arial" w:cs="Arial" w:eastAsia="Arial" w:hAnsi="Arial"/>
          <w:sz w:val="17"/>
          <w:szCs w:val="17"/>
          <w:color w:val="auto"/>
        </w:rPr>
      </w:pPr>
    </w:p>
    <w:p>
      <w:pPr>
        <w:ind w:firstLine="436"/>
        <w:spacing w:after="0" w:line="271" w:lineRule="auto"/>
        <w:tabs>
          <w:tab w:leader="none" w:pos="69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70" w:lineRule="exact"/>
        <w:rPr>
          <w:rFonts w:ascii="Arial" w:cs="Arial" w:eastAsia="Arial" w:hAnsi="Arial"/>
          <w:sz w:val="17"/>
          <w:szCs w:val="17"/>
          <w:color w:val="auto"/>
        </w:rPr>
      </w:pPr>
    </w:p>
    <w:p>
      <w:pPr>
        <w:ind w:right="180" w:firstLine="436"/>
        <w:spacing w:after="0" w:line="277" w:lineRule="auto"/>
        <w:tabs>
          <w:tab w:leader="none" w:pos="68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Credit Parties</w:t>
      </w:r>
      <w:r>
        <w:rPr>
          <w:rFonts w:ascii="Arial" w:cs="Arial" w:eastAsia="Arial" w:hAnsi="Arial"/>
          <w:sz w:val="18"/>
          <w:szCs w:val="18"/>
          <w:color w:val="auto"/>
        </w:rPr>
        <w:t>. The Credit Parties shall timely pay to the relevant Governmental Authority in accordance with Applicable Law, or at the option of the Administrative Agent timely reimburse it for the payment of, any Other Taxes.</w:t>
      </w:r>
    </w:p>
    <w:p>
      <w:pPr>
        <w:spacing w:after="0" w:line="62" w:lineRule="exact"/>
        <w:rPr>
          <w:rFonts w:ascii="Arial" w:cs="Arial" w:eastAsia="Arial" w:hAnsi="Arial"/>
          <w:sz w:val="18"/>
          <w:szCs w:val="18"/>
          <w:color w:val="auto"/>
        </w:rPr>
      </w:pPr>
    </w:p>
    <w:p>
      <w:pPr>
        <w:ind w:right="20" w:firstLine="436"/>
        <w:spacing w:after="0" w:line="293"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Indemnification by the Credit Parties</w:t>
      </w:r>
      <w:r>
        <w:rPr>
          <w:rFonts w:ascii="Arial" w:cs="Arial" w:eastAsia="Arial" w:hAnsi="Arial"/>
          <w:sz w:val="16"/>
          <w:szCs w:val="16"/>
          <w:color w:val="auto"/>
        </w:rPr>
        <w:t>. The Credit Parties shall jointly and severally indemnify each Recipient, within thirty (30)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490" w:right="459" w:bottom="1440" w:gutter="0" w:footer="0" w:header="0"/>
        </w:sectPr>
      </w:pPr>
    </w:p>
    <w:bookmarkStart w:id="134" w:name="page135"/>
    <w:bookmarkEnd w:id="134"/>
    <w:p>
      <w:pPr>
        <w:ind w:right="80" w:firstLine="436"/>
        <w:spacing w:after="0" w:line="269" w:lineRule="auto"/>
        <w:tabs>
          <w:tab w:leader="none" w:pos="685"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Indemnification by the Lenders</w:t>
      </w:r>
      <w:r>
        <w:rPr>
          <w:rFonts w:ascii="Arial" w:cs="Arial" w:eastAsia="Arial" w:hAnsi="Arial"/>
          <w:sz w:val="17"/>
          <w:szCs w:val="17"/>
          <w:color w:val="auto"/>
        </w:rPr>
        <w:t xml:space="preserve">. Each Lender shall severally indemnify the Administrative Agent, within thirty (30) days after written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7"/>
          <w:szCs w:val="17"/>
          <w:u w:val="single" w:color="auto"/>
          <w:color w:val="auto"/>
        </w:rPr>
        <w:t>Section 12.9(d)</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77" w:lineRule="exact"/>
        <w:rPr>
          <w:rFonts w:ascii="Arial" w:cs="Arial" w:eastAsia="Arial" w:hAnsi="Arial"/>
          <w:sz w:val="17"/>
          <w:szCs w:val="17"/>
          <w:color w:val="auto"/>
        </w:rPr>
      </w:pPr>
    </w:p>
    <w:p>
      <w:pPr>
        <w:ind w:right="320" w:firstLine="436"/>
        <w:spacing w:after="0" w:line="259" w:lineRule="auto"/>
        <w:tabs>
          <w:tab w:leader="none" w:pos="66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any Credit Party to a Governmental Authority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19"/>
        <w:spacing w:after="0" w:line="287" w:lineRule="auto"/>
        <w:tabs>
          <w:tab w:leader="none" w:pos="106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5.11(g)(ii)(A)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3" w:lineRule="exact"/>
        <w:rPr>
          <w:rFonts w:ascii="Arial" w:cs="Arial" w:eastAsia="Arial" w:hAnsi="Arial"/>
          <w:sz w:val="16"/>
          <w:szCs w:val="16"/>
          <w:color w:val="auto"/>
        </w:rPr>
      </w:pPr>
    </w:p>
    <w:p>
      <w:pPr>
        <w:ind w:left="1120" w:hanging="261"/>
        <w:spacing w:after="0"/>
        <w:tabs>
          <w:tab w:leader="none" w:pos="11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980" w:firstLine="408"/>
        <w:spacing w:after="0" w:line="259" w:lineRule="auto"/>
        <w:tabs>
          <w:tab w:leader="none" w:pos="166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490" w:right="459" w:bottom="1440" w:gutter="0" w:footer="0" w:header="0"/>
        </w:sectPr>
      </w:pPr>
    </w:p>
    <w:bookmarkStart w:id="135" w:name="page136"/>
    <w:bookmarkEnd w:id="135"/>
    <w:p>
      <w:pPr>
        <w:ind w:left="-20" w:right="300" w:firstLine="408"/>
        <w:spacing w:after="0" w:line="259" w:lineRule="auto"/>
        <w:tabs>
          <w:tab w:leader="none" w:pos="666"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420" w:firstLine="391"/>
        <w:spacing w:after="0" w:line="296" w:lineRule="auto"/>
        <w:tabs>
          <w:tab w:leader="none" w:pos="1058" w:val="left"/>
        </w:tabs>
        <w:numPr>
          <w:ilvl w:val="2"/>
          <w:numId w:val="132"/>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copies of IRS Form W-8BEN-E establishing an exemption from, or reduction of, United States federal withholding Tax pursuant to the “interest” article of such tax treaty and (y) with respect to any other applicable payments under any Loan Document, IRS Form W-8BEN-E establishing an exemption from, or reduction of, United States federal withholding Tax pursuant to the “business profits” or “other income” article of such tax treaty;</w:t>
      </w:r>
    </w:p>
    <w:p>
      <w:pPr>
        <w:spacing w:after="0" w:line="53" w:lineRule="exact"/>
        <w:rPr>
          <w:rFonts w:ascii="Arial" w:cs="Arial" w:eastAsia="Arial" w:hAnsi="Arial"/>
          <w:sz w:val="16"/>
          <w:szCs w:val="16"/>
          <w:color w:val="auto"/>
        </w:rPr>
      </w:pPr>
    </w:p>
    <w:p>
      <w:pPr>
        <w:ind w:left="1060" w:hanging="249"/>
        <w:spacing w:after="0"/>
        <w:tabs>
          <w:tab w:leader="none" w:pos="106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420" w:right="140" w:firstLine="391"/>
        <w:spacing w:after="0" w:line="287" w:lineRule="auto"/>
        <w:tabs>
          <w:tab w:leader="none" w:pos="1058" w:val="left"/>
        </w:tabs>
        <w:numPr>
          <w:ilvl w:val="2"/>
          <w:numId w:val="132"/>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b w:val="1"/>
          <w:bCs w:val="1"/>
          <w:i w:val="1"/>
          <w:iCs w:val="1"/>
          <w:color w:val="auto"/>
        </w:rPr>
        <w:t>Exhibit H-1</w:t>
      </w:r>
      <w:r>
        <w:rPr>
          <w:rFonts w:ascii="Arial" w:cs="Arial" w:eastAsia="Arial" w:hAnsi="Arial"/>
          <w:sz w:val="16"/>
          <w:szCs w:val="16"/>
          <w:color w:val="auto"/>
        </w:rPr>
        <w:t xml:space="preserve"> to the effect that such Foreign Lender is not a “bank” within the meaning of Section 881(c)(3)(A) of the Code, a “10 percent shareholder” of the Borrower within the meaning of Section 881(c)(3)</w:t>
      </w:r>
    </w:p>
    <w:p>
      <w:pPr>
        <w:spacing w:after="0" w:line="2" w:lineRule="exact"/>
        <w:rPr>
          <w:rFonts w:ascii="Arial" w:cs="Arial" w:eastAsia="Arial" w:hAnsi="Arial"/>
          <w:sz w:val="16"/>
          <w:szCs w:val="16"/>
          <w:color w:val="auto"/>
        </w:rPr>
      </w:pPr>
    </w:p>
    <w:p>
      <w:pPr>
        <w:ind w:left="420" w:right="480" w:firstLine="8"/>
        <w:spacing w:after="0" w:line="260" w:lineRule="auto"/>
        <w:tabs>
          <w:tab w:leader="none" w:pos="70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W-8BEN-E; or</w:t>
      </w:r>
    </w:p>
    <w:p>
      <w:pPr>
        <w:spacing w:after="0" w:line="77" w:lineRule="exact"/>
        <w:rPr>
          <w:rFonts w:ascii="Arial" w:cs="Arial" w:eastAsia="Arial" w:hAnsi="Arial"/>
          <w:sz w:val="18"/>
          <w:szCs w:val="18"/>
          <w:color w:val="auto"/>
        </w:rPr>
      </w:pPr>
    </w:p>
    <w:p>
      <w:pPr>
        <w:ind w:left="420" w:firstLine="391"/>
        <w:spacing w:after="0" w:line="255" w:lineRule="auto"/>
        <w:tabs>
          <w:tab w:leader="none" w:pos="1058" w:val="left"/>
        </w:tabs>
        <w:numPr>
          <w:ilvl w:val="2"/>
          <w:numId w:val="133"/>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W-8BEN-E, a U.S. Tax Compliance Certificate substantially in the form of </w:t>
      </w:r>
      <w:r>
        <w:rPr>
          <w:rFonts w:ascii="Arial" w:cs="Arial" w:eastAsia="Arial" w:hAnsi="Arial"/>
          <w:sz w:val="18"/>
          <w:szCs w:val="18"/>
          <w:b w:val="1"/>
          <w:bCs w:val="1"/>
          <w:i w:val="1"/>
          <w:iCs w:val="1"/>
          <w:color w:val="auto"/>
        </w:rPr>
        <w:t>Exhibit H-2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Exhibit H-3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b w:val="1"/>
          <w:bCs w:val="1"/>
          <w:i w:val="1"/>
          <w:iCs w:val="1"/>
          <w:color w:val="auto"/>
        </w:rPr>
        <w:t>Exhibit H-4</w:t>
      </w:r>
      <w:r>
        <w:rPr>
          <w:rFonts w:ascii="Arial" w:cs="Arial" w:eastAsia="Arial" w:hAnsi="Arial"/>
          <w:sz w:val="18"/>
          <w:szCs w:val="18"/>
          <w:color w:val="auto"/>
        </w:rPr>
        <w:t xml:space="preserve"> on behalf of each such direct and indirect partner;</w:t>
      </w:r>
    </w:p>
    <w:p>
      <w:pPr>
        <w:spacing w:after="0" w:line="84" w:lineRule="exact"/>
        <w:rPr>
          <w:rFonts w:ascii="Arial" w:cs="Arial" w:eastAsia="Arial" w:hAnsi="Arial"/>
          <w:sz w:val="18"/>
          <w:szCs w:val="18"/>
          <w:color w:val="auto"/>
        </w:rPr>
      </w:pPr>
    </w:p>
    <w:p>
      <w:pPr>
        <w:ind w:left="-20" w:right="240" w:firstLine="408"/>
        <w:spacing w:after="0" w:line="293" w:lineRule="auto"/>
        <w:tabs>
          <w:tab w:leader="none" w:pos="66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9980"/>
          </w:cols>
          <w:pgMar w:left="1440" w:top="490" w:right="479" w:bottom="1440" w:gutter="0" w:footer="0" w:header="0"/>
        </w:sectPr>
      </w:pPr>
    </w:p>
    <w:bookmarkStart w:id="136" w:name="page137"/>
    <w:bookmarkEnd w:id="136"/>
    <w:p>
      <w:pPr>
        <w:ind w:left="984" w:right="20" w:firstLine="408"/>
        <w:spacing w:after="0" w:line="270" w:lineRule="auto"/>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62" w:lineRule="exact"/>
        <w:rPr>
          <w:sz w:val="20"/>
          <w:szCs w:val="20"/>
          <w:color w:val="auto"/>
        </w:rPr>
      </w:pPr>
    </w:p>
    <w:p>
      <w:pPr>
        <w:ind w:left="4" w:right="40" w:firstLine="436"/>
        <w:spacing w:after="0" w:line="268" w:lineRule="auto"/>
        <w:tabs>
          <w:tab w:leader="none" w:pos="696"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5.11</w:t>
      </w:r>
      <w:r>
        <w:rPr>
          <w:rFonts w:ascii="Arial" w:cs="Arial" w:eastAsia="Arial" w:hAnsi="Arial"/>
          <w:sz w:val="17"/>
          <w:szCs w:val="17"/>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78" w:lineRule="exact"/>
        <w:rPr>
          <w:rFonts w:ascii="Arial" w:cs="Arial" w:eastAsia="Arial" w:hAnsi="Arial"/>
          <w:sz w:val="17"/>
          <w:szCs w:val="17"/>
          <w:color w:val="auto"/>
        </w:rPr>
      </w:pPr>
    </w:p>
    <w:p>
      <w:pPr>
        <w:jc w:val="both"/>
        <w:ind w:left="4" w:right="480" w:firstLine="436"/>
        <w:spacing w:after="0" w:line="263" w:lineRule="auto"/>
        <w:tabs>
          <w:tab w:leader="none" w:pos="659"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85" w:lineRule="auto"/>
        <w:tabs>
          <w:tab w:leader="none" w:pos="689"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5.11</w:t>
      </w:r>
      <w:r>
        <w:rPr>
          <w:rFonts w:ascii="Arial" w:cs="Arial" w:eastAsia="Arial" w:hAnsi="Arial"/>
          <w:sz w:val="16"/>
          <w:szCs w:val="16"/>
          <w:color w:val="auto"/>
        </w:rPr>
        <w:t>, as the case may be, in the future and</w:t>
      </w:r>
    </w:p>
    <w:p>
      <w:pPr>
        <w:spacing w:after="0" w:line="1" w:lineRule="exact"/>
        <w:rPr>
          <w:rFonts w:ascii="Arial" w:cs="Arial" w:eastAsia="Arial" w:hAnsi="Arial"/>
          <w:sz w:val="16"/>
          <w:szCs w:val="16"/>
          <w:color w:val="auto"/>
        </w:rPr>
      </w:pPr>
    </w:p>
    <w:p>
      <w:pPr>
        <w:ind w:left="4" w:right="300" w:hanging="4"/>
        <w:spacing w:after="0" w:line="323" w:lineRule="auto"/>
        <w:tabs>
          <w:tab w:leader="none" w:pos="26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4"/>
          </w:cols>
          <w:pgMar w:left="436" w:top="490" w:right="459" w:bottom="1440" w:gutter="0" w:footer="0" w:header="0"/>
        </w:sectPr>
      </w:pPr>
    </w:p>
    <w:bookmarkStart w:id="137" w:name="page138"/>
    <w:bookmarkEnd w:id="137"/>
    <w:p>
      <w:pPr>
        <w:ind w:right="160" w:firstLine="436"/>
        <w:spacing w:after="0" w:line="271" w:lineRule="auto"/>
        <w:tabs>
          <w:tab w:leader="none" w:pos="695"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Replacement of Lenders</w:t>
      </w:r>
      <w:r>
        <w:rPr>
          <w:rFonts w:ascii="Arial" w:cs="Arial" w:eastAsia="Arial" w:hAnsi="Arial"/>
          <w:sz w:val="17"/>
          <w:szCs w:val="17"/>
          <w:color w:val="auto"/>
        </w:rPr>
        <w:t xml:space="preserve">. If (i) any Lender requests compensation under </w:t>
      </w:r>
      <w:r>
        <w:rPr>
          <w:rFonts w:ascii="Arial" w:cs="Arial" w:eastAsia="Arial" w:hAnsi="Arial"/>
          <w:sz w:val="17"/>
          <w:szCs w:val="17"/>
          <w:u w:val="single" w:color="auto"/>
          <w:color w:val="auto"/>
        </w:rPr>
        <w:t>Section 5.10</w:t>
      </w:r>
      <w:r>
        <w:rPr>
          <w:rFonts w:ascii="Arial" w:cs="Arial" w:eastAsia="Arial" w:hAnsi="Arial"/>
          <w:sz w:val="17"/>
          <w:szCs w:val="17"/>
          <w:color w:val="auto"/>
        </w:rPr>
        <w:t>, (</w:t>
      </w:r>
      <w:r>
        <w:rPr>
          <w:rFonts w:ascii="Arial" w:cs="Arial" w:eastAsia="Arial" w:hAnsi="Arial"/>
          <w:sz w:val="17"/>
          <w:szCs w:val="17"/>
          <w:color w:val="FF0000"/>
          <w:strike w:val="1"/>
        </w:rPr>
        <w:t>b</w:t>
      </w:r>
      <w:r>
        <w:rPr>
          <w:rFonts w:ascii="Arial" w:cs="Arial" w:eastAsia="Arial" w:hAnsi="Arial"/>
          <w:sz w:val="17"/>
          <w:szCs w:val="17"/>
          <w:u w:val="single" w:color="auto"/>
          <w:color w:val="0000FF"/>
        </w:rPr>
        <w:t>ii</w:t>
      </w:r>
      <w:r>
        <w:rPr>
          <w:rFonts w:ascii="Arial" w:cs="Arial" w:eastAsia="Arial" w:hAnsi="Arial"/>
          <w:sz w:val="17"/>
          <w:szCs w:val="17"/>
          <w:color w:val="auto"/>
        </w:rPr>
        <w:t xml:space="preserve">) the Borrower is required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and, in each case, such Lender has declined or is unable to designate a different Lending Office in accordance with </w:t>
      </w:r>
      <w:r>
        <w:rPr>
          <w:rFonts w:ascii="Arial" w:cs="Arial" w:eastAsia="Arial" w:hAnsi="Arial"/>
          <w:sz w:val="17"/>
          <w:szCs w:val="17"/>
          <w:u w:val="single" w:color="auto"/>
          <w:color w:val="auto"/>
        </w:rPr>
        <w:t>Section 5.12(a)</w:t>
      </w:r>
      <w:r>
        <w:rPr>
          <w:rFonts w:ascii="Arial" w:cs="Arial" w:eastAsia="Arial" w:hAnsi="Arial"/>
          <w:sz w:val="17"/>
          <w:szCs w:val="17"/>
          <w:color w:val="auto"/>
        </w:rPr>
        <w:t xml:space="preserve"> or (</w:t>
      </w:r>
      <w:r>
        <w:rPr>
          <w:rFonts w:ascii="Arial" w:cs="Arial" w:eastAsia="Arial" w:hAnsi="Arial"/>
          <w:sz w:val="17"/>
          <w:szCs w:val="17"/>
          <w:color w:val="FF0000"/>
          <w:strike w:val="1"/>
        </w:rPr>
        <w:t>c</w:t>
      </w:r>
      <w:r>
        <w:rPr>
          <w:rFonts w:ascii="Arial" w:cs="Arial" w:eastAsia="Arial" w:hAnsi="Arial"/>
          <w:sz w:val="17"/>
          <w:szCs w:val="17"/>
          <w:u w:val="single" w:color="auto"/>
          <w:color w:val="0000FF"/>
        </w:rPr>
        <w:t>iii</w:t>
      </w:r>
      <w:r>
        <w:rPr>
          <w:rFonts w:ascii="Arial" w:cs="Arial" w:eastAsia="Arial" w:hAnsi="Arial"/>
          <w:sz w:val="17"/>
          <w:szCs w:val="17"/>
          <w:color w:val="auto"/>
        </w:rPr>
        <w:t xml:space="preserve">)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all of its interests, rights (other than its existing rights to payments pursuant to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0" w:lineRule="exact"/>
        <w:rPr>
          <w:rFonts w:ascii="Arial" w:cs="Arial" w:eastAsia="Arial" w:hAnsi="Arial"/>
          <w:sz w:val="17"/>
          <w:szCs w:val="17"/>
          <w:color w:val="auto"/>
        </w:rPr>
      </w:pPr>
    </w:p>
    <w:p>
      <w:pPr>
        <w:ind w:left="2020" w:hanging="209"/>
        <w:spacing w:after="0"/>
        <w:tabs>
          <w:tab w:leader="none" w:pos="2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20" w:right="120" w:firstLine="391"/>
        <w:spacing w:after="0" w:line="279" w:lineRule="auto"/>
        <w:tabs>
          <w:tab w:leader="none" w:pos="206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5.9</w:t>
      </w:r>
      <w:r>
        <w:rPr>
          <w:rFonts w:ascii="Arial" w:cs="Arial" w:eastAsia="Arial" w:hAnsi="Arial"/>
          <w:sz w:val="17"/>
          <w:szCs w:val="17"/>
          <w:color w:val="auto"/>
        </w:rPr>
        <w:t>) from the assignee (to the extent of such outstanding principal and accrued interest and fees) or the Borrower (in the case of all other amounts);</w:t>
      </w:r>
    </w:p>
    <w:p>
      <w:pPr>
        <w:spacing w:after="0" w:line="63" w:lineRule="exact"/>
        <w:rPr>
          <w:rFonts w:ascii="Arial" w:cs="Arial" w:eastAsia="Arial" w:hAnsi="Arial"/>
          <w:sz w:val="17"/>
          <w:szCs w:val="17"/>
          <w:color w:val="auto"/>
        </w:rPr>
      </w:pPr>
    </w:p>
    <w:p>
      <w:pPr>
        <w:ind w:left="1420" w:right="60" w:firstLine="391"/>
        <w:spacing w:after="0" w:line="308" w:lineRule="auto"/>
        <w:tabs>
          <w:tab w:leader="none" w:pos="211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such assignment will result in a reduction in such compensation or payments thereafter;</w:t>
      </w:r>
    </w:p>
    <w:p>
      <w:pPr>
        <w:spacing w:after="0" w:line="38" w:lineRule="exact"/>
        <w:rPr>
          <w:rFonts w:ascii="Arial" w:cs="Arial" w:eastAsia="Arial" w:hAnsi="Arial"/>
          <w:sz w:val="17"/>
          <w:szCs w:val="17"/>
          <w:color w:val="auto"/>
        </w:rPr>
      </w:pPr>
    </w:p>
    <w:p>
      <w:pPr>
        <w:ind w:left="2120" w:hanging="309"/>
        <w:spacing w:after="0"/>
        <w:tabs>
          <w:tab w:leader="none" w:pos="21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117" w:lineRule="exact"/>
        <w:rPr>
          <w:rFonts w:ascii="Arial" w:cs="Arial" w:eastAsia="Arial" w:hAnsi="Arial"/>
          <w:sz w:val="18"/>
          <w:szCs w:val="18"/>
          <w:color w:val="auto"/>
        </w:rPr>
      </w:pPr>
    </w:p>
    <w:p>
      <w:pPr>
        <w:ind w:left="1420" w:right="260" w:firstLine="391"/>
        <w:spacing w:after="0" w:line="277" w:lineRule="auto"/>
        <w:tabs>
          <w:tab w:leader="none" w:pos="205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case of any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62" w:lineRule="exact"/>
        <w:rPr>
          <w:sz w:val="20"/>
          <w:szCs w:val="20"/>
          <w:color w:val="auto"/>
        </w:rPr>
      </w:pPr>
    </w:p>
    <w:p>
      <w:pPr>
        <w:ind w:right="560" w:firstLine="436"/>
        <w:spacing w:after="0" w:line="263" w:lineRule="auto"/>
        <w:tabs>
          <w:tab w:leader="none" w:pos="68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Selection of Lending Office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5.12(a)</w:t>
      </w:r>
      <w:r>
        <w:rPr>
          <w:rFonts w:ascii="Arial" w:cs="Arial" w:eastAsia="Arial" w:hAnsi="Arial"/>
          <w:sz w:val="18"/>
          <w:szCs w:val="18"/>
          <w:color w:val="auto"/>
        </w:rPr>
        <w:t>, each Lender may make any Loan to the Borrower through any Lending Office, provided that the exercise of this option shall not affect the obligations of the Borrower to repay the Loan in accordance with the terms of this Agreement or otherwise alter the rights of the parties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FF0000"/>
          <w:strike w:val="1"/>
        </w:rPr>
        <w:t>Incremental Loans</w:t>
      </w:r>
      <w:r>
        <w:rPr>
          <w:rFonts w:ascii="Arial" w:cs="Arial" w:eastAsia="Arial" w:hAnsi="Arial"/>
          <w:sz w:val="18"/>
          <w:szCs w:val="18"/>
          <w:u w:val="single" w:color="auto"/>
          <w:color w:val="0000FF"/>
        </w:rPr>
        <w:t>[Reserved]</w:t>
      </w:r>
      <w:r>
        <w:rPr>
          <w:rFonts w:ascii="Arial" w:cs="Arial" w:eastAsia="Arial" w:hAnsi="Arial"/>
          <w:sz w:val="18"/>
          <w:szCs w:val="18"/>
          <w:color w:val="auto"/>
        </w:rPr>
        <w:t>.</w:t>
      </w:r>
    </w:p>
    <w:p>
      <w:pPr>
        <w:spacing w:after="0" w:line="117" w:lineRule="exact"/>
        <w:rPr>
          <w:sz w:val="20"/>
          <w:szCs w:val="20"/>
          <w:color w:val="auto"/>
        </w:rPr>
      </w:pPr>
    </w:p>
    <w:p>
      <w:pPr>
        <w:jc w:val="center"/>
        <w:ind w:left="5420" w:right="160" w:hanging="4984"/>
        <w:spacing w:after="0" w:line="449" w:lineRule="auto"/>
        <w:tabs>
          <w:tab w:leader="none" w:pos="677" w:val="left"/>
        </w:tabs>
        <w:numPr>
          <w:ilvl w:val="0"/>
          <w:numId w:val="14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At any time, on one or more occasions, the Borrower may by written </w:t>
      </w:r>
      <w:r>
        <w:rPr>
          <w:rFonts w:ascii="Arial" w:cs="Arial" w:eastAsia="Arial" w:hAnsi="Arial"/>
          <w:sz w:val="18"/>
          <w:szCs w:val="18"/>
          <w:color w:val="008000"/>
          <w:strike w:val="1"/>
        </w:rPr>
        <w:t>notice to the Administrative Agent</w:t>
      </w:r>
      <w:r>
        <w:rPr>
          <w:rFonts w:ascii="Arial" w:cs="Arial" w:eastAsia="Arial" w:hAnsi="Arial"/>
          <w:sz w:val="18"/>
          <w:szCs w:val="18"/>
          <w:color w:val="FF0000"/>
          <w:strike w:val="1"/>
        </w:rPr>
        <w:t xml:space="preserve"> elect to request the establishment of: </w:t>
      </w:r>
      <w:r>
        <w:rPr>
          <w:rFonts w:ascii="Arial" w:cs="Arial" w:eastAsia="Arial" w:hAnsi="Arial"/>
          <w:sz w:val="18"/>
          <w:szCs w:val="18"/>
          <w:color w:val="000000"/>
          <w:strike w:val="1"/>
        </w:rPr>
        <w:t>93</w:t>
      </w:r>
    </w:p>
    <w:p>
      <w:pPr>
        <w:sectPr>
          <w:pgSz w:w="11900" w:h="16838" w:orient="portrait"/>
          <w:cols w:equalWidth="0" w:num="1">
            <w:col w:w="10980"/>
          </w:cols>
          <w:pgMar w:left="440" w:top="490" w:right="479" w:bottom="1440" w:gutter="0" w:footer="0" w:header="0"/>
        </w:sectPr>
      </w:pPr>
    </w:p>
    <w:bookmarkStart w:id="138" w:name="page139"/>
    <w:bookmarkEnd w:id="138"/>
    <w:p>
      <w:pPr>
        <w:ind w:left="1420" w:firstLine="391"/>
        <w:spacing w:after="0" w:line="257" w:lineRule="auto"/>
        <w:tabs>
          <w:tab w:leader="none" w:pos="2018" w:val="left"/>
        </w:tabs>
        <w:numPr>
          <w:ilvl w:val="0"/>
          <w:numId w:val="142"/>
        </w:numPr>
        <w:rPr>
          <w:rFonts w:ascii="Arial" w:cs="Arial" w:eastAsia="Arial" w:hAnsi="Arial"/>
          <w:sz w:val="18"/>
          <w:szCs w:val="18"/>
          <w:color w:val="FF0000"/>
          <w:strike w:val="1"/>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one or more incremental term loan commitments (any such incremental term loan commitment, an “</w:t>
      </w:r>
      <w:r>
        <w:rPr>
          <w:rFonts w:ascii="Arial" w:cs="Arial" w:eastAsia="Arial" w:hAnsi="Arial"/>
          <w:sz w:val="18"/>
          <w:szCs w:val="18"/>
          <w:u w:val="single" w:color="auto"/>
          <w:color w:val="FF0000"/>
          <w:strike w:val="1"/>
        </w:rPr>
        <w:t>Incremental Term Loan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Commitment</w:t>
      </w:r>
      <w:r>
        <w:rPr>
          <w:rFonts w:ascii="Arial" w:cs="Arial" w:eastAsia="Arial" w:hAnsi="Arial"/>
          <w:sz w:val="18"/>
          <w:szCs w:val="18"/>
          <w:color w:val="FF0000"/>
          <w:strike w:val="1"/>
        </w:rPr>
        <w:t>”) to make one or more additional term loans, the principal amount of which will be under a new tranche of Term Loans under this Agreement, or a borrowing of an additional term loans the principal amount of which will be added to the outstanding principal amount of the existing tranche of Term Loans with the latest maturity date (any such additional term loan, an “</w:t>
      </w:r>
      <w:r>
        <w:rPr>
          <w:rFonts w:ascii="Arial" w:cs="Arial" w:eastAsia="Arial" w:hAnsi="Arial"/>
          <w:sz w:val="18"/>
          <w:szCs w:val="18"/>
          <w:u w:val="single" w:color="auto"/>
          <w:color w:val="FF0000"/>
          <w:strike w:val="1"/>
        </w:rPr>
        <w:t>Incremental</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Term Loan</w:t>
      </w:r>
      <w:r>
        <w:rPr>
          <w:rFonts w:ascii="Arial" w:cs="Arial" w:eastAsia="Arial" w:hAnsi="Arial"/>
          <w:sz w:val="18"/>
          <w:szCs w:val="18"/>
          <w:color w:val="FF0000"/>
          <w:strike w:val="1"/>
        </w:rPr>
        <w:t>”); or</w:t>
      </w:r>
    </w:p>
    <w:p>
      <w:pPr>
        <w:spacing w:after="0" w:line="79" w:lineRule="exact"/>
        <w:rPr>
          <w:rFonts w:ascii="Arial" w:cs="Arial" w:eastAsia="Arial" w:hAnsi="Arial"/>
          <w:sz w:val="18"/>
          <w:szCs w:val="18"/>
          <w:color w:val="FF0000"/>
          <w:strike w:val="1"/>
        </w:rPr>
      </w:pPr>
    </w:p>
    <w:p>
      <w:pPr>
        <w:jc w:val="both"/>
        <w:ind w:left="1420" w:right="440" w:firstLine="391"/>
        <w:spacing w:after="0" w:line="259" w:lineRule="auto"/>
        <w:tabs>
          <w:tab w:leader="none" w:pos="2068" w:val="left"/>
        </w:tabs>
        <w:numPr>
          <w:ilvl w:val="0"/>
          <w:numId w:val="14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one or more increases </w:t>
      </w:r>
      <w:r>
        <w:rPr>
          <w:rFonts w:ascii="Arial" w:cs="Arial" w:eastAsia="Arial" w:hAnsi="Arial"/>
          <w:sz w:val="18"/>
          <w:szCs w:val="18"/>
          <w:color w:val="008000"/>
          <w:strike w:val="1"/>
        </w:rPr>
        <w:t>in the Revolving Credit Commitments</w:t>
      </w:r>
      <w:r>
        <w:rPr>
          <w:rFonts w:ascii="Arial" w:cs="Arial" w:eastAsia="Arial" w:hAnsi="Arial"/>
          <w:sz w:val="18"/>
          <w:szCs w:val="18"/>
          <w:color w:val="FF0000"/>
          <w:strike w:val="1"/>
        </w:rPr>
        <w:t xml:space="preserve"> (any such increase, an “</w:t>
      </w:r>
      <w:r>
        <w:rPr>
          <w:rFonts w:ascii="Arial" w:cs="Arial" w:eastAsia="Arial" w:hAnsi="Arial"/>
          <w:sz w:val="18"/>
          <w:szCs w:val="18"/>
          <w:u w:val="single" w:color="auto"/>
          <w:color w:val="FF0000"/>
          <w:strike w:val="1"/>
        </w:rPr>
        <w:t>Incremental Revolving Credit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Commitment</w:t>
      </w:r>
      <w:r>
        <w:rPr>
          <w:rFonts w:ascii="Arial" w:cs="Arial" w:eastAsia="Arial" w:hAnsi="Arial"/>
          <w:sz w:val="18"/>
          <w:szCs w:val="18"/>
          <w:color w:val="FF0000"/>
          <w:strike w:val="1"/>
        </w:rPr>
        <w:t>” and, together with the Incremental Term Loan Commitments, the “</w:t>
      </w:r>
      <w:r>
        <w:rPr>
          <w:rFonts w:ascii="Arial" w:cs="Arial" w:eastAsia="Arial" w:hAnsi="Arial"/>
          <w:sz w:val="18"/>
          <w:szCs w:val="18"/>
          <w:u w:val="single" w:color="auto"/>
          <w:color w:val="FF0000"/>
          <w:strike w:val="1"/>
        </w:rPr>
        <w:t>Incremental Loan Commitments</w:t>
      </w:r>
      <w:r>
        <w:rPr>
          <w:rFonts w:ascii="Arial" w:cs="Arial" w:eastAsia="Arial" w:hAnsi="Arial"/>
          <w:sz w:val="18"/>
          <w:szCs w:val="18"/>
          <w:color w:val="FF0000"/>
          <w:strike w:val="1"/>
        </w:rPr>
        <w:t>”) to make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revolving credit loans under the Revolving Credit Facility (any such increase, an “</w:t>
      </w:r>
      <w:r>
        <w:rPr>
          <w:rFonts w:ascii="Arial" w:cs="Arial" w:eastAsia="Arial" w:hAnsi="Arial"/>
          <w:sz w:val="18"/>
          <w:szCs w:val="18"/>
          <w:u w:val="single" w:color="auto"/>
          <w:color w:val="FF0000"/>
          <w:strike w:val="1"/>
        </w:rPr>
        <w:t>Incremental Revolving Credit Increase</w:t>
      </w:r>
      <w:r>
        <w:rPr>
          <w:rFonts w:ascii="Arial" w:cs="Arial" w:eastAsia="Arial" w:hAnsi="Arial"/>
          <w:sz w:val="18"/>
          <w:szCs w:val="18"/>
          <w:color w:val="FF0000"/>
          <w:strike w:val="1"/>
        </w:rPr>
        <w:t>” and, together with the Incremental Term Loans, the “</w:t>
      </w:r>
      <w:r>
        <w:rPr>
          <w:rFonts w:ascii="Arial" w:cs="Arial" w:eastAsia="Arial" w:hAnsi="Arial"/>
          <w:sz w:val="18"/>
          <w:szCs w:val="18"/>
          <w:u w:val="single" w:color="auto"/>
          <w:color w:val="FF0000"/>
          <w:strike w:val="1"/>
        </w:rPr>
        <w:t>Incremental Loans</w:t>
      </w:r>
      <w:r>
        <w:rPr>
          <w:rFonts w:ascii="Arial" w:cs="Arial" w:eastAsia="Arial" w:hAnsi="Arial"/>
          <w:sz w:val="18"/>
          <w:szCs w:val="18"/>
          <w:color w:val="FF0000"/>
          <w:strike w:val="1"/>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-1115060</wp:posOffset>
            </wp:positionV>
            <wp:extent cx="60852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85205" cy="825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-703580</wp:posOffset>
            </wp:positionV>
            <wp:extent cx="74739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47395" cy="8890"/>
                    </a:xfrm>
                    <a:prstGeom prst="rect">
                      <a:avLst/>
                    </a:prstGeom>
                    <a:noFill/>
                  </pic:spPr>
                </pic:pic>
              </a:graphicData>
            </a:graphic>
          </wp:anchor>
        </w:drawing>
      </w:r>
    </w:p>
    <w:p>
      <w:pPr>
        <w:spacing w:after="0" w:line="16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u w:val="single" w:color="auto"/>
          <w:color w:val="FF0000"/>
          <w:strike w:val="1"/>
        </w:rPr>
        <w:t xml:space="preserve">provided </w:t>
      </w:r>
      <w:r>
        <w:rPr>
          <w:rFonts w:ascii="Arial" w:cs="Arial" w:eastAsia="Arial" w:hAnsi="Arial"/>
          <w:sz w:val="16"/>
          <w:szCs w:val="16"/>
          <w:color w:val="FF0000"/>
          <w:strike w:val="1"/>
        </w:rPr>
        <w:t>that (1) the total initial principal amount (as of the date of incurrence thereof) of such requested Incremental Loan Commitments and</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Incremental Loans shall not exceed the Incremental Facilities Limit and (2) the total aggregate amount for each Incremental Loan Commitment (and the Incremental Loans made thereunder) shall not be less than a minimum principal amount of $10,000,000 or, if less, the remaining amount permitted pursuant to the foregoing clause (1). Each such notice shall specify the date (each, an “</w:t>
      </w:r>
      <w:r>
        <w:rPr>
          <w:rFonts w:ascii="Arial" w:cs="Arial" w:eastAsia="Arial" w:hAnsi="Arial"/>
          <w:sz w:val="16"/>
          <w:szCs w:val="16"/>
          <w:u w:val="single" w:color="auto"/>
          <w:color w:val="FF0000"/>
          <w:strike w:val="1"/>
        </w:rPr>
        <w:t>Increased Amount Date</w:t>
      </w:r>
      <w:r>
        <w:rPr>
          <w:rFonts w:ascii="Arial" w:cs="Arial" w:eastAsia="Arial" w:hAnsi="Arial"/>
          <w:sz w:val="16"/>
          <w:szCs w:val="16"/>
          <w:color w:val="FF0000"/>
          <w:strike w:val="1"/>
        </w:rPr>
        <w:t>”) on which the Borrower proposes that any Incremental Loan Commitment shall be effective, which shall be a date not less than ten (10</w:t>
      </w:r>
      <w:r>
        <w:rPr>
          <w:rFonts w:ascii="Arial" w:cs="Arial" w:eastAsia="Arial" w:hAnsi="Arial"/>
          <w:sz w:val="16"/>
          <w:szCs w:val="16"/>
          <w:color w:val="008000"/>
          <w:strike w:val="1"/>
        </w:rPr>
        <w:t>) Business Days after the date</w:t>
      </w:r>
      <w:r>
        <w:rPr>
          <w:rFonts w:ascii="Arial" w:cs="Arial" w:eastAsia="Arial" w:hAnsi="Arial"/>
          <w:sz w:val="16"/>
          <w:szCs w:val="16"/>
          <w:color w:val="FF0000"/>
          <w:strike w:val="1"/>
        </w:rPr>
        <w:t xml:space="preserve"> on which such notice is delivered to Administrative Agent (or such shorter period as may be approved by the Administrative Agent). The Borrower may invite any Lender, any Affiliate of any Lender and/or any Approved Fund, and/or any other Person reasonably satisfactory to the Administrative Agent, to provide an Incremental Loan Commitment (any such Person, an “</w:t>
      </w:r>
      <w:r>
        <w:rPr>
          <w:rFonts w:ascii="Arial" w:cs="Arial" w:eastAsia="Arial" w:hAnsi="Arial"/>
          <w:sz w:val="16"/>
          <w:szCs w:val="16"/>
          <w:u w:val="single" w:color="auto"/>
          <w:color w:val="FF0000"/>
          <w:strike w:val="1"/>
        </w:rPr>
        <w:t>Incremental Lender</w:t>
      </w:r>
      <w:r>
        <w:rPr>
          <w:rFonts w:ascii="Arial" w:cs="Arial" w:eastAsia="Arial" w:hAnsi="Arial"/>
          <w:sz w:val="16"/>
          <w:szCs w:val="16"/>
          <w:color w:val="FF0000"/>
          <w:strike w:val="1"/>
        </w:rPr>
        <w:t>”). Any proposed Incremental Lender offered or approached to provide all or a portion of any Incremental Loan Commitment may elect or decline, in its sole discretion, to provide such Incremental Loan Commitment or any portion thereof. Any proposed Incremental Lender not responding by the Increased Amount Date shall be deemed to have declined to provide an Incremental Loan Commitment or any portion thereof. Each Incremental Lender shall become a Lender or make its Incremental Loan Commitment under this Agreement pursuant to an amendment (an “</w:t>
      </w:r>
      <w:r>
        <w:rPr>
          <w:rFonts w:ascii="Arial" w:cs="Arial" w:eastAsia="Arial" w:hAnsi="Arial"/>
          <w:sz w:val="16"/>
          <w:szCs w:val="16"/>
          <w:u w:val="single" w:color="auto"/>
          <w:color w:val="FF0000"/>
          <w:strike w:val="1"/>
        </w:rPr>
        <w:t>Incremental Facility Amendment</w:t>
      </w:r>
      <w:r>
        <w:rPr>
          <w:rFonts w:ascii="Arial" w:cs="Arial" w:eastAsia="Arial" w:hAnsi="Arial"/>
          <w:sz w:val="16"/>
          <w:szCs w:val="16"/>
          <w:color w:val="FF0000"/>
          <w:strike w:val="1"/>
        </w:rPr>
        <w:t xml:space="preserve">”) to this Agreement giving effect to the modifications permitted by this </w:t>
      </w:r>
      <w:r>
        <w:rPr>
          <w:rFonts w:ascii="Arial" w:cs="Arial" w:eastAsia="Arial" w:hAnsi="Arial"/>
          <w:sz w:val="16"/>
          <w:szCs w:val="16"/>
          <w:u w:val="single" w:color="auto"/>
          <w:color w:val="FF0000"/>
          <w:strike w:val="1"/>
        </w:rPr>
        <w:t xml:space="preserve">Section 5.13 </w:t>
      </w:r>
      <w:r>
        <w:rPr>
          <w:rFonts w:ascii="Arial" w:cs="Arial" w:eastAsia="Arial" w:hAnsi="Arial"/>
          <w:sz w:val="16"/>
          <w:szCs w:val="16"/>
          <w:color w:val="FF0000"/>
          <w:strike w:val="1"/>
        </w:rPr>
        <w:t>and, as appropriate, the other Loan Documents, executed by the Credit Parties, each Incremental Lender with respect to the Incremental</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 xml:space="preserve">Loan under the Incremental Facility Amendment (to the extent applicable) and the Administrative Agent (provided that, with the consent of each Incremental Lender with respect to the Incremental Loan under the Incremental Facility Amendment, the Administrative Agent may execute such Incremental Facility Amendment on behalf of the applicable Incremental Lenders). Any Incremental Loan Commitment shall become effective as of such Increased Amount Date;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each of the following conditions has been satisfied or waived as of such Increased Amount Date, which in the case of an Incremental Term Loan to be used to finance a Limited Condition Acquisition, shall be subject to </w:t>
      </w:r>
      <w:r>
        <w:rPr>
          <w:rFonts w:ascii="Arial" w:cs="Arial" w:eastAsia="Arial" w:hAnsi="Arial"/>
          <w:sz w:val="16"/>
          <w:szCs w:val="16"/>
          <w:u w:val="single" w:color="auto"/>
          <w:color w:val="FF0000"/>
          <w:strike w:val="1"/>
        </w:rPr>
        <w:t>Section 1.14</w:t>
      </w:r>
      <w:r>
        <w:rPr>
          <w:rFonts w:ascii="Arial" w:cs="Arial" w:eastAsia="Arial" w:hAnsi="Arial"/>
          <w:sz w:val="16"/>
          <w:szCs w:val="16"/>
          <w:color w:val="FF0000"/>
          <w:strike w:val="1"/>
        </w:rPr>
        <w:t>:</w:t>
      </w:r>
    </w:p>
    <w:p>
      <w:pPr>
        <w:spacing w:after="0" w:line="63" w:lineRule="exact"/>
        <w:rPr>
          <w:sz w:val="20"/>
          <w:szCs w:val="20"/>
          <w:color w:val="auto"/>
        </w:rPr>
      </w:pPr>
    </w:p>
    <w:p>
      <w:pPr>
        <w:ind w:left="980" w:right="220" w:firstLine="408"/>
        <w:spacing w:after="0" w:line="263" w:lineRule="auto"/>
        <w:tabs>
          <w:tab w:leader="none" w:pos="1676" w:val="left"/>
        </w:tabs>
        <w:numPr>
          <w:ilvl w:val="1"/>
          <w:numId w:val="143"/>
        </w:numPr>
        <w:rPr>
          <w:rFonts w:ascii="Arial" w:cs="Arial" w:eastAsia="Arial" w:hAnsi="Arial"/>
          <w:sz w:val="18"/>
          <w:szCs w:val="18"/>
          <w:color w:val="FF0000"/>
          <w:strike w:val="1"/>
        </w:rPr>
      </w:pPr>
      <w:r>
        <w:rPr>
          <w:rFonts w:ascii="Arial" w:cs="Arial" w:eastAsia="Arial" w:hAnsi="Arial"/>
          <w:sz w:val="18"/>
          <w:szCs w:val="18"/>
          <w:color w:val="FF0000"/>
          <w:strike w:val="1"/>
        </w:rPr>
        <w:t>no Default or Event of Default shall exist on such Increased Amount Date immediately prior to or after giving effect to (1) any Incremental Loan Commitment, (2) the making of any Incremental Loans pursuant thereto and (3) any Permitted Acquisition consummated in connection therewith;</w:t>
      </w:r>
    </w:p>
    <w:p>
      <w:pPr>
        <w:spacing w:after="0" w:line="75" w:lineRule="exact"/>
        <w:rPr>
          <w:rFonts w:ascii="Arial" w:cs="Arial" w:eastAsia="Arial" w:hAnsi="Arial"/>
          <w:sz w:val="18"/>
          <w:szCs w:val="18"/>
          <w:color w:val="FF0000"/>
          <w:strike w:val="1"/>
        </w:rPr>
      </w:pPr>
    </w:p>
    <w:p>
      <w:pPr>
        <w:ind w:left="980" w:right="40" w:firstLine="408"/>
        <w:spacing w:after="0" w:line="285" w:lineRule="auto"/>
        <w:tabs>
          <w:tab w:leader="none" w:pos="1666" w:val="left"/>
        </w:tabs>
        <w:numPr>
          <w:ilvl w:val="1"/>
          <w:numId w:val="143"/>
        </w:numPr>
        <w:rPr>
          <w:rFonts w:ascii="Arial" w:cs="Arial" w:eastAsia="Arial" w:hAnsi="Arial"/>
          <w:sz w:val="16"/>
          <w:szCs w:val="16"/>
          <w:color w:val="FF0000"/>
          <w:strike w:val="1"/>
        </w:rPr>
      </w:pPr>
      <w:r>
        <w:rPr>
          <w:rFonts w:ascii="Arial" w:cs="Arial" w:eastAsia="Arial" w:hAnsi="Arial"/>
          <w:sz w:val="16"/>
          <w:szCs w:val="16"/>
          <w:color w:val="008000"/>
          <w:strike w:val="1"/>
        </w:rPr>
        <w:t xml:space="preserve">the Administrative Agent and the Lenders </w:t>
      </w:r>
      <w:r>
        <w:rPr>
          <w:rFonts w:ascii="Arial" w:cs="Arial" w:eastAsia="Arial" w:hAnsi="Arial"/>
          <w:sz w:val="16"/>
          <w:szCs w:val="16"/>
          <w:color w:val="FF0000"/>
          <w:strike w:val="1"/>
        </w:rPr>
        <w:t>shall have received from the Borrower a Compliance Certificate demonstrating, in</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form and substance reasonably satisfactory to the Administrative Agent, that the Borrower is in compliance with the financial covenants set forth in </w:t>
      </w:r>
      <w:r>
        <w:rPr>
          <w:rFonts w:ascii="Arial" w:cs="Arial" w:eastAsia="Arial" w:hAnsi="Arial"/>
          <w:sz w:val="16"/>
          <w:szCs w:val="16"/>
          <w:u w:val="single" w:color="auto"/>
          <w:color w:val="FF0000"/>
          <w:strike w:val="1"/>
        </w:rPr>
        <w:t>Section 9.11</w:t>
      </w:r>
      <w:r>
        <w:rPr>
          <w:rFonts w:ascii="Arial" w:cs="Arial" w:eastAsia="Arial" w:hAnsi="Arial"/>
          <w:sz w:val="16"/>
          <w:szCs w:val="16"/>
          <w:color w:val="FF0000"/>
          <w:strike w:val="1"/>
        </w:rPr>
        <w:t xml:space="preserve"> (without giving effect to the increased maximum Consolidated Net Leverage Ratio levels permitted during the Covenant Relief Period set forth in </w:t>
      </w:r>
      <w:r>
        <w:rPr>
          <w:rFonts w:ascii="Arial" w:cs="Arial" w:eastAsia="Arial" w:hAnsi="Arial"/>
          <w:sz w:val="16"/>
          <w:szCs w:val="16"/>
          <w:u w:val="single" w:color="auto"/>
          <w:color w:val="FF0000"/>
          <w:strike w:val="1"/>
        </w:rPr>
        <w:t>Section 9.11(b))</w:t>
      </w:r>
      <w:r>
        <w:rPr>
          <w:rFonts w:ascii="Arial" w:cs="Arial" w:eastAsia="Arial" w:hAnsi="Arial"/>
          <w:sz w:val="16"/>
          <w:szCs w:val="16"/>
          <w:color w:val="FF0000"/>
          <w:strike w:val="1"/>
        </w:rPr>
        <w:t>, in each case based on the financial statements most recently delivered pursuant to Section 8.1(a) or 8.1(b), as applicable, both before and after giving effect (on a pro forma basis) to (x) any Incremental Loan Commitment,</w:t>
      </w:r>
    </w:p>
    <w:p>
      <w:pPr>
        <w:spacing w:after="0" w:line="1" w:lineRule="exact"/>
        <w:rPr>
          <w:rFonts w:ascii="Arial" w:cs="Arial" w:eastAsia="Arial" w:hAnsi="Arial"/>
          <w:sz w:val="16"/>
          <w:szCs w:val="16"/>
          <w:color w:val="FF0000"/>
          <w:strike w:val="1"/>
        </w:rPr>
      </w:pPr>
    </w:p>
    <w:p>
      <w:pPr>
        <w:ind w:left="1240" w:hanging="253"/>
        <w:spacing w:after="0"/>
        <w:tabs>
          <w:tab w:leader="none" w:pos="1240" w:val="left"/>
        </w:tabs>
        <w:numPr>
          <w:ilvl w:val="0"/>
          <w:numId w:val="144"/>
        </w:numPr>
        <w:rPr>
          <w:rFonts w:ascii="Arial" w:cs="Arial" w:eastAsia="Arial" w:hAnsi="Arial"/>
          <w:sz w:val="16"/>
          <w:szCs w:val="16"/>
          <w:color w:val="FF0000"/>
          <w:strike w:val="1"/>
        </w:rPr>
      </w:pPr>
      <w:r>
        <w:rPr>
          <w:rFonts w:ascii="Arial" w:cs="Arial" w:eastAsia="Arial" w:hAnsi="Arial"/>
          <w:sz w:val="16"/>
          <w:szCs w:val="16"/>
          <w:color w:val="FF0000"/>
          <w:strike w:val="1"/>
        </w:rPr>
        <w:t>the making of any Incremental Loans pursuant thereto (with any Incremental Loan Commitment being deemed to be fully funded) and</w:t>
      </w:r>
    </w:p>
    <w:p>
      <w:pPr>
        <w:spacing w:after="0" w:line="32" w:lineRule="exact"/>
        <w:rPr>
          <w:rFonts w:ascii="Arial" w:cs="Arial" w:eastAsia="Arial" w:hAnsi="Arial"/>
          <w:sz w:val="16"/>
          <w:szCs w:val="16"/>
          <w:color w:val="FF0000"/>
          <w:strike w:val="1"/>
        </w:rPr>
      </w:pPr>
    </w:p>
    <w:p>
      <w:pPr>
        <w:ind w:left="1240" w:hanging="253"/>
        <w:spacing w:after="0"/>
        <w:tabs>
          <w:tab w:leader="none" w:pos="1240" w:val="left"/>
        </w:tabs>
        <w:numPr>
          <w:ilvl w:val="0"/>
          <w:numId w:val="144"/>
        </w:numPr>
        <w:rPr>
          <w:rFonts w:ascii="Arial" w:cs="Arial" w:eastAsia="Arial" w:hAnsi="Arial"/>
          <w:sz w:val="18"/>
          <w:szCs w:val="18"/>
          <w:color w:val="FF0000"/>
          <w:strike w:val="1"/>
        </w:rPr>
      </w:pPr>
      <w:r>
        <w:rPr>
          <w:rFonts w:ascii="Arial" w:cs="Arial" w:eastAsia="Arial" w:hAnsi="Arial"/>
          <w:sz w:val="18"/>
          <w:szCs w:val="18"/>
          <w:color w:val="FF0000"/>
          <w:strike w:val="1"/>
        </w:rPr>
        <w:t>any Permitted Acquisition consummated in connection therewith;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440" w:top="490" w:right="439" w:bottom="1440" w:gutter="0" w:footer="0" w:header="0"/>
        </w:sectPr>
      </w:pPr>
    </w:p>
    <w:bookmarkStart w:id="139" w:name="page140"/>
    <w:bookmarkEnd w:id="139"/>
    <w:p>
      <w:pPr>
        <w:ind w:left="-20" w:right="80" w:firstLine="408"/>
        <w:spacing w:after="0" w:line="275" w:lineRule="auto"/>
        <w:tabs>
          <w:tab w:leader="none" w:pos="666" w:val="left"/>
        </w:tabs>
        <w:numPr>
          <w:ilvl w:val="0"/>
          <w:numId w:val="145"/>
        </w:numPr>
        <w:rPr>
          <w:rFonts w:ascii="Arial" w:cs="Arial" w:eastAsia="Arial" w:hAnsi="Arial"/>
          <w:sz w:val="17"/>
          <w:szCs w:val="17"/>
          <w:color w:val="FF0000"/>
          <w:strike w:val="1"/>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of the representations and warranties contained in Article VII shall be true and correct in all material respects, except to the extent any such representation and warranty is qualified by materiality or reference to Material Adverse Effect, in which case, such representation and warranty shall be true, correct and complete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68" w:lineRule="exact"/>
        <w:rPr>
          <w:rFonts w:ascii="Arial" w:cs="Arial" w:eastAsia="Arial" w:hAnsi="Arial"/>
          <w:sz w:val="17"/>
          <w:szCs w:val="17"/>
          <w:color w:val="FF0000"/>
          <w:strike w:val="1"/>
        </w:rPr>
      </w:pPr>
    </w:p>
    <w:p>
      <w:pPr>
        <w:ind w:left="-20" w:right="260" w:firstLine="408"/>
        <w:spacing w:after="0" w:line="263" w:lineRule="auto"/>
        <w:tabs>
          <w:tab w:leader="none" w:pos="676" w:val="left"/>
        </w:tabs>
        <w:numPr>
          <w:ilvl w:val="0"/>
          <w:numId w:val="14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proceeds of (1) any Incremental Loans shall be used for general corporate purposes </w:t>
      </w:r>
      <w:r>
        <w:rPr>
          <w:rFonts w:ascii="Arial" w:cs="Arial" w:eastAsia="Arial" w:hAnsi="Arial"/>
          <w:sz w:val="18"/>
          <w:szCs w:val="18"/>
          <w:color w:val="008000"/>
          <w:strike w:val="1"/>
        </w:rPr>
        <w:t>of the Borrower and its Subsidiaries,</w:t>
      </w:r>
      <w:r>
        <w:rPr>
          <w:rFonts w:ascii="Arial" w:cs="Arial" w:eastAsia="Arial" w:hAnsi="Arial"/>
          <w:sz w:val="18"/>
          <w:szCs w:val="18"/>
          <w:color w:val="FF0000"/>
          <w:strike w:val="1"/>
        </w:rPr>
        <w:t xml:space="preserve"> including Permitted Acquisitions, and (2) any Incremental Term Loans shall be used by the Borrower and its Subsidiaries for Permitted Acquisitions;</w:t>
      </w:r>
    </w:p>
    <w:p>
      <w:pPr>
        <w:spacing w:after="0" w:line="75" w:lineRule="exact"/>
        <w:rPr>
          <w:rFonts w:ascii="Arial" w:cs="Arial" w:eastAsia="Arial" w:hAnsi="Arial"/>
          <w:sz w:val="18"/>
          <w:szCs w:val="18"/>
          <w:color w:val="FF0000"/>
          <w:strike w:val="1"/>
        </w:rPr>
      </w:pPr>
    </w:p>
    <w:p>
      <w:pPr>
        <w:jc w:val="both"/>
        <w:ind w:left="-20" w:right="80" w:firstLine="408"/>
        <w:spacing w:after="0" w:line="263" w:lineRule="auto"/>
        <w:tabs>
          <w:tab w:leader="none" w:pos="656" w:val="left"/>
        </w:tabs>
        <w:numPr>
          <w:ilvl w:val="0"/>
          <w:numId w:val="145"/>
        </w:numPr>
        <w:rPr>
          <w:rFonts w:ascii="Arial" w:cs="Arial" w:eastAsia="Arial" w:hAnsi="Arial"/>
          <w:sz w:val="18"/>
          <w:szCs w:val="18"/>
          <w:color w:val="FF0000"/>
          <w:strike w:val="1"/>
        </w:rPr>
      </w:pPr>
      <w:r>
        <w:rPr>
          <w:rFonts w:ascii="Arial" w:cs="Arial" w:eastAsia="Arial" w:hAnsi="Arial"/>
          <w:sz w:val="18"/>
          <w:szCs w:val="18"/>
          <w:color w:val="FF0000"/>
          <w:strike w:val="1"/>
        </w:rPr>
        <w:t>each Incremental Loan Commitment (and the Incremental Loans made thereunder) shall constitute Obligations of the Borrower, shall be guaranteed by the Guarantors (and no other Person) and shall be secured by the Collateral (and no other Property) on a pari passu basis with the Secured Obligations;</w:t>
      </w:r>
    </w:p>
    <w:p>
      <w:pPr>
        <w:spacing w:after="0" w:line="75" w:lineRule="exact"/>
        <w:rPr>
          <w:rFonts w:ascii="Arial" w:cs="Arial" w:eastAsia="Arial" w:hAnsi="Arial"/>
          <w:sz w:val="18"/>
          <w:szCs w:val="18"/>
          <w:color w:val="FF0000"/>
          <w:strike w:val="1"/>
        </w:rPr>
      </w:pPr>
    </w:p>
    <w:p>
      <w:pPr>
        <w:ind w:left="-20" w:right="740" w:firstLine="408"/>
        <w:spacing w:after="0" w:line="277" w:lineRule="auto"/>
        <w:tabs>
          <w:tab w:leader="none" w:pos="646" w:val="left"/>
        </w:tabs>
        <w:numPr>
          <w:ilvl w:val="0"/>
          <w:numId w:val="145"/>
        </w:numPr>
        <w:rPr>
          <w:rFonts w:ascii="Arial" w:cs="Arial" w:eastAsia="Arial" w:hAnsi="Arial"/>
          <w:sz w:val="18"/>
          <w:szCs w:val="18"/>
          <w:color w:val="FF0000"/>
          <w:strike w:val="1"/>
        </w:rPr>
      </w:pPr>
      <w:r>
        <w:rPr>
          <w:rFonts w:ascii="Arial" w:cs="Arial" w:eastAsia="Arial" w:hAnsi="Arial"/>
          <w:sz w:val="18"/>
          <w:szCs w:val="18"/>
          <w:color w:val="FF0000"/>
          <w:strike w:val="1"/>
        </w:rPr>
        <w:t>(1) in the case of each Incremental Term Loan (the terms of which shall be set forth in the relevant Incremental Facility Amendment):</w:t>
      </w:r>
    </w:p>
    <w:p>
      <w:pPr>
        <w:spacing w:after="0" w:line="62" w:lineRule="exact"/>
        <w:rPr>
          <w:rFonts w:ascii="Arial" w:cs="Arial" w:eastAsia="Arial" w:hAnsi="Arial"/>
          <w:sz w:val="18"/>
          <w:szCs w:val="18"/>
          <w:color w:val="FF0000"/>
          <w:strike w:val="1"/>
        </w:rPr>
      </w:pPr>
    </w:p>
    <w:p>
      <w:pPr>
        <w:ind w:left="420" w:right="20" w:firstLine="391"/>
        <w:spacing w:after="0" w:line="259" w:lineRule="auto"/>
        <w:tabs>
          <w:tab w:leader="none" w:pos="1058" w:val="left"/>
        </w:tabs>
        <w:numPr>
          <w:ilvl w:val="1"/>
          <w:numId w:val="14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such Incremental Term Loan will </w:t>
      </w:r>
      <w:r>
        <w:rPr>
          <w:rFonts w:ascii="Arial" w:cs="Arial" w:eastAsia="Arial" w:hAnsi="Arial"/>
          <w:sz w:val="18"/>
          <w:szCs w:val="18"/>
          <w:color w:val="008000"/>
          <w:strike w:val="1"/>
        </w:rPr>
        <w:t>bear interest at a rate</w:t>
      </w:r>
      <w:r>
        <w:rPr>
          <w:rFonts w:ascii="Arial" w:cs="Arial" w:eastAsia="Arial" w:hAnsi="Arial"/>
          <w:sz w:val="18"/>
          <w:szCs w:val="18"/>
          <w:color w:val="FF0000"/>
          <w:strike w:val="1"/>
        </w:rPr>
        <w:t xml:space="preserve">, and will mature and amortize in a manner, reasonably acceptable to the Incremental Lenders making such Incremental Term Loan and the Borrower, but will not in any event have a shorter Weighted Average Life to Maturity than the remaining Weighted Average Life to Maturity of the then latest maturing existing Term Loans or a maturity date earlier than </w:t>
      </w:r>
      <w:r>
        <w:rPr>
          <w:rFonts w:ascii="Arial" w:cs="Arial" w:eastAsia="Arial" w:hAnsi="Arial"/>
          <w:sz w:val="18"/>
          <w:szCs w:val="18"/>
          <w:color w:val="008000"/>
          <w:strike w:val="1"/>
        </w:rPr>
        <w:t>the Term Loan Maturity Date</w:t>
      </w:r>
      <w:r>
        <w:rPr>
          <w:rFonts w:ascii="Arial" w:cs="Arial" w:eastAsia="Arial" w:hAnsi="Arial"/>
          <w:sz w:val="18"/>
          <w:szCs w:val="18"/>
          <w:color w:val="FF0000"/>
          <w:strike w:val="1"/>
        </w:rPr>
        <w:t>; and</w:t>
      </w:r>
    </w:p>
    <w:p>
      <w:pPr>
        <w:spacing w:after="0" w:line="78" w:lineRule="exact"/>
        <w:rPr>
          <w:rFonts w:ascii="Arial" w:cs="Arial" w:eastAsia="Arial" w:hAnsi="Arial"/>
          <w:sz w:val="18"/>
          <w:szCs w:val="18"/>
          <w:color w:val="FF0000"/>
          <w:strike w:val="1"/>
        </w:rPr>
      </w:pPr>
    </w:p>
    <w:p>
      <w:pPr>
        <w:ind w:left="420" w:firstLine="391"/>
        <w:spacing w:after="0" w:line="259" w:lineRule="auto"/>
        <w:tabs>
          <w:tab w:leader="none" w:pos="1048" w:val="left"/>
        </w:tabs>
        <w:numPr>
          <w:ilvl w:val="1"/>
          <w:numId w:val="145"/>
        </w:numPr>
        <w:rPr>
          <w:rFonts w:ascii="Arial" w:cs="Arial" w:eastAsia="Arial" w:hAnsi="Arial"/>
          <w:sz w:val="18"/>
          <w:szCs w:val="18"/>
          <w:color w:val="FF0000"/>
          <w:strike w:val="1"/>
        </w:rPr>
      </w:pPr>
      <w:r>
        <w:rPr>
          <w:rFonts w:ascii="Arial" w:cs="Arial" w:eastAsia="Arial" w:hAnsi="Arial"/>
          <w:sz w:val="18"/>
          <w:szCs w:val="18"/>
          <w:color w:val="FF0000"/>
          <w:strike w:val="1"/>
        </w:rPr>
        <w:t>except as provided above, all other terms and conditions applicable to any Incremental Term Loan, to the extent not substantially consistent with the terms and conditions applicable to the Term Loans, shall be reasonably satisfactory to the Administrative Agent and the Borrower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in no event shall such other terms and conditions be more restrictive, taken as a whole, than those set forth in </w:t>
      </w:r>
      <w:r>
        <w:rPr>
          <w:rFonts w:ascii="Arial" w:cs="Arial" w:eastAsia="Arial" w:hAnsi="Arial"/>
          <w:sz w:val="18"/>
          <w:szCs w:val="18"/>
          <w:color w:val="008000"/>
          <w:strike w:val="1"/>
        </w:rPr>
        <w:t>this Agreement and the other Loan Documents)</w:t>
      </w:r>
      <w:r>
        <w:rPr>
          <w:rFonts w:ascii="Arial" w:cs="Arial" w:eastAsia="Arial" w:hAnsi="Arial"/>
          <w:sz w:val="18"/>
          <w:szCs w:val="18"/>
          <w:color w:val="FF0000"/>
          <w:strike w:val="1"/>
        </w:rPr>
        <w:t>;</w:t>
      </w:r>
    </w:p>
    <w:p>
      <w:pPr>
        <w:spacing w:after="0" w:line="79" w:lineRule="exact"/>
        <w:rPr>
          <w:sz w:val="20"/>
          <w:szCs w:val="20"/>
          <w:color w:val="auto"/>
        </w:rPr>
      </w:pPr>
    </w:p>
    <w:p>
      <w:pPr>
        <w:ind w:left="-20" w:right="500" w:firstLine="408"/>
        <w:spacing w:after="0" w:line="277" w:lineRule="auto"/>
        <w:tabs>
          <w:tab w:leader="none" w:pos="636" w:val="left"/>
        </w:tabs>
        <w:numPr>
          <w:ilvl w:val="0"/>
          <w:numId w:val="146"/>
        </w:numPr>
        <w:rPr>
          <w:rFonts w:ascii="Arial" w:cs="Arial" w:eastAsia="Arial" w:hAnsi="Arial"/>
          <w:sz w:val="18"/>
          <w:szCs w:val="18"/>
          <w:color w:val="FF0000"/>
          <w:strike w:val="1"/>
        </w:rPr>
      </w:pPr>
      <w:r>
        <w:rPr>
          <w:rFonts w:ascii="Arial" w:cs="Arial" w:eastAsia="Arial" w:hAnsi="Arial"/>
          <w:sz w:val="18"/>
          <w:szCs w:val="18"/>
          <w:color w:val="FF0000"/>
          <w:strike w:val="1"/>
        </w:rPr>
        <w:t>in the case of each Incremental Revolving Credit Increase (the terms of which shall be set forth in the relevant Incremental Facility Amendment):</w:t>
      </w:r>
    </w:p>
    <w:p>
      <w:pPr>
        <w:spacing w:after="0" w:line="62" w:lineRule="exact"/>
        <w:rPr>
          <w:rFonts w:ascii="Arial" w:cs="Arial" w:eastAsia="Arial" w:hAnsi="Arial"/>
          <w:sz w:val="18"/>
          <w:szCs w:val="18"/>
          <w:color w:val="FF0000"/>
          <w:strike w:val="1"/>
        </w:rPr>
      </w:pPr>
    </w:p>
    <w:p>
      <w:pPr>
        <w:jc w:val="both"/>
        <w:ind w:left="420" w:right="100" w:firstLine="391"/>
        <w:spacing w:after="0" w:line="263" w:lineRule="auto"/>
        <w:tabs>
          <w:tab w:leader="none" w:pos="1058" w:val="left"/>
        </w:tabs>
        <w:numPr>
          <w:ilvl w:val="1"/>
          <w:numId w:val="14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such Incremental Revolving Credit Increase shall mature on </w:t>
      </w:r>
      <w:r>
        <w:rPr>
          <w:rFonts w:ascii="Arial" w:cs="Arial" w:eastAsia="Arial" w:hAnsi="Arial"/>
          <w:sz w:val="18"/>
          <w:szCs w:val="18"/>
          <w:color w:val="008000"/>
          <w:strike w:val="1"/>
        </w:rPr>
        <w:t>the Revolving Credit Maturity Date</w:t>
      </w:r>
      <w:r>
        <w:rPr>
          <w:rFonts w:ascii="Arial" w:cs="Arial" w:eastAsia="Arial" w:hAnsi="Arial"/>
          <w:sz w:val="18"/>
          <w:szCs w:val="18"/>
          <w:color w:val="FF0000"/>
          <w:strike w:val="1"/>
        </w:rPr>
        <w:t>, shall bear interest and be entitled to unused fees, in each case at the rate applicable to the Revolving Credit Loans, and shall be subject to the same terms and conditions as the Revolving Credit Loans;</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9980"/>
          </w:cols>
          <w:pgMar w:left="1440" w:top="490" w:right="479" w:bottom="1440" w:gutter="0" w:footer="0" w:header="0"/>
        </w:sectPr>
      </w:pPr>
    </w:p>
    <w:bookmarkStart w:id="140" w:name="page141"/>
    <w:bookmarkEnd w:id="140"/>
    <w:p>
      <w:pPr>
        <w:ind w:left="1420" w:right="80" w:firstLine="391"/>
        <w:spacing w:after="0" w:line="254" w:lineRule="auto"/>
        <w:tabs>
          <w:tab w:leader="none" w:pos="2058" w:val="left"/>
        </w:tabs>
        <w:numPr>
          <w:ilvl w:val="2"/>
          <w:numId w:val="147"/>
        </w:numPr>
        <w:rPr>
          <w:rFonts w:ascii="Arial" w:cs="Arial" w:eastAsia="Arial" w:hAnsi="Arial"/>
          <w:sz w:val="18"/>
          <w:szCs w:val="18"/>
          <w:color w:val="FF0000"/>
          <w:strike w:val="1"/>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outstanding Revolving Credit Loans and Revolving Credit Commitment Percentages of Swingline Loans and L/C Obligations will be reallocated </w:t>
      </w:r>
      <w:r>
        <w:rPr>
          <w:rFonts w:ascii="Arial" w:cs="Arial" w:eastAsia="Arial" w:hAnsi="Arial"/>
          <w:sz w:val="18"/>
          <w:szCs w:val="18"/>
          <w:color w:val="008000"/>
          <w:strike w:val="1"/>
        </w:rPr>
        <w:t>by the Administrative Agent on the</w:t>
      </w:r>
      <w:r>
        <w:rPr>
          <w:rFonts w:ascii="Arial" w:cs="Arial" w:eastAsia="Arial" w:hAnsi="Arial"/>
          <w:sz w:val="18"/>
          <w:szCs w:val="18"/>
          <w:color w:val="FF0000"/>
          <w:strike w:val="1"/>
        </w:rPr>
        <w:t xml:space="preserve"> applicable Increased Amount Date among the Revolving Credit Lenders (including the Incremental Lenders providing such Incremental Revolving Credit Increase) in accordance with their revised Revolving Credit Commitment Percentages (and the Revolving Credit Lenders (including the Incremental Lenders providing such Incremental Revolving Credit Increase) agree to make all payments and adjustments necessary to effect such reallocation and the Borrower shall pay any and all costs required pursuant to </w:t>
      </w:r>
      <w:r>
        <w:rPr>
          <w:rFonts w:ascii="Arial" w:cs="Arial" w:eastAsia="Arial" w:hAnsi="Arial"/>
          <w:sz w:val="18"/>
          <w:szCs w:val="18"/>
          <w:u w:val="single" w:color="auto"/>
          <w:color w:val="FF0000"/>
          <w:strike w:val="1"/>
        </w:rPr>
        <w:t>Section 5.9</w:t>
      </w:r>
      <w:r>
        <w:rPr>
          <w:rFonts w:ascii="Arial" w:cs="Arial" w:eastAsia="Arial" w:hAnsi="Arial"/>
          <w:sz w:val="18"/>
          <w:szCs w:val="18"/>
          <w:color w:val="FF0000"/>
          <w:strike w:val="1"/>
        </w:rPr>
        <w:t xml:space="preserve"> in connection with such reallocation as if such reallocation were a repayment); and</w:t>
      </w:r>
    </w:p>
    <w:p>
      <w:pPr>
        <w:spacing w:after="0" w:line="86" w:lineRule="exact"/>
        <w:rPr>
          <w:rFonts w:ascii="Arial" w:cs="Arial" w:eastAsia="Arial" w:hAnsi="Arial"/>
          <w:sz w:val="18"/>
          <w:szCs w:val="18"/>
          <w:color w:val="FF0000"/>
          <w:strike w:val="1"/>
        </w:rPr>
      </w:pPr>
    </w:p>
    <w:p>
      <w:pPr>
        <w:ind w:left="1420" w:right="280" w:firstLine="391"/>
        <w:spacing w:after="0" w:line="263" w:lineRule="auto"/>
        <w:tabs>
          <w:tab w:leader="none" w:pos="2048" w:val="left"/>
        </w:tabs>
        <w:numPr>
          <w:ilvl w:val="2"/>
          <w:numId w:val="14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except as provided above, all of the other terms and conditions applicable to such Incremental Revolving Credit Increase shall, except to the extent otherwise provided in this </w:t>
      </w:r>
      <w:r>
        <w:rPr>
          <w:rFonts w:ascii="Arial" w:cs="Arial" w:eastAsia="Arial" w:hAnsi="Arial"/>
          <w:sz w:val="18"/>
          <w:szCs w:val="18"/>
          <w:u w:val="single" w:color="auto"/>
          <w:color w:val="FF0000"/>
          <w:strike w:val="1"/>
        </w:rPr>
        <w:t>Section 5.13</w:t>
      </w:r>
      <w:r>
        <w:rPr>
          <w:rFonts w:ascii="Arial" w:cs="Arial" w:eastAsia="Arial" w:hAnsi="Arial"/>
          <w:sz w:val="18"/>
          <w:szCs w:val="18"/>
          <w:color w:val="FF0000"/>
          <w:strike w:val="1"/>
        </w:rPr>
        <w:t>, be identical to the terms and conditions applicable to the Revolving Credit Facility;</w:t>
      </w:r>
    </w:p>
    <w:p>
      <w:pPr>
        <w:spacing w:after="0" w:line="75" w:lineRule="exact"/>
        <w:rPr>
          <w:rFonts w:ascii="Arial" w:cs="Arial" w:eastAsia="Arial" w:hAnsi="Arial"/>
          <w:sz w:val="18"/>
          <w:szCs w:val="18"/>
          <w:color w:val="FF0000"/>
          <w:strike w:val="1"/>
        </w:rPr>
      </w:pPr>
    </w:p>
    <w:p>
      <w:pPr>
        <w:ind w:left="980" w:right="80" w:firstLine="408"/>
        <w:spacing w:after="0" w:line="279" w:lineRule="auto"/>
        <w:tabs>
          <w:tab w:leader="none" w:pos="1676" w:val="left"/>
        </w:tabs>
        <w:numPr>
          <w:ilvl w:val="1"/>
          <w:numId w:val="148"/>
        </w:numPr>
        <w:rPr>
          <w:rFonts w:ascii="Arial" w:cs="Arial" w:eastAsia="Arial" w:hAnsi="Arial"/>
          <w:sz w:val="17"/>
          <w:szCs w:val="17"/>
          <w:color w:val="FF0000"/>
          <w:strike w:val="1"/>
        </w:rPr>
      </w:pPr>
      <w:r>
        <w:rPr>
          <w:rFonts w:ascii="Arial" w:cs="Arial" w:eastAsia="Arial" w:hAnsi="Arial"/>
          <w:sz w:val="17"/>
          <w:szCs w:val="17"/>
          <w:color w:val="FF0000"/>
          <w:strike w:val="1"/>
        </w:rPr>
        <w:t>any Incremental Lender making any Incremental Term Loan shall be entitled to the same voting rights as the existing Term Loan Lenders under the Term Loan Facility and (unless otherwise agreed by the applicable Incremental Lenders) each Incremental Term Loan shall receive proceeds of prepayments on the same basis as the Initial Term Loan (such prepayments to be shared pro rata on the basis of the original aggregate funded amount thereof among the Initial Term Loan and the Incremental Term Loans);</w:t>
      </w:r>
    </w:p>
    <w:p>
      <w:pPr>
        <w:spacing w:after="0" w:line="63" w:lineRule="exact"/>
        <w:rPr>
          <w:rFonts w:ascii="Arial" w:cs="Arial" w:eastAsia="Arial" w:hAnsi="Arial"/>
          <w:sz w:val="17"/>
          <w:szCs w:val="17"/>
          <w:color w:val="FF0000"/>
          <w:strike w:val="1"/>
        </w:rPr>
      </w:pPr>
    </w:p>
    <w:p>
      <w:pPr>
        <w:ind w:left="980" w:right="120" w:firstLine="408"/>
        <w:spacing w:after="0" w:line="311" w:lineRule="auto"/>
        <w:tabs>
          <w:tab w:leader="none" w:pos="1676" w:val="left"/>
        </w:tabs>
        <w:numPr>
          <w:ilvl w:val="1"/>
          <w:numId w:val="148"/>
        </w:numPr>
        <w:rPr>
          <w:rFonts w:ascii="Arial" w:cs="Arial" w:eastAsia="Arial" w:hAnsi="Arial"/>
          <w:sz w:val="16"/>
          <w:szCs w:val="16"/>
          <w:color w:val="FF0000"/>
          <w:strike w:val="1"/>
        </w:rPr>
      </w:pPr>
      <w:r>
        <w:rPr>
          <w:rFonts w:ascii="Arial" w:cs="Arial" w:eastAsia="Arial" w:hAnsi="Arial"/>
          <w:sz w:val="16"/>
          <w:szCs w:val="16"/>
          <w:color w:val="FF0000"/>
          <w:strike w:val="1"/>
        </w:rPr>
        <w:t>any Incremental Lender with an Incremental Revolving Credit Increase shall be entitled to the same voting rights as the existing Revolving Credit Lenders under the Revolving Credit Facility and any Extensions of Credit made in connection with each Incremental Revolving Credit Increase shall receive proceeds of prepayments on the same basis as the other Revolving Credit Loans made hereunder;</w:t>
      </w:r>
    </w:p>
    <w:p>
      <w:pPr>
        <w:spacing w:after="0" w:line="40" w:lineRule="exact"/>
        <w:rPr>
          <w:rFonts w:ascii="Arial" w:cs="Arial" w:eastAsia="Arial" w:hAnsi="Arial"/>
          <w:sz w:val="16"/>
          <w:szCs w:val="16"/>
          <w:color w:val="FF0000"/>
          <w:strike w:val="1"/>
        </w:rPr>
      </w:pPr>
    </w:p>
    <w:p>
      <w:pPr>
        <w:ind w:left="980" w:firstLine="408"/>
        <w:spacing w:after="0" w:line="301" w:lineRule="auto"/>
        <w:tabs>
          <w:tab w:leader="none" w:pos="1606" w:val="left"/>
        </w:tabs>
        <w:numPr>
          <w:ilvl w:val="1"/>
          <w:numId w:val="148"/>
        </w:numPr>
        <w:rPr>
          <w:rFonts w:ascii="Arial" w:cs="Arial" w:eastAsia="Arial" w:hAnsi="Arial"/>
          <w:sz w:val="16"/>
          <w:szCs w:val="16"/>
          <w:color w:val="FF0000"/>
          <w:strike w:val="1"/>
        </w:rPr>
      </w:pPr>
      <w:r>
        <w:rPr>
          <w:rFonts w:ascii="Arial" w:cs="Arial" w:eastAsia="Arial" w:hAnsi="Arial"/>
          <w:sz w:val="16"/>
          <w:szCs w:val="16"/>
          <w:color w:val="FF0000"/>
          <w:strike w:val="1"/>
        </w:rPr>
        <w:t xml:space="preserve">such Incremental Loan Commitments shall be effected pursuant to one or more Incremental Facility Amendments executed and delivered by the Borrower, the Administrative Agent and the applicable Incremental Lenders (which Incremental Facility Amendment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6"/>
          <w:szCs w:val="16"/>
          <w:u w:val="single" w:color="auto"/>
          <w:color w:val="FF0000"/>
          <w:strike w:val="1"/>
        </w:rPr>
        <w:t>Section 5.13</w:t>
      </w:r>
      <w:r>
        <w:rPr>
          <w:rFonts w:ascii="Arial" w:cs="Arial" w:eastAsia="Arial" w:hAnsi="Arial"/>
          <w:sz w:val="16"/>
          <w:szCs w:val="16"/>
          <w:color w:val="FF0000"/>
          <w:strike w:val="1"/>
        </w:rPr>
        <w:t>); and</w:t>
      </w:r>
    </w:p>
    <w:p>
      <w:pPr>
        <w:spacing w:after="0" w:line="49" w:lineRule="exact"/>
        <w:rPr>
          <w:rFonts w:ascii="Arial" w:cs="Arial" w:eastAsia="Arial" w:hAnsi="Arial"/>
          <w:sz w:val="16"/>
          <w:szCs w:val="16"/>
          <w:color w:val="FF0000"/>
          <w:strike w:val="1"/>
        </w:rPr>
      </w:pPr>
    </w:p>
    <w:p>
      <w:pPr>
        <w:ind w:left="980" w:right="20" w:firstLine="408"/>
        <w:spacing w:after="0" w:line="259" w:lineRule="auto"/>
        <w:tabs>
          <w:tab w:leader="none" w:pos="1616" w:val="left"/>
        </w:tabs>
        <w:numPr>
          <w:ilvl w:val="1"/>
          <w:numId w:val="148"/>
        </w:numPr>
        <w:rPr>
          <w:rFonts w:ascii="Arial" w:cs="Arial" w:eastAsia="Arial" w:hAnsi="Arial"/>
          <w:sz w:val="18"/>
          <w:szCs w:val="18"/>
          <w:color w:val="FF0000"/>
          <w:strike w:val="1"/>
        </w:rPr>
      </w:pPr>
      <w:r>
        <w:rPr>
          <w:rFonts w:ascii="Arial" w:cs="Arial" w:eastAsia="Arial" w:hAnsi="Arial"/>
          <w:sz w:val="18"/>
          <w:szCs w:val="18"/>
          <w:color w:val="FF0000"/>
          <w:strike w:val="1"/>
        </w:rPr>
        <w:t>the Borrower shall deliver or cause to be delivered any customary legal opinions or other documents (including, without limitation, a resolution duly adopted by the board of directors (or equivalent governing body) of each Credit Party authorizing such Incremental Loan and/or Incremental Term Loan Commitment) reasonably requested by Administrative Agent in connection with any such transaction.</w:t>
      </w:r>
    </w:p>
    <w:p>
      <w:pPr>
        <w:spacing w:after="0" w:line="78" w:lineRule="exact"/>
        <w:rPr>
          <w:rFonts w:ascii="Arial" w:cs="Arial" w:eastAsia="Arial" w:hAnsi="Arial"/>
          <w:sz w:val="18"/>
          <w:szCs w:val="18"/>
          <w:color w:val="FF0000"/>
          <w:strike w:val="1"/>
        </w:rPr>
      </w:pPr>
    </w:p>
    <w:p>
      <w:pPr>
        <w:ind w:right="440" w:firstLine="436"/>
        <w:spacing w:after="0" w:line="277" w:lineRule="auto"/>
        <w:tabs>
          <w:tab w:leader="none" w:pos="692" w:val="left"/>
        </w:tabs>
        <w:numPr>
          <w:ilvl w:val="0"/>
          <w:numId w:val="149"/>
        </w:numPr>
        <w:rPr>
          <w:rFonts w:ascii="Arial" w:cs="Arial" w:eastAsia="Arial" w:hAnsi="Arial"/>
          <w:sz w:val="18"/>
          <w:szCs w:val="18"/>
          <w:color w:val="FF0000"/>
          <w:strike w:val="1"/>
        </w:rPr>
      </w:pPr>
      <w:r>
        <w:rPr>
          <w:rFonts w:ascii="Arial" w:cs="Arial" w:eastAsia="Arial" w:hAnsi="Arial"/>
          <w:sz w:val="18"/>
          <w:szCs w:val="18"/>
          <w:color w:val="FF0000"/>
          <w:strike w:val="1"/>
        </w:rPr>
        <w:t>The Incremental Lenders shall be included in any determination of the Required Lenders, as applicable, and, unless otherwise agreed, the Incremental Lenders will not constitute a separate voting Class for any purposes under this Agreement.</w:t>
      </w:r>
    </w:p>
    <w:p>
      <w:pPr>
        <w:spacing w:after="0" w:line="62" w:lineRule="exact"/>
        <w:rPr>
          <w:rFonts w:ascii="Arial" w:cs="Arial" w:eastAsia="Arial" w:hAnsi="Arial"/>
          <w:sz w:val="18"/>
          <w:szCs w:val="18"/>
          <w:color w:val="FF0000"/>
          <w:strike w:val="1"/>
        </w:rPr>
      </w:pPr>
    </w:p>
    <w:p>
      <w:pPr>
        <w:ind w:right="20" w:firstLine="436"/>
        <w:spacing w:after="0" w:line="259" w:lineRule="auto"/>
        <w:tabs>
          <w:tab w:leader="none" w:pos="685" w:val="left"/>
        </w:tabs>
        <w:numPr>
          <w:ilvl w:val="0"/>
          <w:numId w:val="149"/>
        </w:numPr>
        <w:rPr>
          <w:rFonts w:ascii="Arial" w:cs="Arial" w:eastAsia="Arial" w:hAnsi="Arial"/>
          <w:sz w:val="18"/>
          <w:szCs w:val="18"/>
          <w:color w:val="FF0000"/>
          <w:strike w:val="1"/>
        </w:rPr>
      </w:pPr>
      <w:r>
        <w:rPr>
          <w:rFonts w:ascii="Arial" w:cs="Arial" w:eastAsia="Arial" w:hAnsi="Arial"/>
          <w:sz w:val="18"/>
          <w:szCs w:val="18"/>
          <w:color w:val="FF0000"/>
          <w:strike w:val="1"/>
        </w:rPr>
        <w:t>(i) On any Increased Amount Date on which any Incremental Term Loan Commitment becomes effective, subject to the foregoing terms and conditions, each Incremental Lender with an Incremental Term Loan Commitment shall make, or be obligated to make, an Incremental Term Loan to the Borrower in an amount equal to its Incremental Term Loan Commitment and shall become a Term Loan Lender hereunder with respect to such Incremental Term Loan Commitment and the Incremental Term Loan made pursuant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490" w:right="439" w:bottom="1440" w:gutter="0" w:footer="0" w:header="0"/>
        </w:sectPr>
      </w:pPr>
    </w:p>
    <w:bookmarkStart w:id="141" w:name="page142"/>
    <w:bookmarkEnd w:id="141"/>
    <w:p>
      <w:pPr>
        <w:ind w:right="40" w:firstLine="987"/>
        <w:spacing w:after="0" w:line="263" w:lineRule="auto"/>
        <w:tabs>
          <w:tab w:leader="none" w:pos="1256" w:val="left"/>
        </w:tabs>
        <w:numPr>
          <w:ilvl w:val="0"/>
          <w:numId w:val="150"/>
        </w:numPr>
        <w:rPr>
          <w:rFonts w:ascii="Arial" w:cs="Arial" w:eastAsia="Arial" w:hAnsi="Arial"/>
          <w:sz w:val="18"/>
          <w:szCs w:val="18"/>
          <w:color w:val="FF0000"/>
          <w:strike w:val="1"/>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On any Increased Amount Date on which any Incremental Revolving Credit Increase becomes effective, subject to the foregoing terms and conditions, each Incremental Lender with an Incremental Revolving Credit Commitment shall become a Revolving Credit Lender hereunder with respect to such Incremental Revolving Credit Commitment.</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Cash Collateral</w:t>
      </w:r>
      <w:r>
        <w:rPr>
          <w:rFonts w:ascii="Arial" w:cs="Arial" w:eastAsia="Arial" w:hAnsi="Arial"/>
          <w:sz w:val="17"/>
          <w:szCs w:val="17"/>
          <w:color w:val="auto"/>
        </w:rPr>
        <w:t xml:space="preserve">. At any time that there shall exist a Defaulting Lender, within one Business Day following the written request of the Administrative Agent or any Issuing Lender (with a copy to the Administrative Agent), the Borrower shall Cash Collateralize the Fronting Exposure of such Issuing Lender with respect to such Defaulting Lender (determined after giving effect to </w:t>
      </w:r>
      <w:r>
        <w:rPr>
          <w:rFonts w:ascii="Arial" w:cs="Arial" w:eastAsia="Arial" w:hAnsi="Arial"/>
          <w:sz w:val="17"/>
          <w:szCs w:val="17"/>
          <w:u w:val="single" w:color="auto"/>
          <w:color w:val="auto"/>
        </w:rPr>
        <w:t>Section 5.15(a)(iv)</w:t>
      </w:r>
      <w:r>
        <w:rPr>
          <w:rFonts w:ascii="Arial" w:cs="Arial" w:eastAsia="Arial" w:hAnsi="Arial"/>
          <w:sz w:val="17"/>
          <w:szCs w:val="17"/>
          <w:color w:val="auto"/>
        </w:rPr>
        <w:t xml:space="preserve"> and any Cash Collateral provided by such Defaulting Lender) in an amount not less than the Minimum Collateral Amount. In addition, if the Administrative Agent notifies the Borrower at any time that the Dollar Equivalent amount of the aggregate outstanding amount of all L/C Obligations at such time exceeds 105% of the </w:t>
      </w:r>
      <w:r>
        <w:rPr>
          <w:rFonts w:ascii="Arial" w:cs="Arial" w:eastAsia="Arial" w:hAnsi="Arial"/>
          <w:sz w:val="17"/>
          <w:szCs w:val="17"/>
          <w:color w:val="FF0000"/>
          <w:strike w:val="1"/>
        </w:rPr>
        <w:t>Letter of</w:t>
      </w:r>
      <w:r>
        <w:rPr>
          <w:rFonts w:ascii="Arial" w:cs="Arial" w:eastAsia="Arial" w:hAnsi="Arial"/>
          <w:sz w:val="17"/>
          <w:szCs w:val="17"/>
          <w:color w:val="auto"/>
        </w:rPr>
        <w:t xml:space="preserve"> </w:t>
      </w:r>
      <w:r>
        <w:rPr>
          <w:rFonts w:ascii="Arial" w:cs="Arial" w:eastAsia="Arial" w:hAnsi="Arial"/>
          <w:sz w:val="17"/>
          <w:szCs w:val="17"/>
          <w:color w:val="FF0000"/>
          <w:strike w:val="1"/>
        </w:rPr>
        <w:t>Credit</w:t>
      </w:r>
      <w:r>
        <w:rPr>
          <w:rFonts w:ascii="Arial" w:cs="Arial" w:eastAsia="Arial" w:hAnsi="Arial"/>
          <w:sz w:val="17"/>
          <w:szCs w:val="17"/>
          <w:u w:val="single" w:color="auto"/>
          <w:color w:val="0000FF"/>
        </w:rPr>
        <w:t>L/C</w:t>
      </w:r>
      <w:r>
        <w:rPr>
          <w:rFonts w:ascii="Arial" w:cs="Arial" w:eastAsia="Arial" w:hAnsi="Arial"/>
          <w:sz w:val="17"/>
          <w:szCs w:val="17"/>
          <w:color w:val="FF0000"/>
        </w:rPr>
        <w:t xml:space="preserve"> </w:t>
      </w:r>
      <w:r>
        <w:rPr>
          <w:rFonts w:ascii="Arial" w:cs="Arial" w:eastAsia="Arial" w:hAnsi="Arial"/>
          <w:sz w:val="17"/>
          <w:szCs w:val="17"/>
          <w:color w:val="000000"/>
        </w:rPr>
        <w:t>Sublimit then in effect, then, within two (2) Business Days after receipt of such notice, the Borrower shall provide Cash Collateral for the</w:t>
      </w:r>
      <w:r>
        <w:rPr>
          <w:rFonts w:ascii="Arial" w:cs="Arial" w:eastAsia="Arial" w:hAnsi="Arial"/>
          <w:sz w:val="17"/>
          <w:szCs w:val="17"/>
          <w:color w:val="FF0000"/>
        </w:rPr>
        <w:t xml:space="preserve"> </w:t>
      </w:r>
      <w:r>
        <w:rPr>
          <w:rFonts w:ascii="Arial" w:cs="Arial" w:eastAsia="Arial" w:hAnsi="Arial"/>
          <w:sz w:val="17"/>
          <w:szCs w:val="17"/>
          <w:color w:val="000000"/>
        </w:rPr>
        <w:t xml:space="preserve">amount by which the L/C Obligations exceeds the </w:t>
      </w:r>
      <w:r>
        <w:rPr>
          <w:rFonts w:ascii="Arial" w:cs="Arial" w:eastAsia="Arial" w:hAnsi="Arial"/>
          <w:sz w:val="17"/>
          <w:szCs w:val="17"/>
          <w:color w:val="FF0000"/>
          <w:strike w:val="1"/>
        </w:rPr>
        <w:t>Letter of Credit</w:t>
      </w:r>
      <w:r>
        <w:rPr>
          <w:rFonts w:ascii="Arial" w:cs="Arial" w:eastAsia="Arial" w:hAnsi="Arial"/>
          <w:sz w:val="17"/>
          <w:szCs w:val="17"/>
          <w:u w:val="single" w:color="auto"/>
          <w:color w:val="0000FF"/>
        </w:rPr>
        <w:t>L/C</w:t>
      </w:r>
      <w:r>
        <w:rPr>
          <w:rFonts w:ascii="Arial" w:cs="Arial" w:eastAsia="Arial" w:hAnsi="Arial"/>
          <w:sz w:val="17"/>
          <w:szCs w:val="17"/>
          <w:color w:val="000000"/>
        </w:rPr>
        <w:t xml:space="preserve"> Sublimit.</w:t>
      </w:r>
    </w:p>
    <w:p>
      <w:pPr>
        <w:spacing w:after="0" w:line="69" w:lineRule="exact"/>
        <w:rPr>
          <w:sz w:val="20"/>
          <w:szCs w:val="20"/>
          <w:color w:val="auto"/>
        </w:rPr>
      </w:pPr>
    </w:p>
    <w:p>
      <w:pPr>
        <w:ind w:right="20" w:firstLine="436"/>
        <w:spacing w:after="0" w:line="272" w:lineRule="auto"/>
        <w:tabs>
          <w:tab w:leader="none" w:pos="685"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The Borrower, and to the extent provided by any Defaulting Lender, such Defaulting Lender, hereby grants to the Administrative Agent, for the benefit of each Issuing Lender, and agrees to maintain, a first priority security interest in all such Cash Collateral as security for the Defaulting Lender’s obligation to fund participations in respect of L/C Obligations, to be applied pursuant to subSection (b) below. If at any time the Administrative Agent determines that Cash Collateral is subject to any right or claim of any Person other than the Administrative Agent and each Issuing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69" w:lineRule="exact"/>
        <w:rPr>
          <w:rFonts w:ascii="Arial" w:cs="Arial" w:eastAsia="Arial" w:hAnsi="Arial"/>
          <w:sz w:val="17"/>
          <w:szCs w:val="17"/>
          <w:color w:val="auto"/>
        </w:rPr>
      </w:pPr>
    </w:p>
    <w:p>
      <w:pPr>
        <w:ind w:right="160" w:firstLine="436"/>
        <w:spacing w:after="0" w:line="301" w:lineRule="auto"/>
        <w:tabs>
          <w:tab w:leader="none" w:pos="685"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or any other Loan Document, Cash Collateral provided under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49" w:lineRule="exact"/>
        <w:rPr>
          <w:rFonts w:ascii="Arial" w:cs="Arial" w:eastAsia="Arial" w:hAnsi="Arial"/>
          <w:sz w:val="16"/>
          <w:szCs w:val="16"/>
          <w:color w:val="auto"/>
        </w:rPr>
      </w:pPr>
    </w:p>
    <w:p>
      <w:pPr>
        <w:ind w:right="80" w:firstLine="436"/>
        <w:spacing w:after="0" w:line="254" w:lineRule="auto"/>
        <w:tabs>
          <w:tab w:leader="none" w:pos="68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xml:space="preserve">. Cash Collateral (or the appropriate portion thereof) provided to reduce the Fronting Exposure of any Issuing Lender shall no longer be required to be held as Cash Collateral pursuant to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following (i) the elimination of the applicable Fronting Exposure (including by the termination of Defaulting Lender status of the applicable Lender), or (ii) the determination by the Administrative Agent, the Issuing Lenders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the Person providing Cash Collateral, the Issuing Lenders may agree that Cash Collateral shall be held to support future anticipated Fronting Exposure or other obligations;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that such Cash Collateral was provided by the Borrower, such Cash Collateral shall remain subject to the security interest granted pursuant to the Loan Documents.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right="260" w:firstLine="436"/>
        <w:spacing w:after="0" w:line="277" w:lineRule="auto"/>
        <w:tabs>
          <w:tab w:leader="none" w:pos="68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490" w:right="459" w:bottom="1440" w:gutter="0" w:footer="0" w:header="0"/>
        </w:sectPr>
      </w:pPr>
    </w:p>
    <w:bookmarkStart w:id="142" w:name="page143"/>
    <w:bookmarkEnd w:id="142"/>
    <w:p>
      <w:pPr>
        <w:ind w:right="220" w:firstLine="419"/>
        <w:spacing w:after="0" w:line="342" w:lineRule="auto"/>
        <w:tabs>
          <w:tab w:leader="none" w:pos="635"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Waivers and Amendments</w:t>
      </w:r>
      <w:r>
        <w:rPr>
          <w:rFonts w:ascii="Arial" w:cs="Arial" w:eastAsia="Arial" w:hAnsi="Arial"/>
          <w:sz w:val="16"/>
          <w:szCs w:val="16"/>
          <w:color w:val="auto"/>
        </w:rPr>
        <w:t>. Such Defaulting Lender’s right to approve or disapprove any amendment, waiver or consent with respect to this Agreement shall be restricted as set forth in the definition</w:t>
      </w:r>
      <w:r>
        <w:rPr>
          <w:rFonts w:ascii="Arial" w:cs="Arial" w:eastAsia="Arial" w:hAnsi="Arial"/>
          <w:sz w:val="16"/>
          <w:szCs w:val="16"/>
          <w:u w:val="single" w:color="auto"/>
          <w:color w:val="0000FF"/>
        </w:rPr>
        <w:t>s</w:t>
      </w:r>
      <w:r>
        <w:rPr>
          <w:rFonts w:ascii="Arial" w:cs="Arial" w:eastAsia="Arial" w:hAnsi="Arial"/>
          <w:sz w:val="16"/>
          <w:szCs w:val="16"/>
          <w:color w:val="auto"/>
        </w:rPr>
        <w:t xml:space="preserve"> of </w:t>
      </w:r>
      <w:r>
        <w:rPr>
          <w:rFonts w:ascii="Arial" w:cs="Arial" w:eastAsia="Arial" w:hAnsi="Arial"/>
          <w:sz w:val="16"/>
          <w:szCs w:val="16"/>
          <w:u w:val="single" w:color="auto"/>
          <w:color w:val="0000FF"/>
        </w:rPr>
        <w:t>Required Lenders and Super Majority</w:t>
      </w:r>
      <w:r>
        <w:rPr>
          <w:rFonts w:ascii="Arial" w:cs="Arial" w:eastAsia="Arial" w:hAnsi="Arial"/>
          <w:sz w:val="16"/>
          <w:szCs w:val="16"/>
          <w:color w:val="auto"/>
        </w:rPr>
        <w:t xml:space="preserve"> Required Lenders and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firstLine="419"/>
        <w:spacing w:after="0" w:line="284" w:lineRule="auto"/>
        <w:tabs>
          <w:tab w:leader="none" w:pos="688"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basis of any amounts owing by such Defaulting Lender to the Issuing Lenders or the Swingline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Fronting Exposure of the Issuing Lenders and the Swingline Lender with respect to such Defaulting Lender in accordance with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Issuing Lenders or the Swingline Lender as a result of any judgment of a court of competent jurisdiction obtained by any Lender, any Issuing Lender or the Swingline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were satisfied or waived, such payment shall be applied solely to pay the Loans of, and funded participations in Letters of Credit or Swingline Loans owed to, all Non-Defaulting Lenders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Revolving Credit Commitments under the applicable Revolving Credit Facility without giving effect to </w:t>
      </w:r>
      <w:r>
        <w:rPr>
          <w:rFonts w:ascii="Arial" w:cs="Arial" w:eastAsia="Arial" w:hAnsi="Arial"/>
          <w:sz w:val="16"/>
          <w:szCs w:val="16"/>
          <w:u w:val="single" w:color="auto"/>
          <w:color w:val="auto"/>
        </w:rPr>
        <w:t>Section 5.15(a)(iv)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5.15(a)(ii)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79" w:lineRule="exact"/>
        <w:rPr>
          <w:rFonts w:ascii="Arial" w:cs="Arial" w:eastAsia="Arial" w:hAnsi="Arial"/>
          <w:sz w:val="16"/>
          <w:szCs w:val="16"/>
          <w:color w:val="auto"/>
        </w:rPr>
      </w:pPr>
    </w:p>
    <w:p>
      <w:pPr>
        <w:ind w:left="740" w:hanging="321"/>
        <w:spacing w:after="0"/>
        <w:tabs>
          <w:tab w:leader="none" w:pos="7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160" w:firstLine="408"/>
        <w:spacing w:after="0" w:line="263" w:lineRule="auto"/>
        <w:tabs>
          <w:tab w:leader="none" w:pos="1236" w:val="left"/>
        </w:tabs>
        <w:numPr>
          <w:ilvl w:val="1"/>
          <w:numId w:val="153"/>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560"/>
          </w:cols>
          <w:pgMar w:left="880" w:top="490" w:right="459" w:bottom="1440" w:gutter="0" w:footer="0" w:header="0"/>
        </w:sectPr>
      </w:pPr>
    </w:p>
    <w:bookmarkStart w:id="143" w:name="page144"/>
    <w:bookmarkEnd w:id="143"/>
    <w:p>
      <w:pPr>
        <w:ind w:left="980" w:right="20" w:firstLine="408"/>
        <w:spacing w:after="0" w:line="263" w:lineRule="auto"/>
        <w:tabs>
          <w:tab w:leader="none" w:pos="1666" w:val="left"/>
        </w:tabs>
        <w:numPr>
          <w:ilvl w:val="2"/>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Each Defaulting Lender shall be entitled to receive letter of credit commissions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right="80" w:firstLine="408"/>
        <w:spacing w:after="0" w:line="293" w:lineRule="auto"/>
        <w:tabs>
          <w:tab w:leader="none" w:pos="1662" w:val="left"/>
        </w:tabs>
        <w:numPr>
          <w:ilvl w:val="2"/>
          <w:numId w:val="154"/>
        </w:numPr>
        <w:rPr>
          <w:rFonts w:ascii="Arial" w:cs="Arial" w:eastAsia="Arial" w:hAnsi="Arial"/>
          <w:sz w:val="16"/>
          <w:szCs w:val="16"/>
          <w:color w:val="auto"/>
        </w:rPr>
      </w:pPr>
      <w:r>
        <w:rPr>
          <w:rFonts w:ascii="Arial" w:cs="Arial" w:eastAsia="Arial" w:hAnsi="Arial"/>
          <w:sz w:val="16"/>
          <w:szCs w:val="16"/>
          <w:color w:val="auto"/>
        </w:rPr>
        <w:t>With respect to any Commitment Fee or letter of credit commission not required to be paid to any Defaulting Lender pursuant to clause (A) or (B)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56" w:lineRule="exact"/>
        <w:rPr>
          <w:rFonts w:ascii="Arial" w:cs="Arial" w:eastAsia="Arial" w:hAnsi="Arial"/>
          <w:sz w:val="16"/>
          <w:szCs w:val="16"/>
          <w:color w:val="auto"/>
        </w:rPr>
      </w:pPr>
    </w:p>
    <w:p>
      <w:pPr>
        <w:ind w:left="440" w:firstLine="419"/>
        <w:spacing w:after="0" w:line="272" w:lineRule="auto"/>
        <w:tabs>
          <w:tab w:leader="none" w:pos="1168"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Reallocation of Participations to Reduce Fronting Exposure</w:t>
      </w:r>
      <w:r>
        <w:rPr>
          <w:rFonts w:ascii="Arial" w:cs="Arial" w:eastAsia="Arial" w:hAnsi="Arial"/>
          <w:sz w:val="17"/>
          <w:szCs w:val="17"/>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Arial" w:cs="Arial" w:eastAsia="Arial" w:hAnsi="Arial"/>
          <w:sz w:val="17"/>
          <w:szCs w:val="17"/>
          <w:u w:val="single" w:color="auto"/>
          <w:color w:val="auto"/>
        </w:rPr>
        <w:t>Section 12.22</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9" w:lineRule="exact"/>
        <w:rPr>
          <w:rFonts w:ascii="Arial" w:cs="Arial" w:eastAsia="Arial" w:hAnsi="Arial"/>
          <w:sz w:val="17"/>
          <w:szCs w:val="17"/>
          <w:color w:val="auto"/>
        </w:rPr>
      </w:pPr>
    </w:p>
    <w:p>
      <w:pPr>
        <w:ind w:left="440" w:right="40" w:firstLine="419"/>
        <w:spacing w:after="0" w:line="259" w:lineRule="auto"/>
        <w:tabs>
          <w:tab w:leader="none" w:pos="1118"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clause (iv) above cannot, or can only partially, be effected, the Borrower shall, without prejudice to any right or remedy available to it hereunder or under law,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repay Swingline Loans in an amount equal to the Swingline Lenders’ Fronting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Issuing Lenders’ Fronting Exposure in accordance with the procedures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60" w:firstLine="436"/>
        <w:spacing w:after="0" w:line="269" w:lineRule="auto"/>
        <w:tabs>
          <w:tab w:leader="none" w:pos="695"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Issuing Lenders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Lenders or take such other actions as the Administrative Agent may determine to be necessary to cause the Revolving Credit Loans and funded and unfunded participations in Letters of Credit and Swingline Loans to be held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Lenders in accordance with the Revolving Credit Commitments (without giving effect to </w:t>
      </w:r>
      <w:r>
        <w:rPr>
          <w:rFonts w:ascii="Arial" w:cs="Arial" w:eastAsia="Arial" w:hAnsi="Arial"/>
          <w:sz w:val="17"/>
          <w:szCs w:val="17"/>
          <w:u w:val="single" w:color="auto"/>
          <w:color w:val="auto"/>
        </w:rPr>
        <w:t>Section 5.15(a)</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490" w:right="45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OF CLOSING AND BORROWING</w:t>
      </w:r>
    </w:p>
    <w:p>
      <w:pPr>
        <w:spacing w:after="0" w:line="225"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Conditions to Closing and Initial Extensions of Credit</w:t>
      </w:r>
      <w:r>
        <w:rPr>
          <w:rFonts w:ascii="Arial" w:cs="Arial" w:eastAsia="Arial" w:hAnsi="Arial"/>
          <w:sz w:val="16"/>
          <w:szCs w:val="16"/>
          <w:color w:val="auto"/>
        </w:rPr>
        <w:t>. The obligation of the Lenders to close this Agreement and to make the initial Loans or issue or participate in the initial Letter of Credit, if any, is subject to the satisfaction of each of the following conditions:</w:t>
      </w:r>
    </w:p>
    <w:p>
      <w:pPr>
        <w:spacing w:after="0" w:line="16" w:lineRule="exact"/>
        <w:rPr>
          <w:sz w:val="20"/>
          <w:szCs w:val="20"/>
          <w:color w:val="auto"/>
        </w:rPr>
      </w:pPr>
    </w:p>
    <w:p>
      <w:pPr>
        <w:ind w:firstLine="436"/>
        <w:spacing w:after="0" w:line="255" w:lineRule="auto"/>
        <w:tabs>
          <w:tab w:leader="none" w:pos="685"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Executed Loan Documents</w:t>
      </w:r>
      <w:r>
        <w:rPr>
          <w:rFonts w:ascii="Arial" w:cs="Arial" w:eastAsia="Arial" w:hAnsi="Arial"/>
          <w:sz w:val="18"/>
          <w:szCs w:val="18"/>
          <w:color w:val="auto"/>
        </w:rPr>
        <w:t>. The Administrative Agent (or its counsel) shall have received this Agreement duly executed and delivered by the Borrower and each Lender party hereto, a Revolving Credit Note duly executed and delivered by the Borrower in favor of each Revolving Credit Lender requesting a Revolving Credit Note, a Term Loan Note duly executed and delivered by the Borrower in favor of each Term Loan Lender requesting a Term Loan Note, a Swingline Note duly executed and delivered by the Borrower in favor of the Swingline Lender (in each case, if requested thereby), the Collateral Agreement duly executed and delivered by the Borrower and each Guarantor and the Guaranty Agreement duly executed and delivered by the Borrower and each Guarantor.</w:t>
      </w:r>
    </w:p>
    <w:p>
      <w:pPr>
        <w:spacing w:after="0" w:line="84"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Closing Certificates; Etc.</w:t>
      </w:r>
      <w:r>
        <w:rPr>
          <w:rFonts w:ascii="Arial" w:cs="Arial" w:eastAsia="Arial" w:hAnsi="Arial"/>
          <w:sz w:val="18"/>
          <w:szCs w:val="18"/>
          <w:color w:val="auto"/>
        </w:rPr>
        <w:t xml:space="preserve"> The Administrative Agent shall have received each of the following in form and substance reasonably satisfactory to the Administrative Agent:</w:t>
      </w:r>
    </w:p>
    <w:p>
      <w:pPr>
        <w:spacing w:after="0" w:line="62" w:lineRule="exact"/>
        <w:rPr>
          <w:rFonts w:ascii="Arial" w:cs="Arial" w:eastAsia="Arial" w:hAnsi="Arial"/>
          <w:sz w:val="18"/>
          <w:szCs w:val="18"/>
          <w:color w:val="auto"/>
        </w:rPr>
      </w:pPr>
    </w:p>
    <w:p>
      <w:pPr>
        <w:ind w:left="440" w:right="20" w:firstLine="419"/>
        <w:spacing w:after="0" w:line="275" w:lineRule="auto"/>
        <w:tabs>
          <w:tab w:leader="none" w:pos="1078"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xml:space="preserve">. A certificate from a Responsible Officer of the Borrower to the effect that (A) all Specified Representations are true, correct and complete in all material respects (except to the extent any such Specified Representation is qualified by materiality or reference to Material Adverse Effect, in which case, such Specified Representation shall be true, correct and complete in all respects); (B) after giving effect to the Transactions, no Default or Event of Default under any of </w:t>
      </w:r>
      <w:r>
        <w:rPr>
          <w:rFonts w:ascii="Arial" w:cs="Arial" w:eastAsia="Arial" w:hAnsi="Arial"/>
          <w:sz w:val="17"/>
          <w:szCs w:val="17"/>
          <w:u w:val="single" w:color="auto"/>
          <w:color w:val="auto"/>
        </w:rPr>
        <w:t>Sections 10.1(a)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10.1(f)</w:t>
      </w:r>
      <w:r>
        <w:rPr>
          <w:rFonts w:ascii="Arial" w:cs="Arial" w:eastAsia="Arial" w:hAnsi="Arial"/>
          <w:sz w:val="17"/>
          <w:szCs w:val="17"/>
          <w:color w:val="auto"/>
        </w:rPr>
        <w:t xml:space="preserve"> has occurred and is continuing; and (C) each of the Credit Parties, as applicable, has satisfied each of the conditions set forth in </w:t>
      </w:r>
      <w:r>
        <w:rPr>
          <w:rFonts w:ascii="Arial" w:cs="Arial" w:eastAsia="Arial" w:hAnsi="Arial"/>
          <w:sz w:val="17"/>
          <w:szCs w:val="17"/>
          <w:u w:val="single" w:color="auto"/>
          <w:color w:val="auto"/>
        </w:rPr>
        <w:t>Sections 6.1(f)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40" w:firstLine="419"/>
        <w:spacing w:after="0" w:line="286" w:lineRule="auto"/>
        <w:tabs>
          <w:tab w:leader="none" w:pos="1128"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Certificate of Secretary of each Credit Party</w:t>
      </w:r>
      <w:r>
        <w:rPr>
          <w:rFonts w:ascii="Arial" w:cs="Arial" w:eastAsia="Arial" w:hAnsi="Arial"/>
          <w:sz w:val="16"/>
          <w:szCs w:val="16"/>
          <w:color w:val="auto"/>
        </w:rPr>
        <w:t>.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Organization</w:t>
      </w:r>
      <w:r>
        <w:rPr>
          <w:rFonts w:ascii="Arial" w:cs="Arial" w:eastAsia="Arial" w:hAnsi="Arial"/>
          <w:sz w:val="16"/>
          <w:szCs w:val="16"/>
          <w:color w:val="FF0000"/>
          <w:strike w:val="1"/>
        </w:rPr>
        <w:t>al</w:t>
      </w:r>
      <w:r>
        <w:rPr>
          <w:rFonts w:ascii="Arial" w:cs="Arial" w:eastAsia="Arial" w:hAnsi="Arial"/>
          <w:sz w:val="16"/>
          <w:szCs w:val="16"/>
          <w:color w:val="auto"/>
        </w:rPr>
        <w:t xml:space="preserve"> Documents of such Credit Party and all amendments thereto, certified as of a recent date by the appropriate Governmental Authority in its jurisdiction of incorporation, organization or formation (or equivalent), as applicable,</w:t>
      </w:r>
    </w:p>
    <w:p>
      <w:pPr>
        <w:spacing w:after="0" w:line="1" w:lineRule="exact"/>
        <w:rPr>
          <w:rFonts w:ascii="Arial" w:cs="Arial" w:eastAsia="Arial" w:hAnsi="Arial"/>
          <w:sz w:val="16"/>
          <w:szCs w:val="16"/>
          <w:color w:val="auto"/>
        </w:rPr>
      </w:pPr>
    </w:p>
    <w:p>
      <w:pPr>
        <w:jc w:val="both"/>
        <w:ind w:left="440" w:right="120"/>
        <w:spacing w:after="0" w:line="281" w:lineRule="auto"/>
        <w:rPr>
          <w:rFonts w:ascii="Arial" w:cs="Arial" w:eastAsia="Arial" w:hAnsi="Arial"/>
          <w:sz w:val="16"/>
          <w:szCs w:val="16"/>
          <w:color w:val="auto"/>
        </w:rPr>
      </w:pPr>
      <w:r>
        <w:rPr>
          <w:rFonts w:ascii="Arial" w:cs="Arial" w:eastAsia="Arial" w:hAnsi="Arial"/>
          <w:sz w:val="16"/>
          <w:szCs w:val="16"/>
          <w:color w:val="auto"/>
        </w:rPr>
        <w:t>(B) resolutions duly adopted by the board of directors (or other governing body) of such Credit Party authorizing and approving the transactions contemplated hereunder and the execution, delivery and performance of this Agreement and the other Loan Documents to which it is a party, and</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 xml:space="preserve">(C) each certificate required to be delivered pursuant to </w:t>
      </w:r>
      <w:r>
        <w:rPr>
          <w:rFonts w:ascii="Arial" w:cs="Arial" w:eastAsia="Arial" w:hAnsi="Arial"/>
          <w:sz w:val="18"/>
          <w:szCs w:val="18"/>
          <w:u w:val="single" w:color="auto"/>
          <w:color w:val="auto"/>
        </w:rPr>
        <w:t>Section 6.1(b)(iii)</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40" w:right="40" w:firstLine="419"/>
        <w:spacing w:after="0" w:line="277" w:lineRule="auto"/>
        <w:tabs>
          <w:tab w:leader="none" w:pos="1178"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Certificates of Good Standing</w:t>
      </w:r>
      <w:r>
        <w:rPr>
          <w:rFonts w:ascii="Arial" w:cs="Arial" w:eastAsia="Arial" w:hAnsi="Arial"/>
          <w:sz w:val="18"/>
          <w:szCs w:val="18"/>
          <w:color w:val="auto"/>
        </w:rPr>
        <w:t>. Certificates as of a recent date of the good standing of each Credit Party under the laws of its jurisdiction of incorporation, organization or formation (or equivalent), as applicable.</w:t>
      </w:r>
    </w:p>
    <w:p>
      <w:pPr>
        <w:spacing w:after="0" w:line="62" w:lineRule="exact"/>
        <w:rPr>
          <w:rFonts w:ascii="Arial" w:cs="Arial" w:eastAsia="Arial" w:hAnsi="Arial"/>
          <w:sz w:val="18"/>
          <w:szCs w:val="18"/>
          <w:color w:val="auto"/>
        </w:rPr>
      </w:pPr>
    </w:p>
    <w:p>
      <w:pPr>
        <w:ind w:left="440" w:right="240" w:firstLine="419"/>
        <w:spacing w:after="0" w:line="311" w:lineRule="auto"/>
        <w:tabs>
          <w:tab w:leader="none" w:pos="1168"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Opinions of counsel to the Credit Parties addressed to the Administrative Agent and the Lenders with respect to the Credit Parties, the Loan Documents and such other matters as the Administrative Agent shall request (which such opinions shall expressly permit reliance by permitted successors and assigns of the Administrative Agent and the Lenders, subject to customary qualifications).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490" w:right="459" w:bottom="1440" w:gutter="0" w:footer="0" w:header="0"/>
        </w:sectPr>
      </w:pPr>
    </w:p>
    <w:bookmarkStart w:id="145" w:name="page146"/>
    <w:bookmarkEnd w:id="145"/>
    <w:p>
      <w:pPr>
        <w:ind w:left="444" w:hanging="444"/>
        <w:spacing w:after="0"/>
        <w:tabs>
          <w:tab w:leader="none" w:pos="444"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4" w:right="100" w:firstLine="419"/>
        <w:spacing w:after="0" w:line="279" w:lineRule="auto"/>
        <w:tabs>
          <w:tab w:leader="none" w:pos="1082"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Filings and Recordings</w:t>
      </w:r>
      <w:r>
        <w:rPr>
          <w:rFonts w:ascii="Arial" w:cs="Arial" w:eastAsia="Arial" w:hAnsi="Arial"/>
          <w:sz w:val="17"/>
          <w:szCs w:val="17"/>
          <w:color w:val="auto"/>
        </w:rPr>
        <w:t>. The Administrative Agent shall have received all filings and recordations that are necessary to perfect the security interests of the Administrative Agent, on behalf of the Secured Parties, in the Collateral (to the extent required under the Collateral Agreement)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63" w:lineRule="exact"/>
        <w:rPr>
          <w:rFonts w:ascii="Arial" w:cs="Arial" w:eastAsia="Arial" w:hAnsi="Arial"/>
          <w:sz w:val="17"/>
          <w:szCs w:val="17"/>
          <w:color w:val="auto"/>
        </w:rPr>
      </w:pPr>
    </w:p>
    <w:p>
      <w:pPr>
        <w:ind w:left="444" w:right="40" w:firstLine="419"/>
        <w:spacing w:after="0" w:line="255" w:lineRule="auto"/>
        <w:tabs>
          <w:tab w:leader="none" w:pos="1132"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Lien Search</w:t>
      </w:r>
      <w:r>
        <w:rPr>
          <w:rFonts w:ascii="Arial" w:cs="Arial" w:eastAsia="Arial" w:hAnsi="Arial"/>
          <w:sz w:val="18"/>
          <w:szCs w:val="18"/>
          <w:color w:val="auto"/>
        </w:rPr>
        <w:t xml:space="preserve">. The Administrative Agent shall have received the results of a Lien search (including a search as to judgments, pending litigation, bankruptcy, tax and intellectual property matters), in form and substance reasonably satisfactory thereto, made against the Credit Parties under the Uniform Commercial Code (or applicable judicial docket) as in effect in each jurisdiction in which filings or recordations under the Uniform Commercial Code should be made to evidence or perfect security interests in all assets of such Credit Party, indicating among other things that the assets of each such Credit Party are free and clear of any Lien after giving effect to the payments pursuant to </w:t>
      </w:r>
      <w:r>
        <w:rPr>
          <w:rFonts w:ascii="Arial" w:cs="Arial" w:eastAsia="Arial" w:hAnsi="Arial"/>
          <w:sz w:val="18"/>
          <w:szCs w:val="18"/>
          <w:u w:val="single" w:color="auto"/>
          <w:color w:val="auto"/>
        </w:rPr>
        <w:t>Section 6.1(f)(ii)</w:t>
      </w:r>
      <w:r>
        <w:rPr>
          <w:rFonts w:ascii="Arial" w:cs="Arial" w:eastAsia="Arial" w:hAnsi="Arial"/>
          <w:sz w:val="18"/>
          <w:szCs w:val="18"/>
          <w:color w:val="auto"/>
        </w:rPr>
        <w:t xml:space="preserve"> (except for Permitted Liens).</w:t>
      </w:r>
    </w:p>
    <w:p>
      <w:pPr>
        <w:spacing w:after="0" w:line="97" w:lineRule="exact"/>
        <w:rPr>
          <w:rFonts w:ascii="Arial" w:cs="Arial" w:eastAsia="Arial" w:hAnsi="Arial"/>
          <w:sz w:val="18"/>
          <w:szCs w:val="18"/>
          <w:color w:val="auto"/>
        </w:rPr>
      </w:pPr>
    </w:p>
    <w:p>
      <w:pPr>
        <w:ind w:left="444" w:hanging="444"/>
        <w:spacing w:after="0"/>
        <w:tabs>
          <w:tab w:leader="none" w:pos="444"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Financial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20" w:firstLine="419"/>
        <w:spacing w:after="0" w:line="277" w:lineRule="auto"/>
        <w:tabs>
          <w:tab w:leader="none" w:pos="1082"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The Borrower shall have delivered to the Administrative Agent a certificate, in the form attached hereto as </w:t>
      </w:r>
      <w:r>
        <w:rPr>
          <w:rFonts w:ascii="Arial" w:cs="Arial" w:eastAsia="Arial" w:hAnsi="Arial"/>
          <w:sz w:val="18"/>
          <w:szCs w:val="18"/>
          <w:b w:val="1"/>
          <w:bCs w:val="1"/>
          <w:i w:val="1"/>
          <w:i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J</w:t>
      </w:r>
      <w:r>
        <w:rPr>
          <w:rFonts w:ascii="Arial" w:cs="Arial" w:eastAsia="Arial" w:hAnsi="Arial"/>
          <w:sz w:val="18"/>
          <w:szCs w:val="18"/>
          <w:color w:val="auto"/>
        </w:rPr>
        <w:t>, and certified as accurate by the chief financial officer of the Borrower.</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Administrative Agent shall have received:</w:t>
      </w:r>
    </w:p>
    <w:p>
      <w:pPr>
        <w:spacing w:after="0" w:line="117" w:lineRule="exact"/>
        <w:rPr>
          <w:rFonts w:ascii="Arial" w:cs="Arial" w:eastAsia="Arial" w:hAnsi="Arial"/>
          <w:sz w:val="18"/>
          <w:szCs w:val="18"/>
          <w:color w:val="auto"/>
        </w:rPr>
      </w:pPr>
    </w:p>
    <w:p>
      <w:pPr>
        <w:ind w:left="984" w:right="140" w:firstLine="408"/>
        <w:spacing w:after="0" w:line="342" w:lineRule="auto"/>
        <w:tabs>
          <w:tab w:leader="none" w:pos="1680" w:val="left"/>
        </w:tabs>
        <w:numPr>
          <w:ilvl w:val="2"/>
          <w:numId w:val="158"/>
        </w:numPr>
        <w:rPr>
          <w:rFonts w:ascii="Arial" w:cs="Arial" w:eastAsia="Arial" w:hAnsi="Arial"/>
          <w:sz w:val="16"/>
          <w:szCs w:val="16"/>
          <w:color w:val="auto"/>
        </w:rPr>
      </w:pPr>
      <w:r>
        <w:rPr>
          <w:rFonts w:ascii="Arial" w:cs="Arial" w:eastAsia="Arial" w:hAnsi="Arial"/>
          <w:sz w:val="16"/>
          <w:szCs w:val="16"/>
          <w:color w:val="FF0000"/>
          <w:strike w:val="1"/>
        </w:rPr>
        <w:t xml:space="preserve">unaudited consolidated balance sheets and </w:t>
      </w:r>
      <w:r>
        <w:rPr>
          <w:rFonts w:ascii="Arial" w:cs="Arial" w:eastAsia="Arial" w:hAnsi="Arial"/>
          <w:sz w:val="16"/>
          <w:szCs w:val="16"/>
          <w:color w:val="008000"/>
          <w:strike w:val="1"/>
        </w:rPr>
        <w:t>related consolidated statements of income</w:t>
      </w:r>
      <w:r>
        <w:rPr>
          <w:rFonts w:ascii="Arial" w:cs="Arial" w:eastAsia="Arial" w:hAnsi="Arial"/>
          <w:sz w:val="16"/>
          <w:szCs w:val="16"/>
          <w:color w:val="FF0000"/>
          <w:strike w:val="1"/>
        </w:rPr>
        <w:t xml:space="preserve"> of the Adapt Target and its Subsidiaries </w:t>
      </w:r>
      <w:r>
        <w:rPr>
          <w:rFonts w:ascii="Arial" w:cs="Arial" w:eastAsia="Arial" w:hAnsi="Arial"/>
          <w:sz w:val="16"/>
          <w:szCs w:val="16"/>
          <w:color w:val="008000"/>
          <w:strike w:val="1"/>
        </w:rPr>
        <w:t>in</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form and substance reasonably satisfactory to the Administrative Agent and</w:t>
      </w:r>
      <w:r>
        <w:rPr>
          <w:rFonts w:ascii="Arial" w:cs="Arial" w:eastAsia="Arial" w:hAnsi="Arial"/>
          <w:sz w:val="16"/>
          <w:szCs w:val="16"/>
          <w:color w:val="FF0000"/>
          <w:strike w:val="1"/>
        </w:rPr>
        <w:t>, in each case, prepared in accordance with IFRS;</w:t>
      </w:r>
      <w:r>
        <w:rPr>
          <w:rFonts w:ascii="Arial" w:cs="Arial" w:eastAsia="Arial" w:hAnsi="Arial"/>
          <w:sz w:val="16"/>
          <w:szCs w:val="16"/>
          <w:u w:val="single" w:color="auto"/>
          <w:color w:val="0000FF"/>
          <w:strike w:val="1"/>
        </w:rPr>
        <w:t>[reserved];</w:t>
      </w:r>
    </w:p>
    <w:p>
      <w:pPr>
        <w:spacing w:after="0" w:line="15" w:lineRule="exact"/>
        <w:rPr>
          <w:rFonts w:ascii="Arial" w:cs="Arial" w:eastAsia="Arial" w:hAnsi="Arial"/>
          <w:sz w:val="16"/>
          <w:szCs w:val="16"/>
          <w:color w:val="auto"/>
        </w:rPr>
      </w:pPr>
    </w:p>
    <w:p>
      <w:pPr>
        <w:ind w:left="984" w:firstLine="408"/>
        <w:spacing w:after="0" w:line="301" w:lineRule="auto"/>
        <w:tabs>
          <w:tab w:leader="none" w:pos="1670" w:val="left"/>
        </w:tabs>
        <w:numPr>
          <w:ilvl w:val="2"/>
          <w:numId w:val="158"/>
        </w:numPr>
        <w:rPr>
          <w:rFonts w:ascii="Arial" w:cs="Arial" w:eastAsia="Arial" w:hAnsi="Arial"/>
          <w:sz w:val="16"/>
          <w:szCs w:val="16"/>
          <w:color w:val="auto"/>
        </w:rPr>
      </w:pPr>
      <w:r>
        <w:rPr>
          <w:rFonts w:ascii="Arial" w:cs="Arial" w:eastAsia="Arial" w:hAnsi="Arial"/>
          <w:sz w:val="16"/>
          <w:szCs w:val="16"/>
          <w:color w:val="FF0000"/>
        </w:rPr>
        <w:t xml:space="preserve">pro forma combined financial statements reconciling revenue to earnings before interest, taxes, depreciation and amortization of </w:t>
      </w:r>
      <w:r>
        <w:rPr>
          <w:rFonts w:ascii="Arial" w:cs="Arial" w:eastAsia="Arial" w:hAnsi="Arial"/>
          <w:sz w:val="16"/>
          <w:szCs w:val="16"/>
          <w:color w:val="FF0000"/>
          <w:strike w:val="1"/>
        </w:rPr>
        <w:t xml:space="preserve">the Borrower, the Adapt Target and the PaxVax Target and their subsidiaries on a combined basis for the fiscal year ended December 31, 2017 and the twelve month period ended June 30, 2018 </w:t>
      </w:r>
      <w:r>
        <w:rPr>
          <w:rFonts w:ascii="Arial" w:cs="Arial" w:eastAsia="Arial" w:hAnsi="Arial"/>
          <w:sz w:val="16"/>
          <w:szCs w:val="16"/>
          <w:color w:val="008000"/>
          <w:strike w:val="1"/>
        </w:rPr>
        <w:t>in form and substance reasonably</w:t>
      </w:r>
      <w:r>
        <w:rPr>
          <w:rFonts w:ascii="Arial" w:cs="Arial" w:eastAsia="Arial" w:hAnsi="Arial"/>
          <w:sz w:val="16"/>
          <w:szCs w:val="16"/>
          <w:color w:val="FF0000"/>
          <w:strike w:val="1"/>
        </w:rPr>
        <w:t xml:space="preserve"> satisfactory to the Administrative Agent (it being understood that the Adapt Target’s financial statements are prepared in accordance with IFRS; and</w:t>
      </w:r>
      <w:r>
        <w:rPr>
          <w:rFonts w:ascii="Arial" w:cs="Arial" w:eastAsia="Arial" w:hAnsi="Arial"/>
          <w:sz w:val="16"/>
          <w:szCs w:val="16"/>
          <w:u w:val="single" w:color="auto"/>
          <w:color w:val="0000FF"/>
          <w:strike w:val="1"/>
        </w:rPr>
        <w:t>[reserved]; and</w:t>
      </w:r>
    </w:p>
    <w:p>
      <w:pPr>
        <w:spacing w:after="0" w:line="49" w:lineRule="exact"/>
        <w:rPr>
          <w:rFonts w:ascii="Arial" w:cs="Arial" w:eastAsia="Arial" w:hAnsi="Arial"/>
          <w:sz w:val="16"/>
          <w:szCs w:val="16"/>
          <w:color w:val="auto"/>
        </w:rPr>
      </w:pPr>
    </w:p>
    <w:p>
      <w:pPr>
        <w:ind w:left="984" w:firstLine="408"/>
        <w:spacing w:after="0" w:line="308" w:lineRule="auto"/>
        <w:tabs>
          <w:tab w:leader="none" w:pos="1670" w:val="left"/>
        </w:tabs>
        <w:numPr>
          <w:ilvl w:val="2"/>
          <w:numId w:val="158"/>
        </w:numPr>
        <w:rPr>
          <w:rFonts w:ascii="Arial" w:cs="Arial" w:eastAsia="Arial" w:hAnsi="Arial"/>
          <w:sz w:val="17"/>
          <w:szCs w:val="17"/>
          <w:color w:val="auto"/>
        </w:rPr>
      </w:pPr>
      <w:r>
        <w:rPr>
          <w:rFonts w:ascii="Arial" w:cs="Arial" w:eastAsia="Arial" w:hAnsi="Arial"/>
          <w:sz w:val="17"/>
          <w:szCs w:val="17"/>
          <w:color w:val="auto"/>
        </w:rPr>
        <w:t>projections prepared by management of cash and debt balances, income statements and cash flow statements of the Borrower and its subsidiaries, on an annual basis for each fiscal year after the Closing Date through the term of the Credit Facility.</w:t>
      </w:r>
    </w:p>
    <w:p>
      <w:pPr>
        <w:spacing w:after="0" w:line="38" w:lineRule="exact"/>
        <w:rPr>
          <w:rFonts w:ascii="Arial" w:cs="Arial" w:eastAsia="Arial" w:hAnsi="Arial"/>
          <w:sz w:val="17"/>
          <w:szCs w:val="17"/>
          <w:color w:val="auto"/>
        </w:rPr>
      </w:pPr>
    </w:p>
    <w:p>
      <w:pPr>
        <w:ind w:left="444" w:firstLine="419"/>
        <w:spacing w:after="0" w:line="272" w:lineRule="auto"/>
        <w:tabs>
          <w:tab w:leader="none" w:pos="1182"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Payment at Closing</w:t>
      </w:r>
      <w:r>
        <w:rPr>
          <w:rFonts w:ascii="Arial" w:cs="Arial" w:eastAsia="Arial" w:hAnsi="Arial"/>
          <w:sz w:val="17"/>
          <w:szCs w:val="17"/>
          <w:color w:val="auto"/>
        </w:rPr>
        <w:t xml:space="preserve">. The Borrower shall have paid or made arrangements to pay contemporaneously with closing (A) to the Administrative Agent, the Arranger and the Lenders the fees set forth or referenced in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any other accrued and unpaid fees or commissions due hereunder, (B) all reasonable fees and out-of-pocket expenses of McGuireWoods LLP, as counsel to the Administrative Agent, to the extent accrued and unpaid prior to or on the Closing Date, plus such additional amounts of such fees and expenses as shall constitute its reasonable estimate of such fees and expenses incurred or to be incurred by it through the closing proceedings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-1875155</wp:posOffset>
            </wp:positionV>
            <wp:extent cx="58883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888355" cy="8255"/>
                    </a:xfrm>
                    <a:prstGeom prst="rect">
                      <a:avLst/>
                    </a:prstGeom>
                    <a:noFill/>
                  </pic:spPr>
                </pic:pic>
              </a:graphicData>
            </a:graphic>
          </wp:anchor>
        </w:drawing>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490" w:right="459" w:bottom="1440" w:gutter="0" w:footer="0" w:header="0"/>
        </w:sectPr>
      </w:pPr>
    </w:p>
    <w:bookmarkStart w:id="146" w:name="page147"/>
    <w:bookmarkEnd w:id="146"/>
    <w:p>
      <w:pPr>
        <w:ind w:left="444" w:hanging="444"/>
        <w:spacing w:after="0"/>
        <w:tabs>
          <w:tab w:leader="none" w:pos="444"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firstLine="419"/>
        <w:spacing w:after="0" w:line="277" w:lineRule="auto"/>
        <w:tabs>
          <w:tab w:leader="none" w:pos="1082"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The Administrative Agent shall have received a Notice of Account Designation specifying the account or accounts to which the proceeds of any Loans made on or after the Closing Date are to be disbursed.</w:t>
      </w:r>
    </w:p>
    <w:p>
      <w:pPr>
        <w:spacing w:after="0" w:line="62" w:lineRule="exact"/>
        <w:rPr>
          <w:rFonts w:ascii="Arial" w:cs="Arial" w:eastAsia="Arial" w:hAnsi="Arial"/>
          <w:sz w:val="18"/>
          <w:szCs w:val="18"/>
          <w:color w:val="auto"/>
        </w:rPr>
      </w:pPr>
    </w:p>
    <w:p>
      <w:pPr>
        <w:ind w:left="444" w:right="60" w:firstLine="419"/>
        <w:spacing w:after="0" w:line="273" w:lineRule="auto"/>
        <w:tabs>
          <w:tab w:leader="none" w:pos="1132" w:val="left"/>
        </w:tabs>
        <w:numPr>
          <w:ilvl w:val="1"/>
          <w:numId w:val="159"/>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Existing Indebtedness</w:t>
      </w:r>
      <w:r>
        <w:rPr>
          <w:rFonts w:ascii="Arial" w:cs="Arial" w:eastAsia="Arial" w:hAnsi="Arial"/>
          <w:sz w:val="17"/>
          <w:szCs w:val="17"/>
          <w:color w:val="FF0000"/>
          <w:strike w:val="1"/>
        </w:rPr>
        <w:t>. All existing Indebtedness (other than Indebtedness permitted pursuant to Section 9.3 and the Adapt Purchase</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Agreement) of the Adapt Target and its Subsidiaries shall be repaid in full, all commitments (if any) in respect thereof shall have been terminated and all guarantees therefor and security therefor shall be released, and the Administrative Agent shall have received pay-off letters in form and substance reasonably satisfactory to it evidencing such repayment, termination and release. On the Closing Date, after giving effect to the Transactions, neither the Adapt Target nor any of its Subsidiaries shall have any outstanding Indebtedness (other than the Obligations and Indebtedness permitted pursuant to </w:t>
      </w:r>
      <w:r>
        <w:rPr>
          <w:rFonts w:ascii="Arial" w:cs="Arial" w:eastAsia="Arial" w:hAnsi="Arial"/>
          <w:sz w:val="17"/>
          <w:szCs w:val="17"/>
          <w:u w:val="single" w:color="auto"/>
          <w:color w:val="FF0000"/>
          <w:strike w:val="1"/>
        </w:rPr>
        <w:t>Section 9.3</w:t>
      </w:r>
      <w:r>
        <w:rPr>
          <w:rFonts w:ascii="Arial" w:cs="Arial" w:eastAsia="Arial" w:hAnsi="Arial"/>
          <w:sz w:val="17"/>
          <w:szCs w:val="17"/>
          <w:color w:val="FF0000"/>
          <w:strike w:val="1"/>
        </w:rPr>
        <w:t xml:space="preserve"> and the Adapt Purchase Agreement).</w:t>
      </w:r>
    </w:p>
    <w:p>
      <w:pPr>
        <w:spacing w:after="0" w:line="70" w:lineRule="exact"/>
        <w:rPr>
          <w:sz w:val="20"/>
          <w:szCs w:val="20"/>
          <w:color w:val="auto"/>
        </w:rPr>
      </w:pPr>
    </w:p>
    <w:p>
      <w:pPr>
        <w:ind w:left="1124" w:hanging="261"/>
        <w:spacing w:after="0"/>
        <w:tabs>
          <w:tab w:leader="none" w:pos="1124" w:val="left"/>
        </w:tabs>
        <w:numPr>
          <w:ilvl w:val="1"/>
          <w:numId w:val="16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1184" w:hanging="321"/>
        <w:spacing w:after="0"/>
        <w:tabs>
          <w:tab w:leader="none" w:pos="1184"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PATRIOT Act, etc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84" w:hanging="292"/>
        <w:spacing w:after="0"/>
        <w:tabs>
          <w:tab w:leader="none" w:pos="1684" w:val="left"/>
        </w:tabs>
        <w:numPr>
          <w:ilvl w:val="3"/>
          <w:numId w:val="160"/>
        </w:numPr>
        <w:rPr>
          <w:rFonts w:ascii="Arial" w:cs="Arial" w:eastAsia="Arial" w:hAnsi="Arial"/>
          <w:sz w:val="17"/>
          <w:szCs w:val="17"/>
          <w:color w:val="auto"/>
        </w:rPr>
      </w:pPr>
      <w:r>
        <w:rPr>
          <w:rFonts w:ascii="Arial" w:cs="Arial" w:eastAsia="Arial" w:hAnsi="Arial"/>
          <w:sz w:val="17"/>
          <w:szCs w:val="17"/>
          <w:color w:val="auto"/>
        </w:rPr>
        <w:t>The Borrower and each of the Guarantors shall have provided to the Administrative Agent and the Lenders, at least five</w:t>
      </w:r>
    </w:p>
    <w:p>
      <w:pPr>
        <w:spacing w:after="0" w:line="34" w:lineRule="exact"/>
        <w:rPr>
          <w:rFonts w:ascii="Arial" w:cs="Arial" w:eastAsia="Arial" w:hAnsi="Arial"/>
          <w:sz w:val="17"/>
          <w:szCs w:val="17"/>
          <w:color w:val="auto"/>
        </w:rPr>
      </w:pPr>
    </w:p>
    <w:p>
      <w:pPr>
        <w:ind w:left="984" w:right="280" w:firstLine="7"/>
        <w:spacing w:after="0" w:line="255" w:lineRule="auto"/>
        <w:tabs>
          <w:tab w:leader="none" w:pos="1239" w:val="left"/>
        </w:tabs>
        <w:numPr>
          <w:ilvl w:val="2"/>
          <w:numId w:val="160"/>
        </w:numPr>
        <w:rPr>
          <w:rFonts w:ascii="Arial" w:cs="Arial" w:eastAsia="Arial" w:hAnsi="Arial"/>
          <w:sz w:val="18"/>
          <w:szCs w:val="18"/>
          <w:color w:val="auto"/>
        </w:rPr>
      </w:pPr>
      <w:r>
        <w:rPr>
          <w:rFonts w:ascii="Arial" w:cs="Arial" w:eastAsia="Arial" w:hAnsi="Arial"/>
          <w:sz w:val="18"/>
          <w:szCs w:val="18"/>
          <w:color w:val="auto"/>
        </w:rPr>
        <w:t>Business Days prior to the Closing Date, the documentation and other information requested by the Administrative Agent or any Lender at least ten (10) Business Days prior to the Closing Date in order to comply with requirements of the PATRIOT Act, applicable “know your customer” and anti-money laundering rules and regulations.</w:t>
      </w:r>
    </w:p>
    <w:p>
      <w:pPr>
        <w:spacing w:after="0" w:line="81" w:lineRule="exact"/>
        <w:rPr>
          <w:rFonts w:ascii="Arial" w:cs="Arial" w:eastAsia="Arial" w:hAnsi="Arial"/>
          <w:sz w:val="18"/>
          <w:szCs w:val="18"/>
          <w:color w:val="auto"/>
        </w:rPr>
      </w:pPr>
    </w:p>
    <w:p>
      <w:pPr>
        <w:ind w:left="984" w:right="80" w:firstLine="408"/>
        <w:spacing w:after="0" w:line="301" w:lineRule="auto"/>
        <w:tabs>
          <w:tab w:leader="none" w:pos="1670" w:val="left"/>
        </w:tabs>
        <w:numPr>
          <w:ilvl w:val="3"/>
          <w:numId w:val="161"/>
        </w:numPr>
        <w:rPr>
          <w:rFonts w:ascii="Arial" w:cs="Arial" w:eastAsia="Arial" w:hAnsi="Arial"/>
          <w:sz w:val="16"/>
          <w:szCs w:val="16"/>
          <w:color w:val="auto"/>
        </w:rPr>
      </w:pPr>
      <w:r>
        <w:rPr>
          <w:rFonts w:ascii="Arial" w:cs="Arial" w:eastAsia="Arial" w:hAnsi="Arial"/>
          <w:sz w:val="16"/>
          <w:szCs w:val="16"/>
          <w:color w:val="auto"/>
        </w:rPr>
        <w:t>Each Credit Party or Subsidiary thereof that qualifies as a “legal entity customer” under the Beneficial Ownership Regulation shall have delivered to the Administrative Agent, and any Lender requesting the same, a Beneficial Ownership Certification in relation to such Credit Party or such Subsidiary, in each case at least ten (10) Business Days prior to the Closing Date that has been requested by the Administrative Agent or any Lender at least fifteen (15) Business Days prior to the Closing Date.</w:t>
      </w:r>
    </w:p>
    <w:p>
      <w:pPr>
        <w:spacing w:after="0" w:line="49" w:lineRule="exact"/>
        <w:rPr>
          <w:rFonts w:ascii="Arial" w:cs="Arial" w:eastAsia="Arial" w:hAnsi="Arial"/>
          <w:sz w:val="16"/>
          <w:szCs w:val="16"/>
          <w:color w:val="auto"/>
        </w:rPr>
      </w:pPr>
    </w:p>
    <w:p>
      <w:pPr>
        <w:ind w:left="1164" w:hanging="301"/>
        <w:spacing w:after="0"/>
        <w:tabs>
          <w:tab w:leader="none" w:pos="1164"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Investment Policy</w:t>
      </w:r>
      <w:r>
        <w:rPr>
          <w:rFonts w:ascii="Arial" w:cs="Arial" w:eastAsia="Arial" w:hAnsi="Arial"/>
          <w:sz w:val="18"/>
          <w:szCs w:val="18"/>
          <w:color w:val="auto"/>
        </w:rPr>
        <w:t>. The Administrative Agent shall have received a copy of the Investment Policy.</w:t>
      </w:r>
    </w:p>
    <w:p>
      <w:pPr>
        <w:spacing w:after="0" w:line="225" w:lineRule="exact"/>
        <w:rPr>
          <w:rFonts w:ascii="Arial" w:cs="Arial" w:eastAsia="Arial" w:hAnsi="Arial"/>
          <w:sz w:val="18"/>
          <w:szCs w:val="18"/>
          <w:color w:val="auto"/>
        </w:rPr>
      </w:pPr>
    </w:p>
    <w:p>
      <w:pPr>
        <w:ind w:left="4" w:right="120" w:firstLine="436"/>
        <w:spacing w:after="0" w:line="277" w:lineRule="auto"/>
        <w:tabs>
          <w:tab w:leader="none" w:pos="67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FF0000"/>
          <w:strike w:val="1"/>
        </w:rPr>
        <w:t>No Adapt Material Adverse Effect</w:t>
      </w:r>
      <w:r>
        <w:rPr>
          <w:rFonts w:ascii="Arial" w:cs="Arial" w:eastAsia="Arial" w:hAnsi="Arial"/>
          <w:sz w:val="18"/>
          <w:szCs w:val="18"/>
          <w:color w:val="FF0000"/>
          <w:strike w:val="1"/>
        </w:rPr>
        <w:t>. Since August 28, 2018, there shall not have been any fact, event or circumstance that has occurred which,</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individually or in the aggregate, has had an Adapt Material Adverse Effect</w:t>
      </w:r>
      <w:r>
        <w:rPr>
          <w:rFonts w:ascii="Arial" w:cs="Arial" w:eastAsia="Arial" w:hAnsi="Arial"/>
          <w:sz w:val="18"/>
          <w:szCs w:val="18"/>
          <w:u w:val="single" w:color="auto"/>
          <w:color w:val="0000FF"/>
          <w:strike w:val="1"/>
        </w:rPr>
        <w:t>[Reserved]</w:t>
      </w:r>
      <w:r>
        <w:rPr>
          <w:rFonts w:ascii="Arial" w:cs="Arial" w:eastAsia="Arial" w:hAnsi="Arial"/>
          <w:sz w:val="18"/>
          <w:szCs w:val="18"/>
          <w:color w:val="000000"/>
          <w:strike w:val="1"/>
        </w:rPr>
        <w:t>.</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FF0000"/>
          <w:strike w:val="1"/>
        </w:rPr>
        <w:t>Adapt Acquisition</w:t>
      </w:r>
      <w:r>
        <w:rPr>
          <w:rFonts w:ascii="Arial" w:cs="Arial" w:eastAsia="Arial" w:hAnsi="Arial"/>
          <w:sz w:val="18"/>
          <w:szCs w:val="18"/>
          <w:u w:val="single" w:color="auto"/>
          <w:color w:val="0000FF"/>
        </w:rPr>
        <w:t>[Reserved]</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444" w:right="40" w:firstLine="419"/>
        <w:spacing w:after="0" w:line="257" w:lineRule="auto"/>
        <w:tabs>
          <w:tab w:leader="none" w:pos="1079" w:val="left"/>
        </w:tabs>
        <w:numPr>
          <w:ilvl w:val="1"/>
          <w:numId w:val="16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Adapt Acquisition shall have been consummated substantially concurrently with the funding of the Initial Term Loan on the Closing Date in all material respects in accordance with the Adapt Purchase Agreement without giving effect to any amendments, waivers, modifications or consents thereunder that are materially adverse to the interests of the Lenders or the Arrangers (as reasonably determined by the Arrangers) unless such amendments, waivers, modifications or consents are approved in writing by the Arrangers, such approval </w:t>
      </w:r>
      <w:r>
        <w:rPr>
          <w:rFonts w:ascii="Arial" w:cs="Arial" w:eastAsia="Arial" w:hAnsi="Arial"/>
          <w:sz w:val="18"/>
          <w:szCs w:val="18"/>
          <w:color w:val="008000"/>
          <w:strike w:val="1"/>
        </w:rPr>
        <w:t>not to be unreasonably</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withheld </w:t>
      </w:r>
      <w:r>
        <w:rPr>
          <w:rFonts w:ascii="Arial" w:cs="Arial" w:eastAsia="Arial" w:hAnsi="Arial"/>
          <w:sz w:val="18"/>
          <w:szCs w:val="18"/>
          <w:color w:val="FF0000"/>
          <w:strike w:val="1"/>
        </w:rPr>
        <w:t>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-1182370</wp:posOffset>
            </wp:positionV>
            <wp:extent cx="285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44"/>
          </w:cols>
          <w:pgMar w:left="436" w:top="490" w:right="519" w:bottom="1440" w:gutter="0" w:footer="0" w:header="0"/>
        </w:sectPr>
      </w:pPr>
    </w:p>
    <w:bookmarkStart w:id="147" w:name="page148"/>
    <w:bookmarkEnd w:id="147"/>
    <w:p>
      <w:pPr>
        <w:ind w:left="440" w:right="120" w:firstLine="419"/>
        <w:spacing w:after="0" w:line="257" w:lineRule="auto"/>
        <w:tabs>
          <w:tab w:leader="none" w:pos="1128" w:val="left"/>
        </w:tabs>
        <w:numPr>
          <w:ilvl w:val="0"/>
          <w:numId w:val="164"/>
        </w:numPr>
        <w:rPr>
          <w:rFonts w:ascii="Arial" w:cs="Arial" w:eastAsia="Arial" w:hAnsi="Arial"/>
          <w:sz w:val="18"/>
          <w:szCs w:val="18"/>
          <w:color w:val="FF0000"/>
          <w:strike w:val="1"/>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Each of the representations made by the Adapt Target, the Adapt Sellers </w:t>
      </w:r>
      <w:r>
        <w:rPr>
          <w:rFonts w:ascii="Arial" w:cs="Arial" w:eastAsia="Arial" w:hAnsi="Arial"/>
          <w:sz w:val="18"/>
          <w:szCs w:val="18"/>
          <w:color w:val="008000"/>
          <w:strike w:val="1"/>
        </w:rPr>
        <w:t>or any of their respective</w:t>
      </w:r>
      <w:r>
        <w:rPr>
          <w:rFonts w:ascii="Arial" w:cs="Arial" w:eastAsia="Arial" w:hAnsi="Arial"/>
          <w:sz w:val="18"/>
          <w:szCs w:val="18"/>
          <w:color w:val="FF0000"/>
          <w:strike w:val="1"/>
        </w:rPr>
        <w:t xml:space="preserve"> Subsidiaries or Affiliates or with respect to the Adapt Target or its Subsidiaries or its business in the Adapt Purchase Agreement that are material to the interests of the Lenders are true and correct, but only to the extent that in the event of an inaccuracy with respect to, or a breach of, such representations the Borrower or its Affiliates have the right to terminate their respective obligations under the Adapt Purchase Agreement or otherwise decline to close the Adapt Acquisition.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Without limiting the generality of the provisions of </w:t>
      </w:r>
      <w:r>
        <w:rPr>
          <w:rFonts w:ascii="Arial" w:cs="Arial" w:eastAsia="Arial" w:hAnsi="Arial"/>
          <w:sz w:val="16"/>
          <w:szCs w:val="16"/>
          <w:u w:val="single" w:color="auto"/>
          <w:color w:val="auto"/>
        </w:rPr>
        <w:t>Section 11.3(c)</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15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xml:space="preserve">. </w:t>
      </w:r>
      <w:r>
        <w:rPr>
          <w:rFonts w:ascii="Arial" w:cs="Arial" w:eastAsia="Arial" w:hAnsi="Arial"/>
          <w:sz w:val="18"/>
          <w:szCs w:val="18"/>
          <w:color w:val="FF0000"/>
          <w:strike w:val="1"/>
        </w:rPr>
        <w:t>Subject to Section 1.14, t</w:t>
      </w:r>
      <w:r>
        <w:rPr>
          <w:rFonts w:ascii="Arial" w:cs="Arial" w:eastAsia="Arial" w:hAnsi="Arial"/>
          <w:sz w:val="18"/>
          <w:szCs w:val="18"/>
          <w:u w:val="single" w:color="auto"/>
          <w:color w:val="0000FF"/>
        </w:rPr>
        <w:t>T</w:t>
      </w:r>
      <w:r>
        <w:rPr>
          <w:rFonts w:ascii="Arial" w:cs="Arial" w:eastAsia="Arial" w:hAnsi="Arial"/>
          <w:sz w:val="18"/>
          <w:szCs w:val="18"/>
          <w:color w:val="auto"/>
        </w:rPr>
        <w:t>he obligations of the Lenders to make or participate in any Extensions of Credit (including the initial Extension of Credit, other than the Initial Term Loan) and/or any Issuing Lender to issue or extend any Letter of Credit are subject to the satisfaction of the following conditions precedent on the relevant borrowing, continuation, conversion, issuance or extension date:</w:t>
      </w:r>
    </w:p>
    <w:p>
      <w:pPr>
        <w:spacing w:after="0" w:line="79" w:lineRule="exact"/>
        <w:rPr>
          <w:sz w:val="20"/>
          <w:szCs w:val="20"/>
          <w:color w:val="auto"/>
        </w:rPr>
      </w:pPr>
    </w:p>
    <w:p>
      <w:pPr>
        <w:ind w:firstLine="436"/>
        <w:spacing w:after="0" w:line="272" w:lineRule="auto"/>
        <w:tabs>
          <w:tab w:leader="none" w:pos="685"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Continuation of Representations and Warranties</w:t>
      </w:r>
      <w:r>
        <w:rPr>
          <w:rFonts w:ascii="Arial" w:cs="Arial" w:eastAsia="Arial" w:hAnsi="Arial"/>
          <w:sz w:val="17"/>
          <w:szCs w:val="17"/>
          <w:color w:val="auto"/>
        </w:rPr>
        <w:t>.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spacing w:after="0" w:line="69" w:lineRule="exact"/>
        <w:rPr>
          <w:rFonts w:ascii="Arial" w:cs="Arial" w:eastAsia="Arial" w:hAnsi="Arial"/>
          <w:sz w:val="17"/>
          <w:szCs w:val="17"/>
          <w:color w:val="auto"/>
        </w:rPr>
      </w:pPr>
    </w:p>
    <w:p>
      <w:pPr>
        <w:jc w:val="both"/>
        <w:ind w:right="240" w:firstLine="436"/>
        <w:spacing w:after="0" w:line="311"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No Existing Default</w:t>
      </w:r>
      <w:r>
        <w:rPr>
          <w:rFonts w:ascii="Arial" w:cs="Arial" w:eastAsia="Arial" w:hAnsi="Arial"/>
          <w:sz w:val="16"/>
          <w:szCs w:val="16"/>
          <w:color w:val="auto"/>
        </w:rPr>
        <w:t>. No Default or Event of Default shall have occurred and be continuing (i) on the borrowing, continuation or conversion date with respect to such Loan or after giving effect to the Loans to be made, continued or converted on such date or (ii) on the issuance or extension date with respect to such Letter of Credit or after giving effect to the issuance or extension of such Letter of Credit on such date.</w:t>
      </w:r>
    </w:p>
    <w:p>
      <w:pPr>
        <w:spacing w:after="0" w:line="40" w:lineRule="exact"/>
        <w:rPr>
          <w:rFonts w:ascii="Arial" w:cs="Arial" w:eastAsia="Arial" w:hAnsi="Arial"/>
          <w:sz w:val="16"/>
          <w:szCs w:val="16"/>
          <w:color w:val="auto"/>
        </w:rPr>
      </w:pPr>
    </w:p>
    <w:p>
      <w:pPr>
        <w:ind w:right="340" w:firstLine="436"/>
        <w:spacing w:after="0" w:line="286" w:lineRule="auto"/>
        <w:tabs>
          <w:tab w:leader="none" w:pos="685"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The Administrative Agent or the Swingline Lender, as applicable, shall have received a Notice of Borrowing or Notice of Conversion/Continuation, as applicable, from the Borrower in accordance with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as applicable, or the applicable Issuing Lender shall have received a Letter of Credit Application from the Borrower in accordance with </w:t>
      </w:r>
      <w:r>
        <w:rPr>
          <w:rFonts w:ascii="Arial" w:cs="Arial" w:eastAsia="Arial" w:hAnsi="Arial"/>
          <w:sz w:val="17"/>
          <w:szCs w:val="17"/>
          <w:u w:val="single" w:color="auto"/>
          <w:color w:val="auto"/>
        </w:rPr>
        <w:t>Section 3.2</w:t>
      </w:r>
      <w:r>
        <w:rPr>
          <w:rFonts w:ascii="Arial" w:cs="Arial" w:eastAsia="Arial" w:hAnsi="Arial"/>
          <w:sz w:val="17"/>
          <w:szCs w:val="17"/>
          <w:color w:val="auto"/>
        </w:rPr>
        <w:t>, as applicable.</w:t>
      </w:r>
    </w:p>
    <w:p>
      <w:pPr>
        <w:spacing w:after="0" w:line="57" w:lineRule="exact"/>
        <w:rPr>
          <w:rFonts w:ascii="Arial" w:cs="Arial" w:eastAsia="Arial" w:hAnsi="Arial"/>
          <w:sz w:val="17"/>
          <w:szCs w:val="17"/>
          <w:color w:val="auto"/>
        </w:rPr>
      </w:pPr>
    </w:p>
    <w:p>
      <w:pPr>
        <w:jc w:val="both"/>
        <w:ind w:right="140" w:firstLine="436"/>
        <w:spacing w:after="0" w:line="259"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So long as any Lender is a Defaulting Lender, (i) the Swingline Lender shall not be required to fund any Swingline Loans unless it is satisfied that it will have no Fronting Exposure after giving effect to such Swingline Loan and (ii) the Issuing Lender</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shall not be required to issue, extend, renew or increase any Letter of Credit unless it is satisfied that it will have no Fronting Exposure after giving effect thereto.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490" w:right="459" w:bottom="1440" w:gutter="0" w:footer="0" w:header="0"/>
        </w:sectPr>
      </w:pPr>
    </w:p>
    <w:bookmarkStart w:id="148" w:name="page149"/>
    <w:bookmarkEnd w:id="148"/>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REPRESENTATIONS AND WARRANTIES OF THE CREDIT PARTIES</w:t>
      </w:r>
    </w:p>
    <w:p>
      <w:pPr>
        <w:spacing w:after="0" w:line="225"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 xml:space="preserve">To induce the Administrative Agent and Lenders to enter into this Agreement and to induce the Lenders to make Extensions of Credit, the Credit Parties hereby represent and warrant to the Administrative Agent and the Lenders, which representations and warranties shall be deemed made on the Closing Date and as otherwise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that:</w:t>
      </w:r>
    </w:p>
    <w:p>
      <w:pPr>
        <w:spacing w:after="0" w:line="184"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Existence, Qualification and Power</w:t>
      </w:r>
      <w:r>
        <w:rPr>
          <w:rFonts w:ascii="Arial" w:cs="Arial" w:eastAsia="Arial" w:hAnsi="Arial"/>
          <w:sz w:val="17"/>
          <w:szCs w:val="17"/>
          <w:color w:val="auto"/>
        </w:rPr>
        <w:t>. Each Credit Party and each of its Subsidiaries (other than any Immaterial Subsidiary) (a) is duly organized or formed, validly existing and, as applicable, in good standing under the Applicable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transactions contemplated thereby, and (c) is duly qualified and is licensed and, as applicable, in good standing under the Applicable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 No Credit Party nor any Subsidiary thereof is an Affected Financial Institution.</w:t>
      </w:r>
    </w:p>
    <w:p>
      <w:pPr>
        <w:spacing w:after="0" w:line="178"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Authorization; No Contravention</w:t>
      </w:r>
      <w:r>
        <w:rPr>
          <w:rFonts w:ascii="Arial" w:cs="Arial" w:eastAsia="Arial" w:hAnsi="Arial"/>
          <w:sz w:val="16"/>
          <w:szCs w:val="16"/>
          <w:color w:val="auto"/>
        </w:rPr>
        <w:t>. The execution, delivery and performance by each Credit Party of each Loan Document to which such Person is or is to be a party have been duly authorized by all necessary corporate or other organizational action, and do not and will not</w:t>
      </w:r>
    </w:p>
    <w:p>
      <w:pPr>
        <w:ind w:left="4" w:hanging="4"/>
        <w:spacing w:after="0" w:line="292" w:lineRule="auto"/>
        <w:tabs>
          <w:tab w:leader="none" w:pos="24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contravene the terms of any of such Person’s Organization Documents; (b) result in the imposition or the creation of any Lien (other than any Liens permitted pursuant to the terms of this Agreement) on any asset of any Credit Party or any Subsidiary of a Credit Party , (c) conflict with or result in any breach or contravention, in any material respect, of or require any material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w:t>
      </w:r>
      <w:r>
        <w:rPr>
          <w:rFonts w:ascii="Arial" w:cs="Arial" w:eastAsia="Arial" w:hAnsi="Arial"/>
          <w:sz w:val="16"/>
          <w:szCs w:val="16"/>
          <w:color w:val="FF0000"/>
          <w:strike w:val="1"/>
        </w:rPr>
        <w:t>c</w:t>
      </w:r>
      <w:r>
        <w:rPr>
          <w:rFonts w:ascii="Arial" w:cs="Arial" w:eastAsia="Arial" w:hAnsi="Arial"/>
          <w:sz w:val="16"/>
          <w:szCs w:val="16"/>
          <w:u w:val="single" w:color="auto"/>
          <w:color w:val="0000FF"/>
        </w:rPr>
        <w:t>d</w:t>
      </w:r>
      <w:r>
        <w:rPr>
          <w:rFonts w:ascii="Arial" w:cs="Arial" w:eastAsia="Arial" w:hAnsi="Arial"/>
          <w:sz w:val="16"/>
          <w:szCs w:val="16"/>
          <w:color w:val="auto"/>
        </w:rPr>
        <w:t>) violate any Applicable Law in any material respect.</w:t>
      </w:r>
    </w:p>
    <w:p>
      <w:pPr>
        <w:spacing w:after="0" w:line="162"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Governmental Authorization; Other Consents</w:t>
      </w:r>
      <w:r>
        <w:rPr>
          <w:rFonts w:ascii="Arial" w:cs="Arial" w:eastAsia="Arial" w:hAnsi="Arial"/>
          <w:sz w:val="16"/>
          <w:szCs w:val="16"/>
          <w:color w:val="auto"/>
        </w:rPr>
        <w:t>. No approval, consent, exemption, authorization, or other action by, or notice to, or filing with, any Governmental Authority or any other Person is necessary or required in connection with (a) the execution, delivery or performance by, or enforcement against, any Credit Party of this Agreement or any other Loan Document (except for filings, notices or similar actions that may be required in connection with enforcement of any security interest under Applicable Law and any approvals, consents, authorizations, actions or notices or filings with respect to the perfection of a security interest in property of any Credit Party located outside of the United States), (b) the grant by any Credit Party of the Liens granted by it pursuant to the Collateral Documents, (c) the perfection or maintenance, in all material respects, of the Liens created under the Collateral Documents (including the first priority nature thereof) (other than the filing of financing statements and delivery of any possessory Collateral as contemplated under the Loan Documents and which filings, registrations and deliveries have either (x) been made on or prior to the Closing Date or (y) are being (or, will be) made in accordance with the terms of the Loan Documents and other than any approvals, consents, authorizations, actions or notices or filings with respect to the perfection of a security interest in property of any Credit Party located outside of the United States) or (d) the exercise, in all material respects, by the Administrative Agent of its rights under the Loan Documents or the remedies in respect of the Collateral pursuant to the Collateral Documents (other than with respect to any Collateral located outside of the United States and except for filings, notices or similar actions that may be required in connection with enforcement of any security interest under Applicable Law</w:t>
      </w:r>
      <w:r>
        <w:rPr>
          <w:rFonts w:ascii="Arial" w:cs="Arial" w:eastAsia="Arial" w:hAnsi="Arial"/>
          <w:sz w:val="16"/>
          <w:szCs w:val="16"/>
          <w:u w:val="single" w:color="auto"/>
          <w:color w:val="0000FF"/>
        </w:rPr>
        <w:t>)</w:t>
      </w:r>
      <w:r>
        <w:rPr>
          <w:rFonts w:ascii="Arial" w:cs="Arial" w:eastAsia="Arial" w:hAnsi="Arial"/>
          <w:sz w:val="16"/>
          <w:szCs w:val="16"/>
          <w:color w:val="auto"/>
        </w:rPr>
        <w:t>.</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4"/>
          </w:cols>
          <w:pgMar w:left="436" w:top="490" w:right="459" w:bottom="1440" w:gutter="0" w:footer="0" w:header="0"/>
        </w:sectPr>
      </w:pPr>
    </w:p>
    <w:bookmarkStart w:id="149" w:name="page150"/>
    <w:bookmarkEnd w:id="149"/>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7.4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has been, and each other Loan Document, when delivered hereunder, will have been, duly executed and delivered by each Credit Party that is party thereto. This Agreement constitutes, and each other Loan Document when so delivered will constitute, a legal, valid and binding obligation of such Credit Party, enforceable against each Credit Party that is party thereto in accordance with its terms, subject to applicable bankruptcy, insolvency, reorganization, moratorium or other laws affecting creditors’ rights generally and subject to general principals of equity.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96" w:lineRule="auto"/>
        <w:tabs>
          <w:tab w:leader="none" w:pos="68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Audited Financial Statements (i) were prepared in accordance with GAAP consistently applied throughout the period covered thereby, except as otherwise expressly noted therein; (ii) fairly present the financial condition of the Borrower and its Subsidiaries, in all material respects,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53" w:lineRule="exact"/>
        <w:rPr>
          <w:rFonts w:ascii="Arial" w:cs="Arial" w:eastAsia="Arial" w:hAnsi="Arial"/>
          <w:sz w:val="16"/>
          <w:szCs w:val="16"/>
          <w:color w:val="auto"/>
        </w:rPr>
      </w:pPr>
    </w:p>
    <w:p>
      <w:pPr>
        <w:jc w:val="both"/>
        <w:ind w:right="160" w:firstLine="436"/>
        <w:spacing w:after="0" w:line="296" w:lineRule="auto"/>
        <w:tabs>
          <w:tab w:leader="none" w:pos="69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unaudited consolidated balance sheets of the Borrower and its Subsidiaries dated March 31, 2018 and June 30, 2018,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in all material respects, as of the date thereof and their results of operations for the period covered thereby, subject, in the case of clauses (i) and (ii), to the absence of footnotes and to normal year-end audit adjustments.</w:t>
      </w:r>
    </w:p>
    <w:p>
      <w:pPr>
        <w:spacing w:after="0" w:line="53" w:lineRule="exact"/>
        <w:rPr>
          <w:rFonts w:ascii="Arial" w:cs="Arial" w:eastAsia="Arial" w:hAnsi="Arial"/>
          <w:sz w:val="16"/>
          <w:szCs w:val="16"/>
          <w:color w:val="auto"/>
        </w:rPr>
      </w:pPr>
    </w:p>
    <w:p>
      <w:pPr>
        <w:ind w:right="240" w:firstLine="436"/>
        <w:spacing w:after="0" w:line="277" w:lineRule="auto"/>
        <w:tabs>
          <w:tab w:leader="none" w:pos="6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would reasonably be expected to have a Material Adverse Effect.</w:t>
      </w:r>
    </w:p>
    <w:p>
      <w:pPr>
        <w:spacing w:after="0" w:line="62" w:lineRule="exact"/>
        <w:rPr>
          <w:rFonts w:ascii="Arial" w:cs="Arial" w:eastAsia="Arial" w:hAnsi="Arial"/>
          <w:sz w:val="18"/>
          <w:szCs w:val="18"/>
          <w:color w:val="auto"/>
        </w:rPr>
      </w:pPr>
    </w:p>
    <w:p>
      <w:pPr>
        <w:ind w:firstLine="436"/>
        <w:spacing w:after="0" w:line="296" w:lineRule="auto"/>
        <w:tabs>
          <w:tab w:leader="none" w:pos="69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consolidated forecasted balance sheet and statements of income and cash flows of the Borrower and its Subsidiaries, delivered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were prepared in good faith on the basis of the assumptions stated therein, which assumptions were fair in light of the conditions known to the Borrower to exist at the time of delivery of such forecasts, and represented, at the time of delivery, the Borrower’s good faith estimate of its future financial condition and performance, it being understood that such forecasts are not to be viewed as facts, are subject to significant uncertainties and contingencies, that no assurance can be given that any particular forecast will be realized and that actual results may vary materially from such forecast.</w:t>
      </w:r>
    </w:p>
    <w:p>
      <w:pPr>
        <w:spacing w:after="0" w:line="16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proceedings, claims or disputes pending or, to the knowledge of the Borrower, threatened in writing, at law, in equity, in arbitration or before any Governmental Authority, by or against the Borrower or any of its Subsidiaries or against any of their properties or revenues that (a) purport to affect or pertain to this Agreement, any other Loan Document, or the consummation of the transactions contemplated herby or thereby, or (b) either individually or in the aggregate, if determined adversely, would reasonably be expected to have a Material Adverse Effect.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60"/>
          </w:cols>
          <w:pgMar w:left="440" w:top="490" w:right="499" w:bottom="1440" w:gutter="0" w:footer="0" w:header="0"/>
        </w:sectPr>
      </w:pPr>
    </w:p>
    <w:bookmarkStart w:id="150" w:name="page151"/>
    <w:bookmarkEnd w:id="150"/>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7.8 </w:t>
      </w:r>
      <w:r>
        <w:rPr>
          <w:rFonts w:ascii="Arial" w:cs="Arial" w:eastAsia="Arial" w:hAnsi="Arial"/>
          <w:sz w:val="18"/>
          <w:szCs w:val="18"/>
          <w:u w:val="single" w:color="auto"/>
          <w:color w:val="auto"/>
        </w:rPr>
        <w:t>Ownership of Property; Liens; Investments</w:t>
      </w:r>
      <w:r>
        <w:rPr>
          <w:rFonts w:ascii="Arial" w:cs="Arial" w:eastAsia="Arial" w:hAnsi="Arial"/>
          <w:sz w:val="18"/>
          <w:szCs w:val="18"/>
          <w:color w:val="auto"/>
        </w:rPr>
        <w:t>.</w:t>
      </w:r>
    </w:p>
    <w:p>
      <w:pPr>
        <w:spacing w:after="0" w:line="117" w:lineRule="exact"/>
        <w:rPr>
          <w:sz w:val="20"/>
          <w:szCs w:val="20"/>
          <w:color w:val="auto"/>
        </w:rPr>
      </w:pPr>
    </w:p>
    <w:p>
      <w:pPr>
        <w:ind w:left="-40" w:firstLine="436"/>
        <w:spacing w:after="0" w:line="269" w:lineRule="auto"/>
        <w:tabs>
          <w:tab w:leader="none" w:pos="64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Each Credit Party and each of its Subsidiaries has good record and marketable title in fee simple to, or valid leasehold interests in, all real property necessary or used in the ordinary conduct of its business, except for such defects in title as would not, individually or in the aggregate, reasonably be expected to have a Material Adverse Effect. Notwithstanding the foregoing or any other provision or representation contained in the Loan Documents to the contrary, the parties hereto agree that certain assets and property located on, and improvements to, certain real property necessary or used in the ordinary conduct of the business of the Borrower and its Subsidiaries may be from time to time provided by certain Governmental Authorities of the United States (such assets and other property, “Government Furnished Property”) in connection with the BioThrax Contract, the AV7909 Contract and other Contractual Obligations of such Credit Parties and/or Subsidiaries with such Governmental Authorities. In some instances, such Governmental Authorities of the United States may retain an ownership interest in such Government Furnished Property. The Borrower and each other Credit Party represents and warrants to the Administrative Agent and the Lenders that such retained ownership by the Governmental Authorities of the United States in such Government Furnished Property, if any, does not in any case materially interfere with the ordinary conduct of the business of the applicable Credit Party or Subsidiary of a Credit Party thereon.</w:t>
      </w:r>
    </w:p>
    <w:p>
      <w:pPr>
        <w:spacing w:after="0" w:line="73" w:lineRule="exact"/>
        <w:rPr>
          <w:rFonts w:ascii="Arial" w:cs="Arial" w:eastAsia="Arial" w:hAnsi="Arial"/>
          <w:sz w:val="17"/>
          <w:szCs w:val="17"/>
          <w:color w:val="auto"/>
        </w:rPr>
      </w:pPr>
    </w:p>
    <w:p>
      <w:pPr>
        <w:jc w:val="both"/>
        <w:ind w:left="-40" w:right="40" w:firstLine="436"/>
        <w:spacing w:after="0" w:line="259"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Schedule 7.8(b)</w:t>
      </w:r>
      <w:r>
        <w:rPr>
          <w:rFonts w:ascii="Arial" w:cs="Arial" w:eastAsia="Arial" w:hAnsi="Arial"/>
          <w:sz w:val="18"/>
          <w:szCs w:val="18"/>
          <w:color w:val="auto"/>
        </w:rPr>
        <w:t xml:space="preserve"> sets forth, as of the Closing Date, a complete and accurate list of all Liens (other than Liens permitted under </w:t>
      </w:r>
      <w:r>
        <w:rPr>
          <w:rFonts w:ascii="Arial" w:cs="Arial" w:eastAsia="Arial" w:hAnsi="Arial"/>
          <w:sz w:val="18"/>
          <w:szCs w:val="18"/>
          <w:u w:val="single" w:color="auto"/>
          <w:color w:val="auto"/>
        </w:rPr>
        <w:t>Sections 9.1(a)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(n)</w:t>
      </w:r>
      <w:r>
        <w:rPr>
          <w:rFonts w:ascii="Arial" w:cs="Arial" w:eastAsia="Arial" w:hAnsi="Arial"/>
          <w:sz w:val="18"/>
          <w:szCs w:val="18"/>
          <w:color w:val="auto"/>
        </w:rPr>
        <w:t xml:space="preserve">) on the property or assets of each Credit Party and each of its Subsidiaries, showing as of the date hereof the lienholder thereof and the property or assets of such Credit Party or such Subsidiary subject thereto. The property of each Credit Party and each of its Subsidiaries is subject to no Liens, other than Liens set forth on </w:t>
      </w:r>
      <w:r>
        <w:rPr>
          <w:rFonts w:ascii="Arial" w:cs="Arial" w:eastAsia="Arial" w:hAnsi="Arial"/>
          <w:sz w:val="18"/>
          <w:szCs w:val="18"/>
          <w:u w:val="single" w:color="auto"/>
          <w:color w:val="auto"/>
        </w:rPr>
        <w:t>Schedule 7.8(b)</w:t>
      </w:r>
      <w:r>
        <w:rPr>
          <w:rFonts w:ascii="Arial" w:cs="Arial" w:eastAsia="Arial" w:hAnsi="Arial"/>
          <w:sz w:val="18"/>
          <w:szCs w:val="18"/>
          <w:color w:val="auto"/>
        </w:rPr>
        <w:t>, and Permitted Liens.</w:t>
      </w:r>
    </w:p>
    <w:p>
      <w:pPr>
        <w:spacing w:after="0" w:line="78" w:lineRule="exact"/>
        <w:rPr>
          <w:rFonts w:ascii="Arial" w:cs="Arial" w:eastAsia="Arial" w:hAnsi="Arial"/>
          <w:sz w:val="18"/>
          <w:szCs w:val="18"/>
          <w:color w:val="auto"/>
        </w:rPr>
      </w:pPr>
    </w:p>
    <w:p>
      <w:pPr>
        <w:ind w:left="-40" w:firstLine="436"/>
        <w:spacing w:after="0" w:line="296" w:lineRule="auto"/>
        <w:tabs>
          <w:tab w:leader="none" w:pos="645"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Schedule 7.8(c)</w:t>
      </w:r>
      <w:r>
        <w:rPr>
          <w:rFonts w:ascii="Arial" w:cs="Arial" w:eastAsia="Arial" w:hAnsi="Arial"/>
          <w:sz w:val="16"/>
          <w:szCs w:val="16"/>
          <w:color w:val="auto"/>
        </w:rPr>
        <w:t xml:space="preserve"> (as the same may be updated from time to time pursuant to </w:t>
      </w:r>
      <w:r>
        <w:rPr>
          <w:rFonts w:ascii="Arial" w:cs="Arial" w:eastAsia="Arial" w:hAnsi="Arial"/>
          <w:sz w:val="16"/>
          <w:szCs w:val="16"/>
          <w:u w:val="single" w:color="auto"/>
          <w:color w:val="auto"/>
        </w:rPr>
        <w:t>Section 8.2(k)</w:t>
      </w:r>
      <w:r>
        <w:rPr>
          <w:rFonts w:ascii="Arial" w:cs="Arial" w:eastAsia="Arial" w:hAnsi="Arial"/>
          <w:sz w:val="16"/>
          <w:szCs w:val="16"/>
          <w:color w:val="auto"/>
        </w:rPr>
        <w:t xml:space="preserve">), sets forth a complete and accurate list of all real property owned by each Credit Party and each of its Subsidiaries, showing as of the date hereof (or such later date as such Schedule is updated (or required to be updated) pursuant to </w:t>
      </w:r>
      <w:r>
        <w:rPr>
          <w:rFonts w:ascii="Arial" w:cs="Arial" w:eastAsia="Arial" w:hAnsi="Arial"/>
          <w:sz w:val="16"/>
          <w:szCs w:val="16"/>
          <w:u w:val="single" w:color="auto"/>
          <w:color w:val="auto"/>
        </w:rPr>
        <w:t>Section 8.2(k)</w:t>
      </w:r>
      <w:r>
        <w:rPr>
          <w:rFonts w:ascii="Arial" w:cs="Arial" w:eastAsia="Arial" w:hAnsi="Arial"/>
          <w:sz w:val="16"/>
          <w:szCs w:val="16"/>
          <w:color w:val="auto"/>
        </w:rPr>
        <w:t>) the street address, county or other relevant jurisdiction, state and record owner thereof. Each Credit Party and each of its Subsidiaries has good, marketable and insurable fee simple title to the real property owned by such Credit Party or such Subsidiary, free and clear of all Liens, other than Liens created or permitted by the Loan Documents</w:t>
      </w:r>
      <w:r>
        <w:rPr>
          <w:rFonts w:ascii="Arial" w:cs="Arial" w:eastAsia="Arial" w:hAnsi="Arial"/>
          <w:sz w:val="16"/>
          <w:szCs w:val="16"/>
          <w:u w:val="single" w:color="auto"/>
          <w:color w:val="0000FF"/>
        </w:rPr>
        <w:t>, including Permitted Liens</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40" w:right="80" w:firstLine="436"/>
        <w:spacing w:after="0" w:line="257"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Schedule 7.8(d)</w:t>
      </w:r>
      <w:r>
        <w:rPr>
          <w:rFonts w:ascii="Arial" w:cs="Arial" w:eastAsia="Arial" w:hAnsi="Arial"/>
          <w:sz w:val="18"/>
          <w:szCs w:val="18"/>
          <w:color w:val="auto"/>
        </w:rPr>
        <w:t xml:space="preserve"> (as the same may be updated from time to time pursuant to </w:t>
      </w:r>
      <w:r>
        <w:rPr>
          <w:rFonts w:ascii="Arial" w:cs="Arial" w:eastAsia="Arial" w:hAnsi="Arial"/>
          <w:sz w:val="18"/>
          <w:szCs w:val="18"/>
          <w:u w:val="single" w:color="auto"/>
          <w:color w:val="auto"/>
        </w:rPr>
        <w:t>Section 8.2(k)</w:t>
      </w:r>
      <w:r>
        <w:rPr>
          <w:rFonts w:ascii="Arial" w:cs="Arial" w:eastAsia="Arial" w:hAnsi="Arial"/>
          <w:sz w:val="18"/>
          <w:szCs w:val="18"/>
          <w:color w:val="auto"/>
        </w:rPr>
        <w:t xml:space="preserve">) sets forth a complete and accurate list of all Investments (other than Investments permitted under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held by any Credit Party or any Subsidiary of a Credit Party on the date hereof (or such later date as such Schedule is updated (or required to be updated) pursuant to </w:t>
      </w:r>
      <w:r>
        <w:rPr>
          <w:rFonts w:ascii="Arial" w:cs="Arial" w:eastAsia="Arial" w:hAnsi="Arial"/>
          <w:sz w:val="18"/>
          <w:szCs w:val="18"/>
          <w:u w:val="single" w:color="auto"/>
          <w:color w:val="auto"/>
        </w:rPr>
        <w:t>Section 8.2(k)</w:t>
      </w:r>
      <w:r>
        <w:rPr>
          <w:rFonts w:ascii="Arial" w:cs="Arial" w:eastAsia="Arial" w:hAnsi="Arial"/>
          <w:sz w:val="18"/>
          <w:szCs w:val="18"/>
          <w:color w:val="auto"/>
        </w:rPr>
        <w:t xml:space="preserve">), showing as of the date hereof </w:t>
      </w:r>
      <w:r>
        <w:rPr>
          <w:rFonts w:ascii="Arial" w:cs="Arial" w:eastAsia="Arial" w:hAnsi="Arial"/>
          <w:sz w:val="18"/>
          <w:szCs w:val="18"/>
          <w:u w:val="single" w:color="auto"/>
          <w:color w:val="0000FF"/>
        </w:rPr>
        <w:t>(or such later date as such Schedule is updated (or required to be updated) pursuant to Section 8.2(k))</w:t>
      </w:r>
      <w:r>
        <w:rPr>
          <w:rFonts w:ascii="Arial" w:cs="Arial" w:eastAsia="Arial" w:hAnsi="Arial"/>
          <w:sz w:val="18"/>
          <w:szCs w:val="18"/>
          <w:color w:val="auto"/>
        </w:rPr>
        <w:t xml:space="preserve"> the amount, obligor or issuer and maturity, if any, thereof.</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w:t>
      </w:r>
    </w:p>
    <w:p>
      <w:pPr>
        <w:spacing w:after="0" w:line="117" w:lineRule="exact"/>
        <w:rPr>
          <w:sz w:val="20"/>
          <w:szCs w:val="20"/>
          <w:color w:val="auto"/>
        </w:rPr>
      </w:pPr>
    </w:p>
    <w:p>
      <w:pPr>
        <w:ind w:left="-40" w:right="240" w:firstLine="436"/>
        <w:spacing w:after="0" w:line="259" w:lineRule="auto"/>
        <w:tabs>
          <w:tab w:leader="none" w:pos="6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Borrower and its Subsidiaries have, in the ordinary course of business, reviewed the effect of existing Environmental Laws and any claims alleging potential liability or responsibility for violation of any Environmental Law on their respective businesses, operations and properties, and as a result thereof the Borrower has reasonably concluded that liability under such Environmental Laws and any claims could not, individually or in the aggregate, reasonably be expected to have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40"/>
          </w:cols>
          <w:pgMar w:left="480" w:top="490" w:right="479" w:bottom="1440" w:gutter="0" w:footer="0" w:header="0"/>
        </w:sectPr>
      </w:pPr>
    </w:p>
    <w:bookmarkStart w:id="151" w:name="page152"/>
    <w:bookmarkEnd w:id="151"/>
    <w:p>
      <w:pPr>
        <w:ind w:right="60" w:firstLine="436"/>
        <w:spacing w:after="0" w:line="269" w:lineRule="auto"/>
        <w:tabs>
          <w:tab w:leader="none" w:pos="695" w:val="left"/>
        </w:tabs>
        <w:numPr>
          <w:ilvl w:val="0"/>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Except as otherwise set forth in </w:t>
      </w:r>
      <w:r>
        <w:rPr>
          <w:rFonts w:ascii="Arial" w:cs="Arial" w:eastAsia="Arial" w:hAnsi="Arial"/>
          <w:sz w:val="17"/>
          <w:szCs w:val="17"/>
          <w:u w:val="single" w:color="auto"/>
          <w:color w:val="auto"/>
        </w:rPr>
        <w:t>Schedule 7.9</w:t>
      </w:r>
      <w:r>
        <w:rPr>
          <w:rFonts w:ascii="Arial" w:cs="Arial" w:eastAsia="Arial" w:hAnsi="Arial"/>
          <w:sz w:val="17"/>
          <w:szCs w:val="17"/>
          <w:color w:val="auto"/>
        </w:rPr>
        <w:t>, to the knowledge of the Borrower and its Subsidiaries, none of the properties currently or formerly owned or operated by the Borrower and its Subsidiaries is listed or proposed for listing on the NPL or on the CERCLIS or any analogous foreign, state or local list or is adjacent to any such property; there are no and, to the knowledge of the Borrower and its Subsidiaries, never have been any underground or above-ground storage tanks or any surface impoundments, septic tanks, pits, sumps or lagoons in which Hazardous Materials are being or have been treated, stored or disposed on any property currently owned or operated by the Borrower and its Subsidiaries or, to the knowledge of the Borrower and its Subsidiaries, on any property formerly owned or operated by the Borrower and its Subsidiaries, except insofar as any of the foregoing have been closed or removed in compliance with Environmental Laws; to the knowledge of the Borrower and its Subsidiaries, there is no asbestos above regulated levels or asbestos-containing material as that term is defined under Environmental Laws on any property currently owned or operated by the Borrower and its Subsidiaries; and Hazardous Materials have not been released, discharged or disposed of in a manner which would require remediation or otherwise impose liability under Environmental Laws on any property currently or, to the knowledge of the Borrower and its Subsidiaries, formerly owned or operated by the Borrower and its Subsidiaries.</w:t>
      </w:r>
    </w:p>
    <w:p>
      <w:pPr>
        <w:spacing w:after="0" w:line="73" w:lineRule="exact"/>
        <w:rPr>
          <w:rFonts w:ascii="Arial" w:cs="Arial" w:eastAsia="Arial" w:hAnsi="Arial"/>
          <w:sz w:val="17"/>
          <w:szCs w:val="17"/>
          <w:color w:val="auto"/>
        </w:rPr>
      </w:pPr>
    </w:p>
    <w:p>
      <w:pPr>
        <w:ind w:firstLine="436"/>
        <w:spacing w:after="0" w:line="272" w:lineRule="auto"/>
        <w:tabs>
          <w:tab w:leader="none" w:pos="68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Except as otherwise set forth on </w:t>
      </w:r>
      <w:r>
        <w:rPr>
          <w:rFonts w:ascii="Arial" w:cs="Arial" w:eastAsia="Arial" w:hAnsi="Arial"/>
          <w:sz w:val="17"/>
          <w:szCs w:val="17"/>
          <w:u w:val="single" w:color="auto"/>
          <w:color w:val="auto"/>
        </w:rPr>
        <w:t>Schedule 7.9</w:t>
      </w:r>
      <w:r>
        <w:rPr>
          <w:rFonts w:ascii="Arial" w:cs="Arial" w:eastAsia="Arial" w:hAnsi="Arial"/>
          <w:sz w:val="17"/>
          <w:szCs w:val="17"/>
          <w:color w:val="auto"/>
        </w:rPr>
        <w:t>, neither the Borrower nor its Subsidiaries is undertaking, and has not completed, either individually or together with other potentially responsible parties, any investigation or assessment or remedial or response action resulting from any actual or threatened release, discharge or disposal of Hazardous Materials at any site, location or operation, either voluntarily or pursuant to the order of any Governmental Authority or the requirements of any Environmental Law, except for such actions which have been concluded in compliance with Environmental Laws; and all Hazardous Materials generated, used, treated, handled or stored at, or transported to or from, any property currently or, to the knowledge of the Borrower and its Subsidiaries, formerly owned or operated by the Borrower and its Subsidiaries have been disposed of in a manner not reasonably expected to result in material liability to the Borrower and its Subsidiaries, taken as a whole.</w:t>
      </w:r>
    </w:p>
    <w:p>
      <w:pPr>
        <w:spacing w:after="0" w:line="17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Insurance</w:t>
      </w:r>
      <w:r>
        <w:rPr>
          <w:rFonts w:ascii="Arial" w:cs="Arial" w:eastAsia="Arial" w:hAnsi="Arial"/>
          <w:sz w:val="18"/>
          <w:szCs w:val="18"/>
          <w:color w:val="auto"/>
        </w:rPr>
        <w:t>. The properties of the Borrower and its Subsidiaries are insured with companies having an A.M. Best Rating of at least A- not Affiliates of the Borrower, in such amounts, with such deductibles and covering such risks as are necessary to ensure that Uninsured Liabilities of the Borrower and/or any Subsidiary are not reasonably likely to result in a Material Adverse Effect.</w:t>
      </w:r>
    </w:p>
    <w:p>
      <w:pPr>
        <w:spacing w:after="0" w:line="18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Taxes</w:t>
      </w:r>
      <w:r>
        <w:rPr>
          <w:rFonts w:ascii="Arial" w:cs="Arial" w:eastAsia="Arial" w:hAnsi="Arial"/>
          <w:sz w:val="18"/>
          <w:szCs w:val="18"/>
          <w:color w:val="auto"/>
        </w:rPr>
        <w:t>. The Borrower and its Subsidiaries have filed all Federal, and all material state and other tax returns and reports required to be filed, and have paid all Federal, and all material state and 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or to the extent the failure to do so could not reasonably be expected to have a Material Adverse Effect. There is no proposed Tax assessment against the Borrower or any Subsidiary that would, if made, have a Material Adverse Effect.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55" w:lineRule="auto"/>
        <w:tabs>
          <w:tab w:leader="none" w:pos="6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Plan is in compliance with the applicable provisions of ERISA, the Code and other Federal or state laws, except where any failure to comply would not reasonably be expected to have a Material Adverse Effect. Each Pension Plan that is intended to be a qualified plan under Section 401(a) of the Code has received a favorable determination, opinion or advisory letter from the IRS to the effect that the form of such Plan is qualified under Section 401(a) of the Code and the trust related thereto has been determined by the Internal Revenue Service to be exempt from federal income tax under Section 501(a) of the Code. To the knowledge of the Borrower, nothing has occurred that would prevent or cause the loss of, such tax-qualified status.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490" w:right="459" w:bottom="1440" w:gutter="0" w:footer="0" w:header="0"/>
        </w:sectPr>
      </w:pPr>
    </w:p>
    <w:bookmarkStart w:id="152" w:name="page153"/>
    <w:bookmarkEnd w:id="152"/>
    <w:p>
      <w:pPr>
        <w:jc w:val="both"/>
        <w:ind w:left="4" w:right="200" w:firstLine="436"/>
        <w:spacing w:after="0" w:line="311" w:lineRule="auto"/>
        <w:tabs>
          <w:tab w:leader="none" w:pos="696" w:val="left"/>
        </w:tabs>
        <w:numPr>
          <w:ilvl w:val="1"/>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48" w:lineRule="exact"/>
        <w:rPr>
          <w:rFonts w:ascii="Arial" w:cs="Arial" w:eastAsia="Arial" w:hAnsi="Arial"/>
          <w:sz w:val="16"/>
          <w:szCs w:val="16"/>
          <w:color w:val="auto"/>
        </w:rPr>
      </w:pPr>
    </w:p>
    <w:p>
      <w:pPr>
        <w:ind w:left="4" w:firstLine="436"/>
        <w:spacing w:after="0" w:line="284" w:lineRule="auto"/>
        <w:tabs>
          <w:tab w:leader="none" w:pos="68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w:t>
      </w:r>
    </w:p>
    <w:p>
      <w:pPr>
        <w:ind w:left="264" w:hanging="264"/>
        <w:spacing w:after="0"/>
        <w:tabs>
          <w:tab w:leader="none" w:pos="26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neither the Borrower nor any ERISA Affiliate has engaged in a transaction that could be subject to Section 4069 or Section 4212(c) of ERISA; and</w:t>
      </w:r>
    </w:p>
    <w:p>
      <w:pPr>
        <w:spacing w:after="0" w:line="32" w:lineRule="exact"/>
        <w:rPr>
          <w:rFonts w:ascii="Arial" w:cs="Arial" w:eastAsia="Arial" w:hAnsi="Arial"/>
          <w:sz w:val="16"/>
          <w:szCs w:val="16"/>
          <w:color w:val="auto"/>
        </w:rPr>
      </w:pPr>
    </w:p>
    <w:p>
      <w:pPr>
        <w:ind w:left="4" w:right="240" w:hanging="4"/>
        <w:spacing w:after="0" w:line="290" w:lineRule="auto"/>
        <w:tabs>
          <w:tab w:leader="none" w:pos="30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61" w:lineRule="exact"/>
        <w:rPr>
          <w:rFonts w:ascii="Arial" w:cs="Arial" w:eastAsia="Arial" w:hAnsi="Arial"/>
          <w:sz w:val="17"/>
          <w:szCs w:val="17"/>
          <w:color w:val="auto"/>
        </w:rPr>
      </w:pPr>
    </w:p>
    <w:p>
      <w:pPr>
        <w:ind w:left="4" w:right="140" w:firstLine="436"/>
        <w:spacing w:after="0" w:line="263" w:lineRule="auto"/>
        <w:tabs>
          <w:tab w:leader="none" w:pos="696"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With respect to each scheme or arrangement mandated by a government other than the United States (a “</w:t>
      </w:r>
      <w:r>
        <w:rPr>
          <w:rFonts w:ascii="Arial" w:cs="Arial" w:eastAsia="Arial" w:hAnsi="Arial"/>
          <w:sz w:val="18"/>
          <w:szCs w:val="18"/>
          <w:u w:val="single" w:color="auto"/>
          <w:color w:val="auto"/>
        </w:rPr>
        <w:t>Foreign Government Scheme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Arrangement</w:t>
      </w:r>
      <w:r>
        <w:rPr>
          <w:rFonts w:ascii="Arial" w:cs="Arial" w:eastAsia="Arial" w:hAnsi="Arial"/>
          <w:sz w:val="18"/>
          <w:szCs w:val="18"/>
          <w:color w:val="auto"/>
        </w:rPr>
        <w:t>”) and with respect to each Employee Benefit Plan maintained or contributed to by any Credit Party or any Subsidiary of any Credit Party that is not subject to United States law (a “</w:t>
      </w:r>
      <w:r>
        <w:rPr>
          <w:rFonts w:ascii="Arial" w:cs="Arial" w:eastAsia="Arial" w:hAnsi="Arial"/>
          <w:sz w:val="18"/>
          <w:szCs w:val="18"/>
          <w:u w:val="single" w:color="auto"/>
          <w:color w:val="auto"/>
        </w:rPr>
        <w:t>Foreign Plan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4" w:right="260" w:firstLine="419"/>
        <w:spacing w:after="0" w:line="263" w:lineRule="auto"/>
        <w:tabs>
          <w:tab w:leader="none" w:pos="1082"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 except as would not reasonably be expected to have a Material Adverse Effect;</w:t>
      </w:r>
    </w:p>
    <w:p>
      <w:pPr>
        <w:spacing w:after="0" w:line="75" w:lineRule="exact"/>
        <w:rPr>
          <w:rFonts w:ascii="Arial" w:cs="Arial" w:eastAsia="Arial" w:hAnsi="Arial"/>
          <w:sz w:val="18"/>
          <w:szCs w:val="18"/>
          <w:color w:val="auto"/>
        </w:rPr>
      </w:pPr>
    </w:p>
    <w:p>
      <w:pPr>
        <w:ind w:left="444" w:right="20" w:firstLine="419"/>
        <w:spacing w:after="0" w:line="275" w:lineRule="auto"/>
        <w:tabs>
          <w:tab w:leader="none" w:pos="1132" w:val="left"/>
        </w:tabs>
        <w:numPr>
          <w:ilvl w:val="2"/>
          <w:numId w:val="173"/>
        </w:numPr>
        <w:rPr>
          <w:rFonts w:ascii="Arial" w:cs="Arial" w:eastAsia="Arial" w:hAnsi="Arial"/>
          <w:sz w:val="17"/>
          <w:szCs w:val="17"/>
          <w:color w:val="auto"/>
        </w:rPr>
      </w:pPr>
      <w:r>
        <w:rPr>
          <w:rFonts w:ascii="Arial" w:cs="Arial" w:eastAsia="Arial" w:hAnsi="Arial"/>
          <w:sz w:val="17"/>
          <w:szCs w:val="17"/>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as would not reasonably be expected to have a Material Adverse Effect; and</w:t>
      </w:r>
    </w:p>
    <w:p>
      <w:pPr>
        <w:spacing w:after="0" w:line="68" w:lineRule="exact"/>
        <w:rPr>
          <w:rFonts w:ascii="Arial" w:cs="Arial" w:eastAsia="Arial" w:hAnsi="Arial"/>
          <w:sz w:val="17"/>
          <w:szCs w:val="17"/>
          <w:color w:val="auto"/>
        </w:rPr>
      </w:pPr>
    </w:p>
    <w:p>
      <w:pPr>
        <w:ind w:left="444" w:right="300" w:firstLine="419"/>
        <w:spacing w:after="0" w:line="277" w:lineRule="auto"/>
        <w:tabs>
          <w:tab w:leader="none" w:pos="1182" w:val="left"/>
        </w:tabs>
        <w:numPr>
          <w:ilvl w:val="2"/>
          <w:numId w:val="173"/>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 except as would not reasonably be expected to have a Material Adverse Effect.</w:t>
      </w:r>
    </w:p>
    <w:p>
      <w:pPr>
        <w:spacing w:after="0" w:line="170" w:lineRule="exact"/>
        <w:rPr>
          <w:rFonts w:ascii="Arial" w:cs="Arial" w:eastAsia="Arial" w:hAnsi="Arial"/>
          <w:sz w:val="18"/>
          <w:szCs w:val="18"/>
          <w:color w:val="auto"/>
        </w:rPr>
      </w:pPr>
    </w:p>
    <w:p>
      <w:pPr>
        <w:ind w:left="4" w:right="120" w:firstLine="436"/>
        <w:spacing w:after="0" w:line="277" w:lineRule="auto"/>
        <w:tabs>
          <w:tab w:leader="none" w:pos="68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Neither the Borrower nor any ERISA Affiliate maintains or contributes to, or has any unsatisfied obligation to contribute to, or liability under, any active or terminated Pension Plan that would reasonably be expected to have a Material Adverse Effect.</w:t>
      </w:r>
    </w:p>
    <w:p>
      <w:pPr>
        <w:spacing w:after="0" w:line="170" w:lineRule="exact"/>
        <w:rPr>
          <w:rFonts w:ascii="Arial" w:cs="Arial" w:eastAsia="Arial" w:hAnsi="Arial"/>
          <w:sz w:val="18"/>
          <w:szCs w:val="18"/>
          <w:color w:val="auto"/>
        </w:rPr>
      </w:pPr>
    </w:p>
    <w:p>
      <w:pPr>
        <w:ind w:left="4" w:right="560" w:firstLine="436"/>
        <w:spacing w:after="0" w:line="308" w:lineRule="auto"/>
        <w:tabs>
          <w:tab w:leader="none" w:pos="659"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As of the Closing Date the Borrower is not nor will be using “plan assets” (within the meaning of 29 CFR § 2510.3-101, as modified by Section 3(42) of ERISA) of one or more Benefit Plans in connection with the Loans, the Letters of Credit or the Commitments.</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4"/>
          </w:cols>
          <w:pgMar w:left="436" w:top="490" w:right="459" w:bottom="1440" w:gutter="0" w:footer="0" w:header="0"/>
        </w:sectPr>
      </w:pPr>
    </w:p>
    <w:bookmarkStart w:id="153" w:name="page154"/>
    <w:bookmarkEnd w:id="153"/>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7.13 </w:t>
      </w:r>
      <w:r>
        <w:rPr>
          <w:rFonts w:ascii="Arial" w:cs="Arial" w:eastAsia="Arial" w:hAnsi="Arial"/>
          <w:sz w:val="16"/>
          <w:szCs w:val="16"/>
          <w:u w:val="single" w:color="auto"/>
          <w:color w:val="auto"/>
        </w:rPr>
        <w:t>Subsidiaries; Equity Interests; Credit Parties</w:t>
      </w:r>
      <w:r>
        <w:rPr>
          <w:rFonts w:ascii="Arial" w:cs="Arial" w:eastAsia="Arial" w:hAnsi="Arial"/>
          <w:sz w:val="16"/>
          <w:szCs w:val="16"/>
          <w:color w:val="auto"/>
        </w:rPr>
        <w:t xml:space="preserve">. As of the Closing Date, no Credit Party has any Subsidiaries other than those specifically disclosed in Part (a) of </w:t>
      </w:r>
      <w:r>
        <w:rPr>
          <w:rFonts w:ascii="Arial" w:cs="Arial" w:eastAsia="Arial" w:hAnsi="Arial"/>
          <w:sz w:val="16"/>
          <w:szCs w:val="16"/>
          <w:u w:val="single" w:color="auto"/>
          <w:color w:val="auto"/>
        </w:rPr>
        <w:t>Schedule 7.13</w:t>
      </w:r>
      <w:r>
        <w:rPr>
          <w:rFonts w:ascii="Arial" w:cs="Arial" w:eastAsia="Arial" w:hAnsi="Arial"/>
          <w:sz w:val="16"/>
          <w:szCs w:val="16"/>
          <w:color w:val="auto"/>
        </w:rPr>
        <w:t xml:space="preserve">, and all of the outstanding Equity Interests in such Subsidiaries have been validly issued, are fully paid and non-assessable (to the extent such concepts apply in such Subsidiary’s jurisdiction of incorporation) and are owned by a Credit Party in the amounts specified on Part (a) of </w:t>
      </w:r>
      <w:r>
        <w:rPr>
          <w:rFonts w:ascii="Arial" w:cs="Arial" w:eastAsia="Arial" w:hAnsi="Arial"/>
          <w:sz w:val="16"/>
          <w:szCs w:val="16"/>
          <w:u w:val="single" w:color="auto"/>
          <w:color w:val="auto"/>
        </w:rPr>
        <w:t>Schedule 7.13</w:t>
      </w:r>
      <w:r>
        <w:rPr>
          <w:rFonts w:ascii="Arial" w:cs="Arial" w:eastAsia="Arial" w:hAnsi="Arial"/>
          <w:sz w:val="16"/>
          <w:szCs w:val="16"/>
          <w:color w:val="auto"/>
        </w:rPr>
        <w:t xml:space="preserve"> free and clear of all Liens, except those created under the Collateral Documents. As of the Closing Date, no Credit Party has any equity investments in any other corporation or entity other than those specifically disclosed in Part (b) of </w:t>
      </w:r>
      <w:r>
        <w:rPr>
          <w:rFonts w:ascii="Arial" w:cs="Arial" w:eastAsia="Arial" w:hAnsi="Arial"/>
          <w:sz w:val="16"/>
          <w:szCs w:val="16"/>
          <w:u w:val="single" w:color="auto"/>
          <w:color w:val="auto"/>
        </w:rPr>
        <w:t>Schedule 7.13</w:t>
      </w:r>
      <w:r>
        <w:rPr>
          <w:rFonts w:ascii="Arial" w:cs="Arial" w:eastAsia="Arial" w:hAnsi="Arial"/>
          <w:sz w:val="16"/>
          <w:szCs w:val="16"/>
          <w:color w:val="auto"/>
        </w:rPr>
        <w:t xml:space="preserve">. All of the outstanding Equity Interests in the Borrower have been validly issued, are fully paid and non-assessable. Set forth on Part (c) of </w:t>
      </w:r>
      <w:r>
        <w:rPr>
          <w:rFonts w:ascii="Arial" w:cs="Arial" w:eastAsia="Arial" w:hAnsi="Arial"/>
          <w:sz w:val="16"/>
          <w:szCs w:val="16"/>
          <w:u w:val="single" w:color="auto"/>
          <w:color w:val="auto"/>
        </w:rPr>
        <w:t>Schedule 7.13</w:t>
      </w:r>
      <w:r>
        <w:rPr>
          <w:rFonts w:ascii="Arial" w:cs="Arial" w:eastAsia="Arial" w:hAnsi="Arial"/>
          <w:sz w:val="16"/>
          <w:szCs w:val="16"/>
          <w:color w:val="auto"/>
        </w:rPr>
        <w:t xml:space="preserve"> is a complete and accurate list of all Credit Parties, as of the Closing Date, showing as of the Closing Date (as to each Credit Party) the jurisdiction of its incorporation, the address of its principal place of business and its true and correct U.S. taxpayer identification number or, in the case of any non-U.S. Credit Party that does not have a U.S. taxpayer identification number, its true and correct unique identification number issued to it by the jurisdiction of its incorporation or formation. The copy of the charter of each Credit Party and each amendment thereto provided pursuant to </w:t>
      </w:r>
      <w:r>
        <w:rPr>
          <w:rFonts w:ascii="Arial" w:cs="Arial" w:eastAsia="Arial" w:hAnsi="Arial"/>
          <w:sz w:val="16"/>
          <w:szCs w:val="16"/>
          <w:u w:val="single" w:color="auto"/>
          <w:color w:val="auto"/>
        </w:rPr>
        <w:t>Section 6.1(b)(ii)</w:t>
      </w:r>
      <w:r>
        <w:rPr>
          <w:rFonts w:ascii="Arial" w:cs="Arial" w:eastAsia="Arial" w:hAnsi="Arial"/>
          <w:sz w:val="16"/>
          <w:szCs w:val="16"/>
          <w:color w:val="auto"/>
        </w:rPr>
        <w:t xml:space="preserve"> is a true and correct copy of each such document, as of the Closing Date, each of which is valid and in full force and effect.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73" w:lineRule="auto"/>
        <w:tabs>
          <w:tab w:leader="none" w:pos="68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No Credit Party or Subsidiary is engaged nor will it engage, principally or as one of its important activities, in the business of purchasing or carrying margin stock (within the meaning of Regulation U issued by the FRB), or extending credit for the purpose of purchasing or carrying margin stock in violation of Applicable Law. Following the application of the proceeds of each </w:t>
      </w:r>
      <w:r>
        <w:rPr>
          <w:rFonts w:ascii="Arial" w:cs="Arial" w:eastAsia="Arial" w:hAnsi="Arial"/>
          <w:sz w:val="17"/>
          <w:szCs w:val="17"/>
          <w:color w:val="FF0000"/>
          <w:strike w:val="1"/>
        </w:rPr>
        <w:t>Borrowing or drawing under each Letter</w:t>
      </w:r>
      <w:r>
        <w:rPr>
          <w:rFonts w:ascii="Arial" w:cs="Arial" w:eastAsia="Arial" w:hAnsi="Arial"/>
          <w:sz w:val="17"/>
          <w:szCs w:val="17"/>
          <w:u w:val="single" w:color="auto"/>
          <w:color w:val="0000FF"/>
        </w:rPr>
        <w:t>Extension</w:t>
      </w:r>
      <w:r>
        <w:rPr>
          <w:rFonts w:ascii="Arial" w:cs="Arial" w:eastAsia="Arial" w:hAnsi="Arial"/>
          <w:sz w:val="17"/>
          <w:szCs w:val="17"/>
          <w:color w:val="auto"/>
        </w:rPr>
        <w:t xml:space="preserve"> of Credit, not more than twenty-five percent (25%) of the value of the assets of the Borrower and its Subsidiaries on a consolidated basis subject to the provisions of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7"/>
          <w:szCs w:val="17"/>
          <w:u w:val="single" w:color="auto"/>
          <w:color w:val="auto"/>
        </w:rPr>
        <w:t>Section 10.1(e)</w:t>
      </w:r>
      <w:r>
        <w:rPr>
          <w:rFonts w:ascii="Arial" w:cs="Arial" w:eastAsia="Arial" w:hAnsi="Arial"/>
          <w:sz w:val="17"/>
          <w:szCs w:val="17"/>
          <w:color w:val="auto"/>
        </w:rPr>
        <w:t xml:space="preserve"> will be margin stock.</w:t>
      </w:r>
    </w:p>
    <w:p>
      <w:pPr>
        <w:spacing w:after="0" w:line="69"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Subsidiary is or is required to be registered as an “investment company” under the Investment Company Act of 1940.</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u w:val="single" w:color="auto"/>
          <w:color w:val="auto"/>
        </w:rPr>
        <w:t>Disclosure</w:t>
      </w:r>
      <w:r>
        <w:rPr>
          <w:rFonts w:ascii="Arial" w:cs="Arial" w:eastAsia="Arial" w:hAnsi="Arial"/>
          <w:sz w:val="16"/>
          <w:szCs w:val="16"/>
          <w:color w:val="auto"/>
        </w:rPr>
        <w:t>. Each Credit Party has disclosed to the Administrative Agent and the Lenders all agreements, instruments and corporate or other restrictions to which it or any of its Subsidiaries is subject, and all other matters known to it, that, individually or in the aggregate, would reasonably be expected to result in a Material Adverse Effect. No report, financial statement, certificate or other information furnished (in writing) by or on behalf of any Credit Party to the Administrative Agent or any Lender in connection with the negotiation of this Agreement and any other Loan Document (taken as a whole with any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or forecasts, the Borrower represents only that such information was prepared in good faith based upon assumptions believed to be reasonable at the time, it being understood that such projected financial information and forecasts are not to be viewed as facts, are subject to significant uncertainties and contingencies, that no assurance can be given that any particular projected financial information or forecast will be realized and that actual results may vary materially from such projection or forecast. As of the Closing Date, to the extent applicable, all of the information included in the Beneficial Ownership Certification is true and correct.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490" w:right="459" w:bottom="1440" w:gutter="0" w:footer="0" w:header="0"/>
        </w:sectPr>
      </w:pPr>
    </w:p>
    <w:bookmarkStart w:id="154" w:name="page155"/>
    <w:bookmarkEnd w:id="1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7.16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36"/>
        <w:spacing w:after="0" w:line="279" w:lineRule="auto"/>
        <w:tabs>
          <w:tab w:leader="none" w:pos="68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Each Credit Party and each Subsidiary thereof is in compliance in all material respects with the requirements of all Applicable Laws and all orders, writs, injunctions and decrees applicable to it or to its properties, except in such instances in which (a) such requirement of Applicable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63" w:lineRule="exact"/>
        <w:rPr>
          <w:rFonts w:ascii="Arial" w:cs="Arial" w:eastAsia="Arial" w:hAnsi="Arial"/>
          <w:sz w:val="17"/>
          <w:szCs w:val="17"/>
          <w:color w:val="auto"/>
        </w:rPr>
      </w:pPr>
    </w:p>
    <w:p>
      <w:pPr>
        <w:ind w:right="60" w:firstLine="436"/>
        <w:spacing w:after="0" w:line="279" w:lineRule="auto"/>
        <w:tabs>
          <w:tab w:leader="none" w:pos="69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To the knowledge of the Borrower, no circumstance exists and no event has occurred that (with or without notice or lapse of time) may give rise to any obligation on the part of any Credit Party to undertake, or to bear all or any portion of the cost of, any remedial corrective action of any nature with respect to any product developed, produced, manufactured, tested, packaged, labeled, marketed, sold, and/or distributed by a Credit Party or any of its Subsidiaries, which obligations if incurred would reasonably be expected to have a Material Adverse Effect.</w:t>
      </w:r>
    </w:p>
    <w:p>
      <w:pPr>
        <w:spacing w:after="0" w:line="63" w:lineRule="exact"/>
        <w:rPr>
          <w:rFonts w:ascii="Arial" w:cs="Arial" w:eastAsia="Arial" w:hAnsi="Arial"/>
          <w:sz w:val="17"/>
          <w:szCs w:val="17"/>
          <w:color w:val="auto"/>
        </w:rPr>
      </w:pPr>
    </w:p>
    <w:p>
      <w:pPr>
        <w:ind w:right="100" w:firstLine="436"/>
        <w:spacing w:after="0" w:line="255"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product that is developed, produced, manufactured, tested, packaged, labeled, marketed, sold, and/or distributed by a Credit Party or any of its Subsidiaries that is subject to the Federal Food, Drug and Cosmetic Act (the “</w:t>
      </w:r>
      <w:r>
        <w:rPr>
          <w:rFonts w:ascii="Arial" w:cs="Arial" w:eastAsia="Arial" w:hAnsi="Arial"/>
          <w:sz w:val="18"/>
          <w:szCs w:val="18"/>
          <w:u w:val="single" w:color="auto"/>
          <w:color w:val="auto"/>
        </w:rPr>
        <w:t>FFDCA</w:t>
      </w:r>
      <w:r>
        <w:rPr>
          <w:rFonts w:ascii="Arial" w:cs="Arial" w:eastAsia="Arial" w:hAnsi="Arial"/>
          <w:sz w:val="18"/>
          <w:szCs w:val="18"/>
          <w:color w:val="auto"/>
        </w:rPr>
        <w:t>”), the FDA regulations promulgated thereunder, or similar Applicable Law, is being developed, produced, tested, packaged, labeled, marketed, sold, and/or distributed in compliance in all material respects with all Applicable Laws under the FFDCA or similar Applicable Laws, including those relating to the importation of FDA-regulated products, current good manufacturing practices (cGMPs), and corresponding facility registration, recall, recordkeeping, and reporting obligations, and is not adulterated or misbranded within the meaning of the FFDCA.</w:t>
      </w:r>
    </w:p>
    <w:p>
      <w:pPr>
        <w:spacing w:after="0" w:line="84" w:lineRule="exact"/>
        <w:rPr>
          <w:rFonts w:ascii="Arial" w:cs="Arial" w:eastAsia="Arial" w:hAnsi="Arial"/>
          <w:sz w:val="18"/>
          <w:szCs w:val="18"/>
          <w:color w:val="auto"/>
        </w:rPr>
      </w:pPr>
    </w:p>
    <w:p>
      <w:pPr>
        <w:ind w:right="100" w:firstLine="436"/>
        <w:spacing w:after="0" w:line="255"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Credit Party, no Subsidiary of any Credit Party nor, to any Credit Party’s knowledge, any officer or employee of any of them currently is, or has been, convicted of any crime or engaged in any conduct for which debarment is mandated by 21 U.S.C. § 335a(a) or any similar Applicable Law or authorized by 21 U.S.C. § 335a(b) or has been charged with or convicted under any Applicable Law relating to the development or approval of products subject to regulation by the FDA (or similar or analogous foreign, state or local Governmental Authority), or otherwise relating to the regulation of any product that is developed, produced, manufactured, tested, packaged, labeled, marketed, sold, and/or distributed by a Credit Party or any of its Subsidiaries.</w:t>
      </w:r>
    </w:p>
    <w:p>
      <w:pPr>
        <w:spacing w:after="0" w:line="84" w:lineRule="exact"/>
        <w:rPr>
          <w:rFonts w:ascii="Arial" w:cs="Arial" w:eastAsia="Arial" w:hAnsi="Arial"/>
          <w:sz w:val="18"/>
          <w:szCs w:val="18"/>
          <w:color w:val="auto"/>
        </w:rPr>
      </w:pPr>
    </w:p>
    <w:p>
      <w:pPr>
        <w:ind w:firstLine="436"/>
        <w:spacing w:after="0" w:line="289" w:lineRule="auto"/>
        <w:tabs>
          <w:tab w:leader="none" w:pos="68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No product that is developed, produced, manufactured, tested, packaged, labeled, marketed, sold, and/or distributed by a Credit Party or any of its Subsidiaries has been recalled directly or indirectly by a Credit Party or any of its Subsidiaries or any Governmental Authority or involuntarily withdrawn, suspended, or discontinued, except to the extent that any such recall, withdrawal, suspension or discontinuance would not reasonably be expected to have a Material Adverse Effect. No Credit Party has been notified in writing of any action, arbitration, non-routine audit, hearing, investigation, litigation, suit (whether civil, criminal, administrative, investigative, or informal) or claim commenced, brought, conducted, or heard by or before, or otherwise involving, any Governmental Authority (whether completed or pending) seeking the voluntary or other recall, withdrawal, suspension, or seizure of any such product that is developed, produced, manufactured, tested, packaged, labeled, marketed, sold, and/or distributed by a Credit Party or any of its Subsidiaries that (x) in the case of the BioThrax Contract and the AV7909 Contract, would reasonably be expected to result in a Default pursuant to </w:t>
      </w:r>
      <w:r>
        <w:rPr>
          <w:rFonts w:ascii="Arial" w:cs="Arial" w:eastAsia="Arial" w:hAnsi="Arial"/>
          <w:sz w:val="16"/>
          <w:szCs w:val="16"/>
          <w:u w:val="single" w:color="auto"/>
          <w:color w:val="auto"/>
        </w:rPr>
        <w:t>Section 10.1(m)</w:t>
      </w:r>
      <w:r>
        <w:rPr>
          <w:rFonts w:ascii="Arial" w:cs="Arial" w:eastAsia="Arial" w:hAnsi="Arial"/>
          <w:sz w:val="16"/>
          <w:szCs w:val="16"/>
          <w:color w:val="auto"/>
        </w:rPr>
        <w:t xml:space="preserve"> and (y) in each other case, would reasonably be expected to have a Material Adverse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490" w:right="459" w:bottom="1440" w:gutter="0" w:footer="0" w:header="0"/>
        </w:sectPr>
      </w:pPr>
    </w:p>
    <w:bookmarkStart w:id="155" w:name="page156"/>
    <w:bookmarkEnd w:id="155"/>
    <w:p>
      <w:pPr>
        <w:ind w:left="4" w:right="20" w:firstLine="436"/>
        <w:spacing w:after="0" w:line="290" w:lineRule="auto"/>
        <w:tabs>
          <w:tab w:leader="none" w:pos="669" w:val="left"/>
        </w:tabs>
        <w:numPr>
          <w:ilvl w:val="0"/>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Neither the Borrower nor any of its Subsidiaries has received (a) any so called “Warning Letters” or “Untitled Letters” from the FDA (or similar or analogous foreign, state or local Governmental Authority) for which the Borrower or such Subsidiary has not provided a response or which has not otherwise been satisfied to Borrower’s knowledge, or (b) any (i) citation, suspension, revocation, limitation, warning, audit finding, request or communication issued by a Governmental Authority that has not been resolved to the applicable Governmental Authority’s satisfaction to Borrower’s knowledge or (ii) notification in writing from any Governmental Authority regarding (x) any actual, alleged, possible, or potential violation of, or failure to comply with, any Applicable Law, or (y) any actual, alleged, possible, or potential obligation on the part of any such Person to undertake, or to bear all or any portion of the cost of, any remedial action of any nature, in each case of any citation, notification, limitation, warning, audit finding, request or communication received under this clause (b), which would reasonably be expected to have a Material Adverse Effect.</w:t>
      </w:r>
    </w:p>
    <w:p>
      <w:pPr>
        <w:spacing w:after="0" w:line="57" w:lineRule="exact"/>
        <w:rPr>
          <w:rFonts w:ascii="Arial" w:cs="Arial" w:eastAsia="Arial" w:hAnsi="Arial"/>
          <w:sz w:val="16"/>
          <w:szCs w:val="16"/>
          <w:color w:val="auto"/>
        </w:rPr>
      </w:pPr>
    </w:p>
    <w:p>
      <w:pPr>
        <w:ind w:left="4" w:right="200" w:firstLine="436"/>
        <w:spacing w:after="0" w:line="279" w:lineRule="auto"/>
        <w:tabs>
          <w:tab w:leader="none" w:pos="69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Each Credit Party and each of its Subsidiaries have filed all material reports, documents, applications, notices and copies of any contracts required by any Applicable Laws to be filed or furnished to any Governmental Authority. All such reports, documents, applications, notices and contracts were complete and correct in all material respects on the date filed (or were corrected in or supplemented by a subsequent filing such that no material liability exists in respect of the Borrower and its Subsidiaries with respect to such filings).</w:t>
      </w:r>
    </w:p>
    <w:p>
      <w:pPr>
        <w:spacing w:after="0" w:line="63" w:lineRule="exact"/>
        <w:rPr>
          <w:rFonts w:ascii="Arial" w:cs="Arial" w:eastAsia="Arial" w:hAnsi="Arial"/>
          <w:sz w:val="17"/>
          <w:szCs w:val="17"/>
          <w:color w:val="auto"/>
        </w:rPr>
      </w:pPr>
    </w:p>
    <w:p>
      <w:pPr>
        <w:jc w:val="both"/>
        <w:ind w:left="4" w:right="240" w:firstLine="436"/>
        <w:spacing w:after="0" w:line="279" w:lineRule="auto"/>
        <w:tabs>
          <w:tab w:leader="none" w:pos="69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Neither any Credit Party nor any Subsidiary of any Credit Party nor any Principal (as defined in Federal Acquisition Regulation 52.209-5) presently is suspended or debarred from bidding on contracts or subcontracts for or with any Governmental Authority. No Credit Party has received written notification of any suspension or debarment actions with respect to any government contract currently have been commenced or threatened in writing against any Credit Party or any Subsidiary of any Credit Party or any of their respective Related Parties.</w:t>
      </w:r>
    </w:p>
    <w:p>
      <w:pPr>
        <w:spacing w:after="0" w:line="63" w:lineRule="exact"/>
        <w:rPr>
          <w:rFonts w:ascii="Arial" w:cs="Arial" w:eastAsia="Arial" w:hAnsi="Arial"/>
          <w:sz w:val="17"/>
          <w:szCs w:val="17"/>
          <w:color w:val="auto"/>
        </w:rPr>
      </w:pPr>
    </w:p>
    <w:p>
      <w:pPr>
        <w:jc w:val="both"/>
        <w:ind w:left="4" w:right="140" w:firstLine="436"/>
        <w:spacing w:after="0" w:line="342" w:lineRule="auto"/>
        <w:tabs>
          <w:tab w:leader="none" w:pos="65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Credit Party and each Subsidiary of any Credit Party, in each case, that is party to a contract with the Federal Government of the United States has an ethics and compliance program that complies with the requirements of Federal Acquisition Regulation Subpart 3.10 and FAR 52. 203-13.</w:t>
      </w:r>
    </w:p>
    <w:p>
      <w:pPr>
        <w:spacing w:after="0" w:line="124"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Intellectual Property; Licenses, Etc</w:t>
      </w:r>
      <w:r>
        <w:rPr>
          <w:rFonts w:ascii="Arial" w:cs="Arial" w:eastAsia="Arial" w:hAnsi="Arial"/>
          <w:sz w:val="18"/>
          <w:szCs w:val="18"/>
          <w:color w:val="auto"/>
        </w:rPr>
        <w:t>. Each Credit Party and each of its Subsidiaries own, or possess the right to use, all of the trademarks, service marks, trade names, copyrights, patents, patent rights, franchises, licenses and other intellectual property rights (collectively, “</w:t>
      </w:r>
      <w:r>
        <w:rPr>
          <w:rFonts w:ascii="Arial" w:cs="Arial" w:eastAsia="Arial" w:hAnsi="Arial"/>
          <w:sz w:val="18"/>
          <w:szCs w:val="18"/>
          <w:u w:val="single" w:color="auto"/>
          <w:color w:val="auto"/>
        </w:rPr>
        <w:t>IP</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w:t>
      </w:r>
      <w:r>
        <w:rPr>
          <w:rFonts w:ascii="Arial" w:cs="Arial" w:eastAsia="Arial" w:hAnsi="Arial"/>
          <w:sz w:val="18"/>
          <w:szCs w:val="18"/>
          <w:color w:val="auto"/>
        </w:rPr>
        <w:t>”) that are reasonably necessary for the operation of their respective businesses, without conflict in any material respects with the rights of any other Person. To the knowledge of the Borrower, no slogan or other advertising device, product, process, method, substance, part or other material employed by any Credit Party or any of its Subsidiaries infringes in any material respect upon any rights held by any other Person. No claim or litigation regarding any of the foregoing is pending or threatened in writing, which, either individually or in the aggregate, would reasonably be expected to have a Material Adverse Effect.</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Anti-Corruption Laws; Anti-Money Laundering Laws and Sanctions</w:t>
      </w:r>
      <w:r>
        <w:rPr>
          <w:rFonts w:ascii="Arial" w:cs="Arial" w:eastAsia="Arial" w:hAnsi="Arial"/>
          <w:sz w:val="18"/>
          <w:szCs w:val="18"/>
          <w:color w:val="auto"/>
        </w:rPr>
        <w:t>.</w:t>
      </w:r>
    </w:p>
    <w:p>
      <w:pPr>
        <w:spacing w:after="0" w:line="117" w:lineRule="exact"/>
        <w:rPr>
          <w:sz w:val="20"/>
          <w:szCs w:val="20"/>
          <w:color w:val="auto"/>
        </w:rPr>
      </w:pPr>
    </w:p>
    <w:p>
      <w:pPr>
        <w:ind w:left="4" w:right="200" w:firstLine="436"/>
        <w:spacing w:after="0" w:line="284" w:lineRule="auto"/>
        <w:tabs>
          <w:tab w:leader="none" w:pos="689" w:val="left"/>
        </w:tabs>
        <w:numPr>
          <w:ilvl w:val="1"/>
          <w:numId w:val="177"/>
        </w:numPr>
        <w:rPr>
          <w:rFonts w:ascii="Arial" w:cs="Arial" w:eastAsia="Arial" w:hAnsi="Arial"/>
          <w:sz w:val="16"/>
          <w:szCs w:val="16"/>
          <w:color w:val="auto"/>
        </w:rPr>
      </w:pPr>
      <w:r>
        <w:rPr>
          <w:rFonts w:ascii="Arial" w:cs="Arial" w:eastAsia="Arial" w:hAnsi="Arial"/>
          <w:sz w:val="16"/>
          <w:szCs w:val="16"/>
          <w:color w:val="auto"/>
        </w:rPr>
        <w:t>None of (i) the Borrower, any Subsidiary or, to the knowledge of the Borrower or such Subsidiary, any of their respective directors, officers, employees or Affiliates, or (ii) to the knowledge of the Borrower, any agent or representative of the Borrower or any Subsidiary that will act in any capacity in connection with or benefit from the Credit Facility established hereby, (A) is a Sanctioned Person or currently the subject or target of any Sanctions, (B) has its assets located in a Sanctioned Country, except to the extent licensed or otherwise approved or not prohibited by the applicable authority imposing such Sanctions, (C) is under administrative, civil or criminal investigation for an alleged material violation of, or received notice from or made a voluntary disclosure to any governmental entity regarding a possible material violation of, Anti-Corruption Laws, Anti-Money Laundering Laws or Sanctions by a governmental authority that enforces Sanctions or any Anti-Corruption Laws or Anti-Money Laundering Laws, or</w:t>
      </w:r>
    </w:p>
    <w:p>
      <w:pPr>
        <w:spacing w:after="0" w:line="2" w:lineRule="exact"/>
        <w:rPr>
          <w:rFonts w:ascii="Arial" w:cs="Arial" w:eastAsia="Arial" w:hAnsi="Arial"/>
          <w:sz w:val="16"/>
          <w:szCs w:val="16"/>
          <w:color w:val="auto"/>
        </w:rPr>
      </w:pPr>
    </w:p>
    <w:p>
      <w:pPr>
        <w:ind w:left="4" w:right="420" w:hanging="4"/>
        <w:spacing w:after="0" w:line="260" w:lineRule="auto"/>
        <w:tabs>
          <w:tab w:leader="none" w:pos="29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directly or indirectly derives revenues from investments in, or transactions with, Sanctioned Persons, except to the extent licensed or otherwise approved or not prohibited by the applicable authority imposing such Sanctions.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4"/>
          </w:cols>
          <w:pgMar w:left="436" w:top="490" w:right="459" w:bottom="1440" w:gutter="0" w:footer="0" w:header="0"/>
        </w:sectPr>
      </w:pPr>
    </w:p>
    <w:bookmarkStart w:id="156" w:name="page157"/>
    <w:bookmarkEnd w:id="156"/>
    <w:p>
      <w:pPr>
        <w:ind w:right="100" w:firstLine="436"/>
        <w:spacing w:after="0" w:line="263"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of the Borrower and its Subsidiaries has implemented and maintains in effect policies and procedures designed to ensure compliance by the Borrower and its Subsidiaries and their respective directors, officers, employees, agents and Affiliates with all Anti-Corruption Laws, Anti-Money Laundering Laws and applicable Sanctions.</w:t>
      </w:r>
    </w:p>
    <w:p>
      <w:pPr>
        <w:spacing w:after="0" w:line="75" w:lineRule="exact"/>
        <w:rPr>
          <w:rFonts w:ascii="Arial" w:cs="Arial" w:eastAsia="Arial" w:hAnsi="Arial"/>
          <w:sz w:val="18"/>
          <w:szCs w:val="18"/>
          <w:color w:val="auto"/>
        </w:rPr>
      </w:pPr>
    </w:p>
    <w:p>
      <w:pPr>
        <w:ind w:right="160" w:firstLine="436"/>
        <w:spacing w:after="0" w:line="263" w:lineRule="auto"/>
        <w:tabs>
          <w:tab w:leader="none" w:pos="68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of the Borrower and its Subsidiaries, each director, officer and to the knowledge of Borrower, each employee, agent and Affiliate of the Borrower and each such Subsidiary, is in compliance with all Anti-Corruption Laws, Anti-Money Laundering Laws and applicable Sanctions in all material respects.</w:t>
      </w:r>
    </w:p>
    <w:p>
      <w:pPr>
        <w:spacing w:after="0" w:line="75"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No proceeds of any Extension of Credit have been or will be used, directly or indirectly, by the Borrower, any of its Subsidiaries or any of its or their respective directors, officers, employees and agents in violation of </w:t>
      </w:r>
      <w:r>
        <w:rPr>
          <w:rFonts w:ascii="Arial" w:cs="Arial" w:eastAsia="Arial" w:hAnsi="Arial"/>
          <w:sz w:val="18"/>
          <w:szCs w:val="18"/>
          <w:u w:val="single" w:color="auto"/>
          <w:color w:val="auto"/>
        </w:rPr>
        <w:t>Section 9.16</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u w:val="single" w:color="auto"/>
          <w:color w:val="auto"/>
        </w:rPr>
        <w:t>Solvency</w:t>
      </w:r>
      <w:r>
        <w:rPr>
          <w:rFonts w:ascii="Arial" w:cs="Arial" w:eastAsia="Arial" w:hAnsi="Arial"/>
          <w:sz w:val="18"/>
          <w:szCs w:val="18"/>
          <w:color w:val="auto"/>
        </w:rPr>
        <w:t>. The Borrower and its Subsidiaries, on a Consolidated basis, are Solvent.</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SECTION 7.20 </w:t>
      </w:r>
      <w:r>
        <w:rPr>
          <w:rFonts w:ascii="Arial" w:cs="Arial" w:eastAsia="Arial" w:hAnsi="Arial"/>
          <w:sz w:val="16"/>
          <w:szCs w:val="16"/>
          <w:u w:val="single" w:color="auto"/>
          <w:color w:val="auto"/>
        </w:rPr>
        <w:t>Casualty, Etc</w:t>
      </w:r>
      <w:r>
        <w:rPr>
          <w:rFonts w:ascii="Arial" w:cs="Arial" w:eastAsia="Arial" w:hAnsi="Arial"/>
          <w:sz w:val="16"/>
          <w:szCs w:val="16"/>
          <w:color w:val="auto"/>
        </w:rPr>
        <w:t>. Neither the businesses nor the properties of any Credit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would reasonably be expected to have a Material Adverse Effect.</w:t>
      </w:r>
    </w:p>
    <w:p>
      <w:pPr>
        <w:spacing w:after="0" w:line="149"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SECTION 7.21 </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The provisions of the Collateral Documents are effective to create in favor of the Administrative Agent for the benefit of the Secured Parties a legal, valid and enforceable first priority Lien (subject to Permitted Liens) on all right, title and interest of the respective Credit Parties in the Collateral described therein. Except for filings completed prior to the Closing Date and as contemplated hereby and by the Collateral Documents, no filing or other action will be necessary to perfect or protect such Liens.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7.22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7" w:lineRule="auto"/>
        <w:tabs>
          <w:tab w:leader="none" w:pos="68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the best of the knowledge of the Borrower and the other Credit Parties that are party to a Material Contract, each Material Contract is in full force and effect in all material respects.</w:t>
      </w:r>
    </w:p>
    <w:p>
      <w:pPr>
        <w:spacing w:after="0" w:line="62"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Credit Party nor any of its Subsidiaries has, directly or indirectly, paid or delivered any material fee, commission or other sum of money or remuneration, however characterized, to any Governmental Authority or any other Person which in any manner is related to any Material Contract of any Credit Party or any of its Subsidiaries and which is illegal under any Applicable Law.</w:t>
      </w:r>
    </w:p>
    <w:p>
      <w:pPr>
        <w:spacing w:after="0" w:line="75" w:lineRule="exact"/>
        <w:rPr>
          <w:rFonts w:ascii="Arial" w:cs="Arial" w:eastAsia="Arial" w:hAnsi="Arial"/>
          <w:sz w:val="18"/>
          <w:szCs w:val="18"/>
          <w:color w:val="auto"/>
        </w:rPr>
      </w:pPr>
    </w:p>
    <w:p>
      <w:pPr>
        <w:ind w:right="20" w:firstLine="436"/>
        <w:spacing w:after="0" w:line="257" w:lineRule="auto"/>
        <w:tabs>
          <w:tab w:leader="none" w:pos="68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No termination for convenience, termination for default, notice of non-renewal, notice of material non-compliance or default, cure notice or show cause notice has been issued to any Credit Party or any Subsidiary of any Credit Party or any predecessor of any of the foregoing and remains unresolved and (ii) no Credit Party nor any of its Subsidiaries aware of any failure by such Person to comply with any term or provision of any Material Contract that would be the basis for a termination for default, notice of material non-compliance or default, cure notice or show cause notice, in each case, would reasonably be expected to have a Material Adverse Effect.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0"/>
          </w:cols>
          <w:pgMar w:left="440" w:top="490" w:right="479" w:bottom="1440" w:gutter="0" w:footer="0" w:header="0"/>
        </w:sectPr>
      </w:pPr>
    </w:p>
    <w:bookmarkStart w:id="157" w:name="page158"/>
    <w:bookmarkEnd w:id="157"/>
    <w:p>
      <w:pPr>
        <w:ind w:right="520" w:firstLine="436"/>
        <w:spacing w:after="0" w:line="263" w:lineRule="auto"/>
        <w:tabs>
          <w:tab w:leader="none" w:pos="695"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 material amount due to any Credit Party or any Subsidiary of any Credit Party or any predecessor of any of the foregoing has been withheld or set off by or on behalf of a Governmental Authority, or prime contractor or subcontractor (at any tier) in each case with respect to any Material Contract.</w:t>
      </w:r>
    </w:p>
    <w:p>
      <w:pPr>
        <w:spacing w:after="0" w:line="75" w:lineRule="exact"/>
        <w:rPr>
          <w:rFonts w:ascii="Arial" w:cs="Arial" w:eastAsia="Arial" w:hAnsi="Arial"/>
          <w:sz w:val="18"/>
          <w:szCs w:val="18"/>
          <w:color w:val="auto"/>
        </w:rPr>
      </w:pPr>
    </w:p>
    <w:p>
      <w:pPr>
        <w:ind w:right="40" w:firstLine="436"/>
        <w:spacing w:after="0" w:line="257" w:lineRule="auto"/>
        <w:tabs>
          <w:tab w:leader="none" w:pos="6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Credit Party nor any Subsidiary of any Credit Party nor any Related Parties of any of the foregoing (i) is under any administrative, civil or criminal investigation or indictment by any Governmental Authority, nor subject to any non-routine audit, whether pending, completed or threatened, relating to the performance or administration of any Material Contract by a Credit Party nor a Subsidiary of a Credit Party or (ii) has made, nor has been required to make, any disclosure to any Governmental Authority with respect to any material alleged irregularity, misstatement or omission under or relating to any Material Contract (or bid with respect thereto).</w:t>
      </w:r>
    </w:p>
    <w:p>
      <w:pPr>
        <w:spacing w:after="0" w:line="79" w:lineRule="exact"/>
        <w:rPr>
          <w:rFonts w:ascii="Arial" w:cs="Arial" w:eastAsia="Arial" w:hAnsi="Arial"/>
          <w:sz w:val="18"/>
          <w:szCs w:val="18"/>
          <w:color w:val="auto"/>
        </w:rPr>
      </w:pPr>
    </w:p>
    <w:p>
      <w:pPr>
        <w:ind w:left="660" w:hanging="224"/>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 respect to any Material Contract to which any Governmental Authority is a counterparty:</w:t>
      </w:r>
    </w:p>
    <w:p>
      <w:pPr>
        <w:spacing w:after="0" w:line="117" w:lineRule="exact"/>
        <w:rPr>
          <w:rFonts w:ascii="Arial" w:cs="Arial" w:eastAsia="Arial" w:hAnsi="Arial"/>
          <w:sz w:val="18"/>
          <w:szCs w:val="18"/>
          <w:color w:val="auto"/>
        </w:rPr>
      </w:pPr>
    </w:p>
    <w:p>
      <w:pPr>
        <w:ind w:left="440" w:right="20" w:firstLine="419"/>
        <w:spacing w:after="0" w:line="308" w:lineRule="auto"/>
        <w:tabs>
          <w:tab w:leader="none" w:pos="107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such Material Contract was legally awarded and no Credit Party nor any Subsidiary of any Credit Party has received any notice in writing that any Material Contract (or any bid in respect thereof) is the subject of any pending bid or award protest proceedings;</w:t>
      </w:r>
    </w:p>
    <w:p>
      <w:pPr>
        <w:spacing w:after="0" w:line="38" w:lineRule="exact"/>
        <w:rPr>
          <w:rFonts w:ascii="Arial" w:cs="Arial" w:eastAsia="Arial" w:hAnsi="Arial"/>
          <w:sz w:val="17"/>
          <w:szCs w:val="17"/>
          <w:color w:val="auto"/>
        </w:rPr>
      </w:pPr>
    </w:p>
    <w:p>
      <w:pPr>
        <w:ind w:left="440" w:firstLine="419"/>
        <w:spacing w:after="0" w:line="270" w:lineRule="auto"/>
        <w:tabs>
          <w:tab w:leader="none" w:pos="112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each Credit Party and each Subsidiary is in material compliance with all applicable statutory and regulatory requirements pertaining to each of its Material Contracts and bids related thereto, including to the extent applicable, (a) the Procurement Integrity Act (41 U.S.C. §§ 2101-2107) and its implementing regulations including Federal Acquisition Regulation 3.104; (b) the Anti-Kickback Act (41 U.S.C. §§ 8701-8707) and implementing regulations including the associated regulations set forth in Federal Acquisition Regulation 3.502; (c) the Federal Health Care Anti-Kickback Statute, 42 U.S.C. § 1320a-7b(b); (d) the prohibitions on bribery and gratuities set forth in 18 U.S.C. § 201 and the associated regulations at Federal Acquisition Regulation Subpart 3.2 and Federal Acquisition Regulation 52.203-3; (e) the Truth in Negotiations Act, 41 U.S.C. §§ 3501-3509; (f) the independent pricing requirements at Federal Acquisition Regulation 3.103; and (g) the limitations on the payments of funds to influence federal transactions, as set forth in 31 U.S.C. § 1352 and the associated regulations at Federal Acquisition Regulation Subpart 3.8 and Federal Acquisition Regulation 52.203-11; and</w:t>
      </w:r>
    </w:p>
    <w:p>
      <w:pPr>
        <w:spacing w:after="0" w:line="72" w:lineRule="exact"/>
        <w:rPr>
          <w:rFonts w:ascii="Arial" w:cs="Arial" w:eastAsia="Arial" w:hAnsi="Arial"/>
          <w:sz w:val="17"/>
          <w:szCs w:val="17"/>
          <w:color w:val="auto"/>
        </w:rPr>
      </w:pPr>
    </w:p>
    <w:p>
      <w:pPr>
        <w:ind w:left="1180" w:hanging="321"/>
        <w:spacing w:after="0"/>
        <w:tabs>
          <w:tab w:leader="none" w:pos="118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no Credit Party nor any Subsidiary of any Credit Party has made any mandatory disclosure under Federal Acquisition Regulation</w:t>
      </w:r>
    </w:p>
    <w:p>
      <w:pPr>
        <w:spacing w:after="0" w:line="35" w:lineRule="exact"/>
        <w:rPr>
          <w:sz w:val="20"/>
          <w:szCs w:val="20"/>
          <w:color w:val="auto"/>
        </w:rPr>
      </w:pPr>
    </w:p>
    <w:p>
      <w:pPr>
        <w:ind w:left="440" w:right="220"/>
        <w:spacing w:after="0" w:line="277" w:lineRule="auto"/>
        <w:rPr>
          <w:sz w:val="20"/>
          <w:szCs w:val="20"/>
          <w:color w:val="auto"/>
        </w:rPr>
      </w:pPr>
      <w:r>
        <w:rPr>
          <w:rFonts w:ascii="Arial" w:cs="Arial" w:eastAsia="Arial" w:hAnsi="Arial"/>
          <w:sz w:val="17"/>
          <w:szCs w:val="17"/>
          <w:color w:val="auto"/>
        </w:rPr>
        <w:t>52.203-13(b)(3)(i) or any voluntary disclosure to any Governmental Authority with respect to any alleged unlawful conduct, misstatement, significant overpayment under a Material Contract, or omission arising under or related to any Material Contract (or bid in respect thereof), and there are no facts that would require mandatory disclosure under Federal Acquisition Regulation 52.203-13(b)(3)(i).</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Until all of the Obligations (other than contingent indemnification obligations not then due) have been paid and satisfied in full in cash, all Letters of Credit have been terminated or expired (or been Cash Collateralized) and the Revolving Credit Commitments terminated, each Credit Party will, and will cause each of its Subsidiaries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490" w:right="459" w:bottom="1440" w:gutter="0" w:footer="0" w:header="0"/>
        </w:sectPr>
      </w:pPr>
    </w:p>
    <w:bookmarkStart w:id="158" w:name="page159"/>
    <w:bookmarkEnd w:id="158"/>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8.1 </w:t>
      </w:r>
      <w:r>
        <w:rPr>
          <w:rFonts w:ascii="Arial" w:cs="Arial" w:eastAsia="Arial" w:hAnsi="Arial"/>
          <w:sz w:val="17"/>
          <w:szCs w:val="17"/>
          <w:u w:val="single" w:color="auto"/>
          <w:color w:val="auto"/>
        </w:rPr>
        <w:t>Financial Statements and Budgets</w:t>
      </w:r>
      <w:r>
        <w:rPr>
          <w:rFonts w:ascii="Arial" w:cs="Arial" w:eastAsia="Arial" w:hAnsi="Arial"/>
          <w:sz w:val="17"/>
          <w:szCs w:val="17"/>
          <w:color w:val="auto"/>
        </w:rPr>
        <w:t>. Deliver to the Administrative Agent, in form and detail reasonably satisfactory to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 (which shall promptly make such information available to the Lenders in accordance with its customary practice):</w:t>
      </w:r>
    </w:p>
    <w:p>
      <w:pPr>
        <w:spacing w:after="0" w:line="103" w:lineRule="exact"/>
        <w:rPr>
          <w:sz w:val="20"/>
          <w:szCs w:val="20"/>
          <w:color w:val="auto"/>
        </w:rPr>
      </w:pPr>
    </w:p>
    <w:p>
      <w:pPr>
        <w:ind w:left="4" w:right="120" w:firstLine="436"/>
        <w:spacing w:after="0" w:line="272" w:lineRule="auto"/>
        <w:tabs>
          <w:tab w:leader="none" w:pos="679"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but in any event within ninety (90) days after the end of each fiscal year of the Borrower (commencing with the fiscal year ended December 31, 2018),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of an independent certified public accountant of nationally recognized standing, which report shall be prepared in accordance with generally accepted auditing standards and shall not be subject to any “going concern” or like qualification or exception or any qualification or exception as to the scope of such audit.</w:t>
      </w:r>
    </w:p>
    <w:p>
      <w:pPr>
        <w:spacing w:after="0" w:line="69" w:lineRule="exact"/>
        <w:rPr>
          <w:rFonts w:ascii="Arial" w:cs="Arial" w:eastAsia="Arial" w:hAnsi="Arial"/>
          <w:sz w:val="17"/>
          <w:szCs w:val="17"/>
          <w:color w:val="auto"/>
        </w:rPr>
      </w:pPr>
    </w:p>
    <w:p>
      <w:pPr>
        <w:ind w:left="704" w:hanging="264"/>
        <w:spacing w:after="0"/>
        <w:tabs>
          <w:tab w:leader="none" w:pos="704"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but in any event within forty-five (45) days after the end of each of the first three</w:t>
      </w:r>
    </w:p>
    <w:p>
      <w:pPr>
        <w:spacing w:after="0" w:line="34" w:lineRule="exact"/>
        <w:rPr>
          <w:rFonts w:ascii="Arial" w:cs="Arial" w:eastAsia="Arial" w:hAnsi="Arial"/>
          <w:sz w:val="17"/>
          <w:szCs w:val="17"/>
          <w:color w:val="auto"/>
        </w:rPr>
      </w:pPr>
    </w:p>
    <w:p>
      <w:pPr>
        <w:ind w:left="4" w:hanging="4"/>
        <w:spacing w:after="0" w:line="288" w:lineRule="auto"/>
        <w:tabs>
          <w:tab w:leader="none" w:pos="25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fiscal quarters of each fiscal year of the Borrower (commencing with the fiscal quarter ended March 31, 2019), a consolidated balance sheet of the Borrower and its Subsidiaries as at the end of such fiscal quarter, the related consolidated statements of income or operations for such fiscal quarter or for the portion of the Borrower’s fiscal year then ended, and the related consolidated statements of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assistant treasurer or controller of the Borrower as fairly presenting the financial condition, results of operations, and cash flows of the Borrower and its Subsidiaries, on a Consolidated basis, in accordance with GAAP, subject only to normal year-end audit adjustments and the absence of footnotes.</w:t>
      </w:r>
    </w:p>
    <w:p>
      <w:pPr>
        <w:spacing w:after="0" w:line="60" w:lineRule="exact"/>
        <w:rPr>
          <w:rFonts w:ascii="Arial" w:cs="Arial" w:eastAsia="Arial" w:hAnsi="Arial"/>
          <w:sz w:val="16"/>
          <w:szCs w:val="16"/>
          <w:color w:val="auto"/>
        </w:rPr>
      </w:pPr>
    </w:p>
    <w:p>
      <w:pPr>
        <w:ind w:left="4" w:right="160" w:firstLine="436"/>
        <w:spacing w:after="0" w:line="263" w:lineRule="auto"/>
        <w:tabs>
          <w:tab w:leader="none" w:pos="679"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Annual Business Plan and Budget</w:t>
      </w:r>
      <w:r>
        <w:rPr>
          <w:rFonts w:ascii="Arial" w:cs="Arial" w:eastAsia="Arial" w:hAnsi="Arial"/>
          <w:sz w:val="18"/>
          <w:szCs w:val="18"/>
          <w:color w:val="auto"/>
        </w:rPr>
        <w:t>. As soon as available, but in any event within forty-five (45) days after the beginning of each fiscal year of the Borrower, an annual business plan and budget of the Borrower and its Subsidiaries on a consolidated basis for such fiscal year prepared by management, in form reasonably satisfactory to the Administrative Agent.</w:t>
      </w:r>
    </w:p>
    <w:p>
      <w:pPr>
        <w:spacing w:after="0" w:line="75" w:lineRule="exact"/>
        <w:rPr>
          <w:rFonts w:ascii="Arial" w:cs="Arial" w:eastAsia="Arial" w:hAnsi="Arial"/>
          <w:sz w:val="18"/>
          <w:szCs w:val="18"/>
          <w:color w:val="auto"/>
        </w:rPr>
      </w:pPr>
    </w:p>
    <w:p>
      <w:pPr>
        <w:ind w:left="4" w:right="40" w:firstLine="436"/>
        <w:spacing w:after="0" w:line="271" w:lineRule="auto"/>
        <w:tabs>
          <w:tab w:leader="none" w:pos="689"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Additional Financial Statements</w:t>
      </w:r>
      <w:r>
        <w:rPr>
          <w:rFonts w:ascii="Arial" w:cs="Arial" w:eastAsia="Arial" w:hAnsi="Arial"/>
          <w:sz w:val="17"/>
          <w:szCs w:val="17"/>
          <w:color w:val="auto"/>
        </w:rPr>
        <w:t>. As soon as available, but in any event within forty-five (45) days after the end of the fiscal quarter ended September 30, 2018, a consolidated balance sheet of the Borrower and its Subsidiaries as at the end of such fiscal quarter, the related consolidated statements of income or operations for such fiscal quarter or for the portion of the Borrower’s fiscal year then ended, and the related consolidated statements of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assistant treasurer or controller of the Borrower as fairly presenting the financial condition, results of operations, and cash flows of the Borrower and its Subsidiaries, on a Consolidated basis, in accordance with GAAP, subject only to normal year-end audit adjustments and the absence of footnotes.</w:t>
      </w:r>
    </w:p>
    <w:p>
      <w:pPr>
        <w:spacing w:after="0" w:line="70" w:lineRule="exact"/>
        <w:rPr>
          <w:rFonts w:ascii="Arial" w:cs="Arial" w:eastAsia="Arial" w:hAnsi="Arial"/>
          <w:sz w:val="17"/>
          <w:szCs w:val="17"/>
          <w:color w:val="auto"/>
        </w:rPr>
      </w:pPr>
    </w:p>
    <w:p>
      <w:pPr>
        <w:jc w:val="both"/>
        <w:ind w:left="4" w:right="240" w:firstLine="436"/>
        <w:spacing w:after="0" w:line="257" w:lineRule="auto"/>
        <w:tabs>
          <w:tab w:leader="none" w:pos="689" w:val="left"/>
        </w:tabs>
        <w:numPr>
          <w:ilvl w:val="1"/>
          <w:numId w:val="18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Monthly Financial Statements. Within thirty (30) days after the end of each of the first two (2) calendar months of each fiscal quarter of the Borrower, a consolidated balance sheet of the Borrower and its Subsidiaries as at the end of such month, </w:t>
      </w:r>
      <w:r>
        <w:rPr>
          <w:rFonts w:ascii="Arial" w:cs="Arial" w:eastAsia="Arial" w:hAnsi="Arial"/>
          <w:sz w:val="18"/>
          <w:szCs w:val="18"/>
          <w:u w:val="single" w:color="auto"/>
          <w:color w:val="008000"/>
        </w:rPr>
        <w:t>related consolidated statements of income</w:t>
      </w:r>
      <w:r>
        <w:rPr>
          <w:rFonts w:ascii="Arial" w:cs="Arial" w:eastAsia="Arial" w:hAnsi="Arial"/>
          <w:sz w:val="18"/>
          <w:szCs w:val="18"/>
          <w:u w:val="single" w:color="auto"/>
          <w:color w:val="0000FF"/>
        </w:rPr>
        <w:t xml:space="preserve"> or operations, and the related consolidated statements of cash flows, and, commencing with the financial statements delivered with respect to the month ending on May 31, 2024, in each case setting forth in comparative form, as applicable, the figures for the corresponding month of the previous fiscal year.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4"/>
          </w:cols>
          <w:pgMar w:left="436" w:top="490" w:right="459" w:bottom="1440" w:gutter="0" w:footer="0" w:header="0"/>
        </w:sectPr>
      </w:pPr>
    </w:p>
    <w:bookmarkStart w:id="159" w:name="page160"/>
    <w:bookmarkEnd w:id="159"/>
    <w:p>
      <w:pPr>
        <w:ind w:right="60" w:firstLine="436"/>
        <w:spacing w:after="0" w:line="259" w:lineRule="auto"/>
        <w:tabs>
          <w:tab w:leader="none" w:pos="665" w:val="left"/>
        </w:tabs>
        <w:numPr>
          <w:ilvl w:val="0"/>
          <w:numId w:val="18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Cash Flow Projections. On the last Business Day of each calendar month, a thirteen-week cash flow projection of the Borrower and its Subsidiaries substantially in the same form delivered in connection with the closing of the Fourth Amendment; provided that, to the extent the TSA is in effect, cash on deposit in accounts held in connection with collecting accounts receivable and processing accounts payable pursuant to the Project Emerald Transaction shall be excluded from such thirteen-week cash flow projection.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Certificates; Other Reports</w:t>
      </w:r>
      <w:r>
        <w:rPr>
          <w:rFonts w:ascii="Arial" w:cs="Arial" w:eastAsia="Arial" w:hAnsi="Arial"/>
          <w:sz w:val="17"/>
          <w:szCs w:val="17"/>
          <w:color w:val="auto"/>
        </w:rPr>
        <w:t>. Deliver to the Administrative Agent (which shall promptly make such information available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 in accordance with its customary practice):</w:t>
      </w:r>
    </w:p>
    <w:p>
      <w:pPr>
        <w:spacing w:after="0" w:line="103" w:lineRule="exact"/>
        <w:rPr>
          <w:sz w:val="20"/>
          <w:szCs w:val="20"/>
          <w:color w:val="auto"/>
        </w:rPr>
      </w:pPr>
    </w:p>
    <w:p>
      <w:pPr>
        <w:ind w:right="20" w:firstLine="436"/>
        <w:spacing w:after="0" w:line="288" w:lineRule="auto"/>
        <w:tabs>
          <w:tab w:leader="none" w:pos="6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8.1(a)</w:t>
      </w:r>
      <w:r>
        <w:rPr>
          <w:rFonts w:ascii="Arial" w:cs="Arial" w:eastAsia="Arial" w:hAnsi="Arial"/>
          <w:sz w:val="16"/>
          <w:szCs w:val="16"/>
          <w:color w:val="auto"/>
        </w:rPr>
        <w:t xml:space="preserve">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(b</w:t>
      </w:r>
      <w:r>
        <w:rPr>
          <w:rFonts w:ascii="Arial" w:cs="Arial" w:eastAsia="Arial" w:hAnsi="Arial"/>
          <w:sz w:val="16"/>
          <w:szCs w:val="16"/>
          <w:u w:val="single" w:color="auto"/>
          <w:color w:val="0000FF"/>
        </w:rPr>
        <w:t>) and (e</w:t>
      </w:r>
      <w:r>
        <w:rPr>
          <w:rFonts w:ascii="Arial" w:cs="Arial" w:eastAsia="Arial" w:hAnsi="Arial"/>
          <w:sz w:val="16"/>
          <w:szCs w:val="16"/>
          <w:u w:val="single" w:color="auto"/>
          <w:color w:val="auto"/>
        </w:rPr>
        <w:t>)</w:t>
      </w:r>
      <w:r>
        <w:rPr>
          <w:rFonts w:ascii="Arial" w:cs="Arial" w:eastAsia="Arial" w:hAnsi="Arial"/>
          <w:sz w:val="16"/>
          <w:szCs w:val="16"/>
          <w:color w:val="auto"/>
        </w:rPr>
        <w:t xml:space="preserve">, a duly completed Compliance Certificate signed by the chief executive officer, chief financial officer, treasurer, assistant treasurer or controller of the Borrower (which delivery may, unless the Administrative Agent or a Lender requests executed originals, be by electronic communication including fax or email and shall be deemed to be an original authentic counterpart thereof for all purposes thereof), that, among other things, (i) states that no Default or Event of Default is continuing as of the date of delivery of such Compliance Certificate or, if a Default or Event of Default is continuing, states the nature thereof and the action that the Borrower proposes to take with respect thereto, (ii) demonstrates compliance with the financial covenants set forth in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as of the last day of the applicable Measurement Period ending on the last day of the Measurement Period covered by such financial statements, (iii) demonstrates the calculation of Immaterial Subsidiaries and compliance with </w:t>
      </w:r>
      <w:r>
        <w:rPr>
          <w:rFonts w:ascii="Arial" w:cs="Arial" w:eastAsia="Arial" w:hAnsi="Arial"/>
          <w:sz w:val="16"/>
          <w:szCs w:val="16"/>
          <w:u w:val="single" w:color="auto"/>
          <w:color w:val="auto"/>
        </w:rPr>
        <w:t>Section 8.12(b)</w:t>
      </w:r>
      <w:r>
        <w:rPr>
          <w:rFonts w:ascii="Arial" w:cs="Arial" w:eastAsia="Arial" w:hAnsi="Arial"/>
          <w:sz w:val="16"/>
          <w:szCs w:val="16"/>
          <w:color w:val="auto"/>
        </w:rPr>
        <w:t xml:space="preserve"> and (iv) in the event of any change in generally accepted accounting principles used in the preparation of such financial statements, the Borrower shall also provide, if necessary for the determination of compliance with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a statement of reconciliation conforming such financial statements to GAAP to the extent required by </w:t>
      </w:r>
      <w:r>
        <w:rPr>
          <w:rFonts w:ascii="Arial" w:cs="Arial" w:eastAsia="Arial" w:hAnsi="Arial"/>
          <w:sz w:val="16"/>
          <w:szCs w:val="16"/>
          <w:u w:val="single" w:color="auto"/>
          <w:color w:val="auto"/>
        </w:rPr>
        <w:t>Section 1.3(b)</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right="40" w:firstLine="436"/>
        <w:spacing w:after="0" w:line="263" w:lineRule="auto"/>
        <w:tabs>
          <w:tab w:leader="none" w:pos="6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final management letters submitted to the board of directors (or the audit committee of the board of directors) of any Credit Party by independent accountants in connection with the accounts or books of any Credit Party or any of its Subsidiaries, or any audit of any of them;</w:t>
      </w:r>
    </w:p>
    <w:p>
      <w:pPr>
        <w:spacing w:after="0" w:line="75" w:lineRule="exact"/>
        <w:rPr>
          <w:rFonts w:ascii="Arial" w:cs="Arial" w:eastAsia="Arial" w:hAnsi="Arial"/>
          <w:sz w:val="18"/>
          <w:szCs w:val="18"/>
          <w:color w:val="auto"/>
        </w:rPr>
      </w:pPr>
    </w:p>
    <w:p>
      <w:pPr>
        <w:jc w:val="both"/>
        <w:ind w:firstLine="436"/>
        <w:spacing w:after="0" w:line="301" w:lineRule="auto"/>
        <w:tabs>
          <w:tab w:leader="none" w:pos="6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promptly after the same are available, copies of each annual report, proxy or financial statement or other material report or communication sent to the stockholders of the Borrower, and copies of all annual, regular, periodic and special reports and registration statements (other than amendments to any registration statement (to the extent such registration statement, in the form it becomes effective, is delivered to the Administrative Agent)) which the Borrower may file or be required to file with the SEC under Section 13 or 15(d) of the Securities Exchange Act of 1934;</w:t>
      </w:r>
    </w:p>
    <w:p>
      <w:pPr>
        <w:spacing w:after="0" w:line="49" w:lineRule="exact"/>
        <w:rPr>
          <w:rFonts w:ascii="Arial" w:cs="Arial" w:eastAsia="Arial" w:hAnsi="Arial"/>
          <w:sz w:val="16"/>
          <w:szCs w:val="16"/>
          <w:color w:val="auto"/>
        </w:rPr>
      </w:pPr>
    </w:p>
    <w:p>
      <w:pPr>
        <w:ind w:right="260" w:firstLine="436"/>
        <w:spacing w:after="0" w:line="286" w:lineRule="auto"/>
        <w:tabs>
          <w:tab w:leader="none" w:pos="69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promptly after the furnishing thereof, copies of any statement or report furnished to any holder of publicly-issued debt securities (other than the Obligations) of any Credit Party or any Subsidiary thereof pursuant to the terms of any indenture, loan or credit or similar agreement and not otherwise required to be furnished to the Administrative Agent pursuant to any other clause of this </w:t>
      </w:r>
      <w:r>
        <w:rPr>
          <w:rFonts w:ascii="Arial" w:cs="Arial" w:eastAsia="Arial" w:hAnsi="Arial"/>
          <w:sz w:val="17"/>
          <w:szCs w:val="17"/>
          <w:u w:val="single" w:color="auto"/>
          <w:color w:val="auto"/>
        </w:rPr>
        <w:t>Section 8.2</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140" w:firstLine="436"/>
        <w:spacing w:after="0" w:line="286" w:lineRule="auto"/>
        <w:tabs>
          <w:tab w:leader="none" w:pos="68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as soon as available, but in any event within sixty (60) days after the end of each fiscal year of the Borrower, a report summarizing the insurance coverage (specifying type, amount and carrier) in effect for each Credit Party and its Subsidiaries and containing such additional information as the Administrative Agent, or any Lender through the Administrative Agent, may reasonably specify;</w:t>
      </w:r>
    </w:p>
    <w:p>
      <w:pPr>
        <w:spacing w:after="0" w:line="57" w:lineRule="exact"/>
        <w:rPr>
          <w:rFonts w:ascii="Arial" w:cs="Arial" w:eastAsia="Arial" w:hAnsi="Arial"/>
          <w:sz w:val="17"/>
          <w:szCs w:val="17"/>
          <w:color w:val="auto"/>
        </w:rPr>
      </w:pPr>
    </w:p>
    <w:p>
      <w:pPr>
        <w:ind w:right="40" w:firstLine="436"/>
        <w:spacing w:after="0" w:line="311" w:lineRule="auto"/>
        <w:tabs>
          <w:tab w:leader="none" w:pos="66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promptly, and in any event within five (5) Business Days after receipt thereof by any Credit Party or any Subsidiary thereof, copies each notice of a non-routine nature received from the SEC (or comparable agency in any applicable non-U.S. jurisdiction) concerning any investigation or possible investigation or other inquiry by such agency regarding financial or other operational results of any Credit Party or any Subsidiary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-3881755</wp:posOffset>
            </wp:positionV>
            <wp:extent cx="19367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-3830320</wp:posOffset>
            </wp:positionV>
            <wp:extent cx="1238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490" w:right="459" w:bottom="1440" w:gutter="0" w:footer="0" w:header="0"/>
        </w:sectPr>
      </w:pPr>
    </w:p>
    <w:bookmarkStart w:id="160" w:name="page161"/>
    <w:bookmarkEnd w:id="160"/>
    <w:p>
      <w:pPr>
        <w:ind w:right="180" w:firstLine="436"/>
        <w:spacing w:after="0" w:line="342" w:lineRule="auto"/>
        <w:tabs>
          <w:tab w:leader="none" w:pos="695" w:val="left"/>
        </w:tabs>
        <w:numPr>
          <w:ilvl w:val="0"/>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promptly after the assertion or occurrence thereof, notice of any action or proceeding against or of any noncompliance by any Credit Party or any of its Subsidiaries with any Environmental Law or Environmental Permit that would reasonably be expected to have a Material Adverse Effect;</w:t>
      </w:r>
    </w:p>
    <w:p>
      <w:pPr>
        <w:spacing w:after="0" w:line="15" w:lineRule="exact"/>
        <w:rPr>
          <w:rFonts w:ascii="Arial" w:cs="Arial" w:eastAsia="Arial" w:hAnsi="Arial"/>
          <w:sz w:val="16"/>
          <w:szCs w:val="16"/>
          <w:color w:val="auto"/>
        </w:rPr>
      </w:pPr>
    </w:p>
    <w:p>
      <w:pPr>
        <w:ind w:right="580" w:firstLine="436"/>
        <w:spacing w:after="0" w:line="277" w:lineRule="auto"/>
        <w:tabs>
          <w:tab w:leader="none" w:pos="69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promptly after occurrence thereof or after the Borrower or applicable Subsidiary’s receipt thereof, as applicable, copies of any notice of default, notice of termination or termination, non-routine audit or investigation under any Material Contract;</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FF0000"/>
          <w:strike w:val="1"/>
        </w:rPr>
        <w:t>R</w:t>
      </w:r>
      <w:r>
        <w:rPr>
          <w:rFonts w:ascii="Arial" w:cs="Arial" w:eastAsia="Arial" w:hAnsi="Arial"/>
          <w:sz w:val="18"/>
          <w:szCs w:val="18"/>
          <w:u w:val="single" w:color="auto"/>
          <w:color w:val="0000FF"/>
        </w:rPr>
        <w:t>r</w:t>
      </w:r>
      <w:r>
        <w:rPr>
          <w:rFonts w:ascii="Arial" w:cs="Arial" w:eastAsia="Arial" w:hAnsi="Arial"/>
          <w:sz w:val="18"/>
          <w:szCs w:val="18"/>
          <w:color w:val="auto"/>
        </w:rPr>
        <w:t>eserved];</w:t>
      </w:r>
    </w:p>
    <w:p>
      <w:pPr>
        <w:spacing w:after="0" w:line="117" w:lineRule="exact"/>
        <w:rPr>
          <w:rFonts w:ascii="Arial" w:cs="Arial" w:eastAsia="Arial" w:hAnsi="Arial"/>
          <w:sz w:val="18"/>
          <w:szCs w:val="18"/>
          <w:color w:val="auto"/>
        </w:rPr>
      </w:pPr>
    </w:p>
    <w:p>
      <w:pPr>
        <w:ind w:right="660" w:firstLine="436"/>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promptly after occurrence thereof, copies of any material amendment or material modification to the Borrower’s Investment Policy (as determined by the Borrower in good faith);</w:t>
      </w:r>
    </w:p>
    <w:p>
      <w:pPr>
        <w:spacing w:after="0" w:line="62" w:lineRule="exact"/>
        <w:rPr>
          <w:rFonts w:ascii="Arial" w:cs="Arial" w:eastAsia="Arial" w:hAnsi="Arial"/>
          <w:sz w:val="18"/>
          <w:szCs w:val="18"/>
          <w:color w:val="auto"/>
        </w:rPr>
      </w:pPr>
    </w:p>
    <w:p>
      <w:pPr>
        <w:ind w:right="120" w:firstLine="436"/>
        <w:spacing w:after="0" w:line="290" w:lineRule="auto"/>
        <w:tabs>
          <w:tab w:leader="none" w:pos="69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sixty (60) days after the end of each fiscal year of the Borrower, (i) a report supplementing </w:t>
      </w:r>
      <w:r>
        <w:rPr>
          <w:rFonts w:ascii="Arial" w:cs="Arial" w:eastAsia="Arial" w:hAnsi="Arial"/>
          <w:sz w:val="16"/>
          <w:szCs w:val="16"/>
          <w:u w:val="single" w:color="auto"/>
          <w:color w:val="auto"/>
        </w:rPr>
        <w:t>Schedules 7.8(c)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7.8(d)</w:t>
      </w:r>
      <w:r>
        <w:rPr>
          <w:rFonts w:ascii="Arial" w:cs="Arial" w:eastAsia="Arial" w:hAnsi="Arial"/>
          <w:sz w:val="16"/>
          <w:szCs w:val="16"/>
          <w:color w:val="auto"/>
        </w:rPr>
        <w:t xml:space="preserve">, including an identification of all owned and leased real property disposed of by any Credit Party or any Subsidiary thereof during such fiscal year, a list and description (including the street address, county or other relevant jurisdiction, state, record owner and, in the case of leases of property, lessor, lessee, and lease expiration date) of all real property acquired or leased during such fiscal year and a description of such other changes in the information included in such Schedules as may be necessary for such Schedules to be accurate and complete as of the last day of the applicable fiscal year; and (ii) a report supplementing </w:t>
      </w:r>
      <w:r>
        <w:rPr>
          <w:rFonts w:ascii="Arial" w:cs="Arial" w:eastAsia="Arial" w:hAnsi="Arial"/>
          <w:sz w:val="16"/>
          <w:szCs w:val="16"/>
          <w:u w:val="single" w:color="auto"/>
          <w:color w:val="auto"/>
        </w:rPr>
        <w:t>Schedule 7.13</w:t>
      </w:r>
      <w:r>
        <w:rPr>
          <w:rFonts w:ascii="Arial" w:cs="Arial" w:eastAsia="Arial" w:hAnsi="Arial"/>
          <w:sz w:val="16"/>
          <w:szCs w:val="16"/>
          <w:color w:val="auto"/>
        </w:rPr>
        <w:t xml:space="preserve"> containing a description of all changes in the information included in such Schedules as may be necessary for such Schedules to be accurate and complete as of the date the last day of the applicable fiscal year, each such report to be signed by a Responsible Officer of the Borrower and to be in a form reasonably satisfactory to the Administrative Agent;</w:t>
      </w:r>
    </w:p>
    <w:p>
      <w:pPr>
        <w:spacing w:after="0" w:line="57" w:lineRule="exact"/>
        <w:rPr>
          <w:rFonts w:ascii="Arial" w:cs="Arial" w:eastAsia="Arial" w:hAnsi="Arial"/>
          <w:sz w:val="16"/>
          <w:szCs w:val="16"/>
          <w:color w:val="auto"/>
        </w:rPr>
      </w:pPr>
    </w:p>
    <w:p>
      <w:pPr>
        <w:ind w:right="260" w:firstLine="436"/>
        <w:spacing w:after="0" w:line="263"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promptly upon the request thereof, such other information and documentation required by bank regulatory authorities under applicable Anti-Money Laundering Laws (including, without limitation, any applicable “know your customer” rules and regulations and the PATRIOT Act), as from time to time reasonably requested by the Administrative Agent or any Lender; and</w:t>
      </w:r>
    </w:p>
    <w:p>
      <w:pPr>
        <w:spacing w:after="0" w:line="75" w:lineRule="exact"/>
        <w:rPr>
          <w:rFonts w:ascii="Arial" w:cs="Arial" w:eastAsia="Arial" w:hAnsi="Arial"/>
          <w:sz w:val="18"/>
          <w:szCs w:val="18"/>
          <w:color w:val="auto"/>
        </w:rPr>
      </w:pPr>
    </w:p>
    <w:p>
      <w:pPr>
        <w:ind w:right="340" w:firstLine="436"/>
        <w:spacing w:after="0" w:line="342" w:lineRule="auto"/>
        <w:tabs>
          <w:tab w:leader="none" w:pos="74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promptly, such additional information regarding the business, financial, legal or corporate affairs of any Credit Party or any Subsidiary thereof, or compliance with the terms of the Loan Documents, as the Administrative Agent or any Lender may from time to time reasonably request.</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in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Notwithstanding anything to the contrary herein, any financial statements, annual reports, proxy statements, documents or other information required to be delivered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shall be satisfied if such financial statements, annual reports, proxy statements, documents or other information are made publicly available on the SEC’s EDGAR website and shall be deemed to have been delivered on the date of filing on the SEC’s EDGAR website. The Administrative Agent shall have no obligation to request the delivery or, except for such Compliance Certificates,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440" w:top="490" w:right="439" w:bottom="1440" w:gutter="0" w:footer="0" w:header="0"/>
        </w:sectPr>
      </w:pPr>
    </w:p>
    <w:bookmarkStart w:id="161" w:name="page162"/>
    <w:bookmarkEnd w:id="16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Borrower hereby acknowledges that (a) the Administrative Agent and/or the Arranger will make available to the Lenders and the Issuing Lenders materials and/or information provided by or on behalf of the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the Platform and (b) certain of the Lenders may be “public-side” Lenders (</w:t>
      </w:r>
      <w:r>
        <w:rPr>
          <w:rFonts w:ascii="Arial" w:cs="Arial" w:eastAsia="Arial" w:hAnsi="Arial"/>
          <w:sz w:val="17"/>
          <w:szCs w:val="17"/>
          <w:u w:val="single" w:color="auto"/>
          <w:color w:val="auto"/>
        </w:rPr>
        <w:t>i.e.</w:t>
      </w:r>
      <w:r>
        <w:rPr>
          <w:rFonts w:ascii="Arial" w:cs="Arial" w:eastAsia="Arial" w:hAnsi="Arial"/>
          <w:sz w:val="17"/>
          <w:szCs w:val="17"/>
          <w:color w:val="auto"/>
        </w:rPr>
        <w:t>, Lenders that do not wish to receive material non-public information with respect to the Borrower or its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 shall be deemed to have authorized the Administrative Agent, the Arranger, the Issuing Lenders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12.10</w:t>
      </w:r>
      <w:r>
        <w:rPr>
          <w:rFonts w:ascii="Arial" w:cs="Arial" w:eastAsia="Arial" w:hAnsi="Arial"/>
          <w:sz w:val="17"/>
          <w:szCs w:val="17"/>
          <w:color w:val="auto"/>
        </w:rPr>
        <w:t>);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 Notwithstanding the foregoing, the Borrower shall be under no obligation to mark any Borrower Materials “PUBLIC”.</w:t>
      </w:r>
    </w:p>
    <w:p>
      <w:pPr>
        <w:spacing w:after="0" w:line="184"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Notice of Litigation and Other Matters</w:t>
      </w:r>
      <w:r>
        <w:rPr>
          <w:rFonts w:ascii="Arial" w:cs="Arial" w:eastAsia="Arial" w:hAnsi="Arial"/>
          <w:sz w:val="18"/>
          <w:szCs w:val="18"/>
          <w:color w:val="auto"/>
        </w:rPr>
        <w:t>. Promptly (but in no event later than ten (10) days after any Responsible Officer of any Credit Party obtains knowledge thereof) notify the Administrative Agent in writing of (which shall promptly make such information available to the Lenders in accordance with its customary practice):</w:t>
      </w:r>
    </w:p>
    <w:p>
      <w:pPr>
        <w:spacing w:after="0" w:line="76" w:lineRule="exact"/>
        <w:rPr>
          <w:sz w:val="20"/>
          <w:szCs w:val="20"/>
          <w:color w:val="auto"/>
        </w:rPr>
      </w:pPr>
    </w:p>
    <w:p>
      <w:pPr>
        <w:ind w:left="680" w:hanging="244"/>
        <w:spacing w:after="0"/>
        <w:tabs>
          <w:tab w:leader="none" w:pos="6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117" w:lineRule="exact"/>
        <w:rPr>
          <w:rFonts w:ascii="Arial" w:cs="Arial" w:eastAsia="Arial" w:hAnsi="Arial"/>
          <w:sz w:val="18"/>
          <w:szCs w:val="18"/>
          <w:color w:val="auto"/>
        </w:rPr>
      </w:pPr>
    </w:p>
    <w:p>
      <w:pPr>
        <w:ind w:right="20" w:firstLine="436"/>
        <w:spacing w:after="0" w:line="255" w:lineRule="auto"/>
        <w:tabs>
          <w:tab w:leader="none" w:pos="69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any dispute, litigation, investigation, proceeding or suspension between the Borrower or any Subsidiary and any Governmental Authority that has resulted or would reasonably be expected to result in a Material Adverse Effect, (ii) any other matter that has resulted or would reasonably be expected to result in a Material Adverse Effect, or (iii) the commencement of, or any material development in, any litigation or proceeding affecting the Borrower or any Subsidiary, including pursuant to any applicable Environmental Laws, in each case under this clause (iii), that has resulted or would reasonably be expected to result in final judgments or orders for the payment of money in an aggregate amount (as to all such judgments or orders) exceeding the Threshold Amount;</w:t>
      </w:r>
    </w:p>
    <w:p>
      <w:pPr>
        <w:spacing w:after="0" w:line="84" w:lineRule="exact"/>
        <w:rPr>
          <w:rFonts w:ascii="Arial" w:cs="Arial" w:eastAsia="Arial" w:hAnsi="Arial"/>
          <w:sz w:val="18"/>
          <w:szCs w:val="18"/>
          <w:color w:val="auto"/>
        </w:rPr>
      </w:pPr>
    </w:p>
    <w:p>
      <w:pPr>
        <w:ind w:left="680" w:hanging="244"/>
        <w:spacing w:after="0"/>
        <w:tabs>
          <w:tab w:leader="none" w:pos="6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occurrence of any ERISA Event that would reasonably be expected to exceed the Threshold Amount;</w:t>
      </w:r>
    </w:p>
    <w:p>
      <w:pPr>
        <w:spacing w:after="0" w:line="117" w:lineRule="exact"/>
        <w:rPr>
          <w:rFonts w:ascii="Arial" w:cs="Arial" w:eastAsia="Arial" w:hAnsi="Arial"/>
          <w:sz w:val="18"/>
          <w:szCs w:val="18"/>
          <w:color w:val="auto"/>
        </w:rPr>
      </w:pPr>
    </w:p>
    <w:p>
      <w:pPr>
        <w:jc w:val="both"/>
        <w:ind w:right="20" w:firstLine="436"/>
        <w:spacing w:after="0" w:line="301" w:lineRule="auto"/>
        <w:tabs>
          <w:tab w:leader="none" w:pos="69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receipt by any Credit Party or any of its Subsidiaries of (i) any so called “Warning Letter”, or similar notification, (ii) any notification of a mandated or requested recall affecting the products manufactured, sold or distributed by such Credit Party or such Subsidiary, or (iii) any other material correspondence which may be adverse, in any material respect, to the interest of the Borrower and its Subsidiaries (as determined in good faith by such applicable Borrower or such Subsidiary), in each case, from the FDA (or analogous foreign, state or local Governmental Authority);</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40"/>
          </w:cols>
          <w:pgMar w:left="440" w:top="490" w:right="519" w:bottom="1440" w:gutter="0" w:footer="0" w:header="0"/>
        </w:sectPr>
      </w:pPr>
    </w:p>
    <w:bookmarkStart w:id="162" w:name="page163"/>
    <w:bookmarkEnd w:id="162"/>
    <w:p>
      <w:pPr>
        <w:ind w:left="4" w:right="240" w:firstLine="436"/>
        <w:spacing w:after="0" w:line="277" w:lineRule="auto"/>
        <w:tabs>
          <w:tab w:leader="none" w:pos="689" w:val="left"/>
        </w:tabs>
        <w:numPr>
          <w:ilvl w:val="1"/>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occurrence of any event or the existence of any other matter that has resulted or could reasonably be expected to result in Environmental Liability to the Borrower or any Subsidiary in excess of the Threshold Amount;</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occurrence of any event or the existence of any other matter that has resulted or would reasonably be expected to result in a recall affecting</w:t>
      </w:r>
    </w:p>
    <w:p>
      <w:pPr>
        <w:spacing w:after="0" w:line="46" w:lineRule="exact"/>
        <w:rPr>
          <w:rFonts w:ascii="Arial" w:cs="Arial" w:eastAsia="Arial" w:hAnsi="Arial"/>
          <w:sz w:val="16"/>
          <w:szCs w:val="16"/>
          <w:color w:val="auto"/>
        </w:rPr>
      </w:pPr>
    </w:p>
    <w:p>
      <w:pPr>
        <w:ind w:left="4" w:hanging="4"/>
        <w:spacing w:after="0" w:line="255" w:lineRule="auto"/>
        <w:tabs>
          <w:tab w:leader="none" w:pos="25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BioThrax, AV7909 or any other product which is sold or distributed by a Credit Party under a Material Government Contract or (y) other products manufactured, sold or distributed by a Credit Party or a Subsidiary of a Credit Party with a fair market value in the case of this clause (y) in excess of the Threshold Amount; and</w:t>
      </w:r>
    </w:p>
    <w:p>
      <w:pPr>
        <w:spacing w:after="0" w:line="81" w:lineRule="exact"/>
        <w:rPr>
          <w:rFonts w:ascii="Arial" w:cs="Arial" w:eastAsia="Arial" w:hAnsi="Arial"/>
          <w:sz w:val="18"/>
          <w:szCs w:val="18"/>
          <w:color w:val="auto"/>
        </w:rPr>
      </w:pPr>
    </w:p>
    <w:p>
      <w:pPr>
        <w:ind w:left="704" w:hanging="264"/>
        <w:spacing w:after="0"/>
        <w:tabs>
          <w:tab w:leader="none" w:pos="70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any Credit Party or any Subsidiary thereof.</w:t>
      </w:r>
    </w:p>
    <w:p>
      <w:pPr>
        <w:spacing w:after="0" w:line="225" w:lineRule="exact"/>
        <w:rPr>
          <w:sz w:val="20"/>
          <w:szCs w:val="20"/>
          <w:color w:val="auto"/>
        </w:rPr>
      </w:pPr>
    </w:p>
    <w:p>
      <w:pPr>
        <w:ind w:left="4" w:right="240" w:firstLine="440"/>
        <w:spacing w:after="0" w:line="301" w:lineRule="auto"/>
        <w:rPr>
          <w:sz w:val="20"/>
          <w:szCs w:val="20"/>
          <w:color w:val="auto"/>
        </w:rPr>
      </w:pPr>
      <w:r>
        <w:rPr>
          <w:rFonts w:ascii="Arial" w:cs="Arial" w:eastAsia="Arial" w:hAnsi="Arial"/>
          <w:sz w:val="16"/>
          <w:szCs w:val="16"/>
          <w:color w:val="auto"/>
        </w:rPr>
        <w:t xml:space="preserve">Each notice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shall describe the provisions of this Agreement and any other Loan Document that have been breached. Each notice pursuant to </w:t>
      </w:r>
      <w:r>
        <w:rPr>
          <w:rFonts w:ascii="Arial" w:cs="Arial" w:eastAsia="Arial" w:hAnsi="Arial"/>
          <w:sz w:val="16"/>
          <w:szCs w:val="16"/>
          <w:u w:val="single" w:color="auto"/>
          <w:color w:val="auto"/>
        </w:rPr>
        <w:t>Section 8.3(d)</w:t>
      </w:r>
      <w:r>
        <w:rPr>
          <w:rFonts w:ascii="Arial" w:cs="Arial" w:eastAsia="Arial" w:hAnsi="Arial"/>
          <w:sz w:val="16"/>
          <w:szCs w:val="16"/>
          <w:color w:val="auto"/>
        </w:rPr>
        <w:t xml:space="preserve"> shall be accompanied by the applicable “Warning Letter”, notification or correspondence received by the Borrower or such Subsidiary.</w:t>
      </w:r>
    </w:p>
    <w:p>
      <w:pPr>
        <w:spacing w:after="0" w:line="15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Payment of Taxes</w:t>
      </w:r>
      <w:r>
        <w:rPr>
          <w:rFonts w:ascii="Arial" w:cs="Arial" w:eastAsia="Arial" w:hAnsi="Arial"/>
          <w:sz w:val="17"/>
          <w:szCs w:val="17"/>
          <w:color w:val="auto"/>
        </w:rPr>
        <w:t>. Pay and discharge as the same shall become due and payable 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pacing w:after="0" w:line="165"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 xml:space="preserve">. (a) Preserve, renew and maintain in full force and effect its legal existence and good standing under the Applicable Laws of the jurisdiction of its organization except in a transaction permitted by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9.5</w:t>
      </w:r>
      <w:r>
        <w:rPr>
          <w:rFonts w:ascii="Arial" w:cs="Arial" w:eastAsia="Arial" w:hAnsi="Arial"/>
          <w:sz w:val="16"/>
          <w:szCs w:val="16"/>
          <w:color w:val="auto"/>
        </w:rPr>
        <w:t>;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patents, trademarks, trade names and service marks, the non-preservation of which would reasonably be expected to have a Material Adverse Effect.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Except where the failure to do so would not reasonably be expected to have a Material Adverse Effect,</w:t>
      </w:r>
    </w:p>
    <w:p>
      <w:pPr>
        <w:spacing w:after="0" w:line="46" w:lineRule="exact"/>
        <w:rPr>
          <w:sz w:val="20"/>
          <w:szCs w:val="20"/>
          <w:color w:val="auto"/>
        </w:rPr>
      </w:pPr>
    </w:p>
    <w:p>
      <w:pPr>
        <w:jc w:val="both"/>
        <w:ind w:left="4" w:right="440" w:hanging="4"/>
        <w:spacing w:after="0" w:line="255" w:lineRule="auto"/>
        <w:tabs>
          <w:tab w:leader="none" w:pos="24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maintain, preserve and protect all of its material properties and equipment necessary in the operation of its business in good working order and condition, ordinary wear and tear, casualty and condemnation excepted; and (b) use the standard of care typical in the industry in the operation and maintenance of its facilities.</w:t>
      </w:r>
    </w:p>
    <w:p>
      <w:pPr>
        <w:spacing w:after="0" w:line="190" w:lineRule="exact"/>
        <w:rPr>
          <w:sz w:val="20"/>
          <w:szCs w:val="20"/>
          <w:color w:val="auto"/>
        </w:rPr>
      </w:pPr>
    </w:p>
    <w:p>
      <w:pPr>
        <w:ind w:left="4" w:right="160" w:firstLine="440"/>
        <w:spacing w:after="0" w:line="270"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xml:space="preserve">. Maintain with companies having an A.M. Best Rating of at least A- not Affiliates of the Borrower, insurance in such amounts, with such deductibles and covering such risks as are necessary to ensure that Uninsured Liabilities of the Borrower and/or any Subsidiary are not reasonably likely to result in a Material Adverse Effect. All such insurance shall, (a) provide that no cancellation or material modification thereof shall be effective until at least 30 days after receipt by the Administrative Agent of written notice thereof, (b) name the Administrative Agent as an additional insured party thereunder and (c) in the case of each casualty insurance policy, name the Administrative Agent as lender’s loss payee or mortgagee, as applicable. </w:t>
      </w:r>
      <w:r>
        <w:rPr>
          <w:rFonts w:ascii="Arial" w:cs="Arial" w:eastAsia="Arial" w:hAnsi="Arial"/>
          <w:sz w:val="17"/>
          <w:szCs w:val="17"/>
          <w:color w:val="0000FF"/>
        </w:rPr>
        <w:t>If any improvements located on any portion of any Mortgaged Property are at any time located in an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area identified by the Federal Emergency Management Agency (or any successor agency) as a special flood hazard area with respect to which flood insurance has been made available under the Flood Insurance Laws, then the Borrower shall, or shall cause the applicable Credit Party to, (i) maintain, or cause to be maintained, with a financially sound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-424180</wp:posOffset>
            </wp:positionV>
            <wp:extent cx="46202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-449580</wp:posOffset>
            </wp:positionV>
            <wp:extent cx="46196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619625" cy="8255"/>
                    </a:xfrm>
                    <a:prstGeom prst="rect">
                      <a:avLst/>
                    </a:prstGeom>
                    <a:noFill/>
                  </pic:spPr>
                </pic:pic>
              </a:graphicData>
            </a:graphic>
          </wp:anchor>
        </w:drawing>
      </w:r>
    </w:p>
    <w:p>
      <w:pPr>
        <w:spacing w:after="0" w:line="9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4"/>
          </w:cols>
          <w:pgMar w:left="436" w:top="490" w:right="459" w:bottom="1440" w:gutter="0" w:footer="0" w:header="0"/>
        </w:sectPr>
      </w:pPr>
    </w:p>
    <w:bookmarkStart w:id="163" w:name="page164"/>
    <w:bookmarkEnd w:id="163"/>
    <w:p>
      <w:pPr>
        <w:ind w:left="4" w:right="40"/>
        <w:spacing w:after="0" w:line="255"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and reputable insurer, flood insurance in an amount and otherwise sufficient to comply with all applicable rules and regulations promulgated pursuant to the Flood Insurance Laws, (ii) reasonably cooperate with the Administrative Agent and provide information reasonably required by the Administrative Agent and the Lenders to comply with the Flood Insurance Laws, (iii) deliver to the Administrative Agent evidence of such compliance </w:t>
      </w:r>
      <w:r>
        <w:rPr>
          <w:rFonts w:ascii="Arial" w:cs="Arial" w:eastAsia="Arial" w:hAnsi="Arial"/>
          <w:sz w:val="18"/>
          <w:szCs w:val="18"/>
          <w:u w:val="single" w:color="auto"/>
          <w:color w:val="008000"/>
        </w:rPr>
        <w:t>in form and</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substance reasonably </w:t>
      </w:r>
      <w:r>
        <w:rPr>
          <w:rFonts w:ascii="Arial" w:cs="Arial" w:eastAsia="Arial" w:hAnsi="Arial"/>
          <w:sz w:val="18"/>
          <w:szCs w:val="18"/>
          <w:u w:val="single" w:color="auto"/>
          <w:color w:val="0000FF"/>
        </w:rPr>
        <w:t>acceptable to the Administrative Agent, including evidence of annual renewals of such insurance and (iv) furnish to the</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Administrative Agent prompt written notice of any re-designation of any such improvements located on a Mortgaged Property into or out of a special flood hazard area.</w:t>
      </w:r>
    </w:p>
    <w:p>
      <w:pPr>
        <w:spacing w:after="0" w:line="192"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in all material respects with the requirements of all Applicable Laws and all orders, writs, injunctions and decrees applicable to it or to its business or property, except (to the extent not constituting a breach of any representation or warranty made pursuant to Section 7.16) in such instances in which (a) such requirement of Applicable Law or order, writ, injunction or decree is being contested in good faith by appropriate proceedings diligently conducted; or (b) the failure to comply therewith could not reasonably be expected to have a Material Adverse Effect.</w:t>
      </w:r>
    </w:p>
    <w:p>
      <w:pPr>
        <w:spacing w:after="0" w:line="188"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Books and Records</w:t>
      </w:r>
      <w:r>
        <w:rPr>
          <w:rFonts w:ascii="Arial" w:cs="Arial" w:eastAsia="Arial" w:hAnsi="Arial"/>
          <w:sz w:val="16"/>
          <w:szCs w:val="16"/>
          <w:color w:val="auto"/>
        </w:rPr>
        <w:t>. (a) Maintain proper books of record and account, in which full, true and correct in all material respects entries in conformity with GAAP consistently applied shall be made of all financial transactions and material matters involving the assets and business of the Borrower or such Subsidiary (subject to year-end audit adjustments and the absence of footnotes), as the case may be; (b) maintain such books of record and account in material conformity with all applicable requirements of any Governmental Authority having regulatory jurisdiction over the Borrower or such Subsidiary, as the case may be; (c) maintain systems of internal controls (including but not limited to, cost accounting systems, estimating systems, purchasing systems, proposal systems, billing systems and management systems) that are in compliance in all material respects with the requirements of its Material Contracts, and (d) without limiting the foregoing, maintain practices and procedures in estimating costs and pricing proposals and accumulating, recording, segregating, reporting and invoicing costs in compliance in all material respects with all applicable provisions of Part 31 (Cost Principles) of the Federal Acquisition Regulations and Federal Acquisition Regulation Part 99 (Cost Accounting Standards).</w:t>
      </w:r>
    </w:p>
    <w:p>
      <w:pPr>
        <w:spacing w:after="0" w:line="166"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Inspection Rights</w:t>
      </w:r>
      <w:r>
        <w:rPr>
          <w:rFonts w:ascii="Arial" w:cs="Arial" w:eastAsia="Arial" w:hAnsi="Arial"/>
          <w:sz w:val="17"/>
          <w:szCs w:val="17"/>
          <w:color w:val="auto"/>
        </w:rPr>
        <w:t xml:space="preserve">. Permit representatives and independent contractors of the Administrative Agent (and any Lenders that accompany the representatives or independent contractors of the Administrative Agent ) to visit and inspect any of its properties, to examine its corporate, financial and operating records, and make copies thereof or abstracts therefrom, and to discuss its affairs, finances and accounts with its directors, officers, and independent public accountants, in each case, at such reasonable times during normal business hours and as often as may be reasonably desired, upon reasonable advance notice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absent an Event of Default, the Borrower shall only be required to pay for one such visit and/or inspection in any twelve month period, (b) </w:t>
      </w:r>
      <w:r>
        <w:rPr>
          <w:rFonts w:ascii="Arial" w:cs="Arial" w:eastAsia="Arial" w:hAnsi="Arial"/>
          <w:sz w:val="17"/>
          <w:szCs w:val="17"/>
          <w:color w:val="FF0000"/>
          <w:strike w:val="1"/>
        </w:rPr>
        <w:t>during the Limited Waiver Period or</w:t>
      </w:r>
      <w:r>
        <w:rPr>
          <w:rFonts w:ascii="Arial" w:cs="Arial" w:eastAsia="Arial" w:hAnsi="Arial"/>
          <w:sz w:val="17"/>
          <w:szCs w:val="17"/>
          <w:color w:val="auto"/>
        </w:rPr>
        <w:t xml:space="preserve"> when an Event of Default exists the Administrative Agent or any Lender (or any of their respective representatives or independent contractors) may do any of the foregoing at the expense of the Borrower at any time during normal business hours and without advance notice and (c) with respect to any discussion with the Borrower’s or any Subsidiary’s independent public accountants, the Borrower or its Subsidiary may, at their option, have one or more employees or representatives present at such discussion. Notwithstanding the foregoing, none of the Borrower or its Subsidiaries will be required to permit examinations or copies or abstracts of any records in respect to which the disclosure of such records is prohibited by Applicable Law or binding agreement or subject to attorney-client privilege or constitutes attorney-work product.</w:t>
      </w:r>
    </w:p>
    <w:p>
      <w:pPr>
        <w:spacing w:after="0" w:line="179"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Use of Proceeds</w:t>
      </w:r>
      <w:r>
        <w:rPr>
          <w:rFonts w:ascii="Arial" w:cs="Arial" w:eastAsia="Arial" w:hAnsi="Arial"/>
          <w:sz w:val="16"/>
          <w:szCs w:val="16"/>
          <w:color w:val="auto"/>
        </w:rPr>
        <w:t>. Use the proceeds of (a) the Initial Term Loans on the Closing Date to (i) finance the Transactions and (ii) pay or reimburse fees, commissions and expenses in connection with the Transactions and (b) the Revolving Credit Facility to (i) finance the Transactions,</w:t>
      </w:r>
    </w:p>
    <w:p>
      <w:pPr>
        <w:ind w:left="4" w:right="60" w:hanging="4"/>
        <w:spacing w:after="0" w:line="260" w:lineRule="auto"/>
        <w:tabs>
          <w:tab w:leader="none" w:pos="26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provide ongoing working capital, (iii) finance Permitted Acquisitions, (iv) finance Capital Expenditures and (v) for other general corporate purposes and, in each case, in a manner not in contravention of any Loan Document.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4"/>
          </w:cols>
          <w:pgMar w:left="436" w:top="490" w:right="459" w:bottom="1440" w:gutter="0" w:footer="0" w:header="0"/>
        </w:sectPr>
      </w:pPr>
    </w:p>
    <w:bookmarkStart w:id="164" w:name="page165"/>
    <w:bookmarkEnd w:id="1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8.12 </w:t>
      </w:r>
      <w:r>
        <w:rPr>
          <w:rFonts w:ascii="Arial" w:cs="Arial" w:eastAsia="Arial" w:hAnsi="Arial"/>
          <w:sz w:val="18"/>
          <w:szCs w:val="18"/>
          <w:u w:val="single" w:color="auto"/>
          <w:color w:val="auto"/>
        </w:rPr>
        <w:t>Covenant to Guarantee Secured Obligations and Give Security</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86" w:lineRule="auto"/>
        <w:tabs>
          <w:tab w:leader="none" w:pos="675"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Additional Domestic Subsidiaries</w:t>
      </w:r>
      <w:r>
        <w:rPr>
          <w:rFonts w:ascii="Arial" w:cs="Arial" w:eastAsia="Arial" w:hAnsi="Arial"/>
          <w:sz w:val="16"/>
          <w:szCs w:val="16"/>
          <w:color w:val="auto"/>
        </w:rPr>
        <w:t xml:space="preserve">. Promptly notify the Administrative Agent of the creation or acquisition (including by statutory division) of a Person that becomes a Domestic Subsidiary (other than an Excluded Subsidiary) and, within thirty (30) days after such creation, acquisition or event (as such time period may be extended by the Administrative Agent in its sole discretion), cause such Domestic Subsidiary to (i) become a Guarantor by delivering to the Administrative Agent a duly executed supplement to the Guaranty Agreement in the form attached thereto as Exhibit A or such other document as the Administrative Agent shall deem reasonably acceptable for such purpose, (ii) grant a security interest in all Collateral (subject to the exclusions and exceptions specified in the Collateral Agreement) owned by such Domestic Subsidiary by delivering to the Administrative Agent a duly executed supplement to the Collateral Agreement in the form attached thereto as Exhibit A or such other document as the Administrative Agent shall deem reasonably acceptable for such purpose and comply with the terms of the Collateral Agreement, (iii) deliver to the Administrative Agent such opinions, documents and certificates referred to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as may be reasonably requested by the Administrative Agent, (iv) if such Equity Interests are certificated, deliver to the Administrative Agent such original certificated Equity Interests or other certificates and stock or other transfer powers evidencing the Equity Interests of such Person, (v) deliver to the Administrative Agent such updated Schedules to the Loan Documents as reasonably requested by the Administrative Agent with respect to such Domestic Subsidiary and (vi) deliver to the Administrative Agent such other documents as may be reasonably requested by the Administrative Agent, all in form, content and scope reasonably satisfactory to the Administrative Agent</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auto"/>
        </w:rPr>
        <w:t xml:space="preserve"> </w:t>
      </w:r>
      <w:r>
        <w:rPr>
          <w:rFonts w:ascii="Arial" w:cs="Arial" w:eastAsia="Arial" w:hAnsi="Arial"/>
          <w:sz w:val="16"/>
          <w:szCs w:val="16"/>
          <w:color w:val="FF0000"/>
          <w:strike w:val="1"/>
        </w:rPr>
        <w:t>that no Credit Party shall be required to make any assignment of, or provide any mortgage over, any interest in any real property</w:t>
      </w:r>
      <w:r>
        <w:rPr>
          <w:rFonts w:ascii="Arial" w:cs="Arial" w:eastAsia="Arial" w:hAnsi="Arial"/>
          <w:sz w:val="16"/>
          <w:szCs w:val="16"/>
          <w:color w:val="000000"/>
        </w:rPr>
        <w:t>.</w:t>
      </w:r>
    </w:p>
    <w:p>
      <w:pPr>
        <w:spacing w:after="0" w:line="62" w:lineRule="exact"/>
        <w:rPr>
          <w:rFonts w:ascii="Arial" w:cs="Arial" w:eastAsia="Arial" w:hAnsi="Arial"/>
          <w:sz w:val="16"/>
          <w:szCs w:val="16"/>
          <w:color w:val="auto"/>
        </w:rPr>
      </w:pPr>
    </w:p>
    <w:p>
      <w:pPr>
        <w:ind w:right="20" w:firstLine="436"/>
        <w:spacing w:after="0" w:line="288" w:lineRule="auto"/>
        <w:tabs>
          <w:tab w:leader="none" w:pos="685"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Additional Guarantors</w:t>
      </w:r>
      <w:r>
        <w:rPr>
          <w:rFonts w:ascii="Arial" w:cs="Arial" w:eastAsia="Arial" w:hAnsi="Arial"/>
          <w:sz w:val="16"/>
          <w:szCs w:val="16"/>
          <w:color w:val="auto"/>
        </w:rPr>
        <w:t xml:space="preserve">. If either (i) the total assets of all Domestic Subsidiaries that are not Guarantors, taken as a whole, as of the last day of the fiscal quarter set forth in the most recent financial statements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is greater than ten percent (10%) of the consolidated total assets the Borrower and its Domestic Subsidiaries on such date or (ii) the total revenue of all Domestic Subsidiaries that are not Guarantors, taken as a whole, for the period of four (4) consecutive fiscal quarters ending on the last day of the most recent fiscal quarter covered by such financial statements is greater than ten percent (10%) of the consolidated total revenue of the Borrower and its Domestic Subsidiaries for such period (an “</w:t>
      </w:r>
      <w:r>
        <w:rPr>
          <w:rFonts w:ascii="Arial" w:cs="Arial" w:eastAsia="Arial" w:hAnsi="Arial"/>
          <w:sz w:val="16"/>
          <w:szCs w:val="16"/>
          <w:u w:val="single" w:color="auto"/>
          <w:color w:val="auto"/>
        </w:rPr>
        <w:t>Additional Guarantor Trigger Event</w:t>
      </w:r>
      <w:r>
        <w:rPr>
          <w:rFonts w:ascii="Arial" w:cs="Arial" w:eastAsia="Arial" w:hAnsi="Arial"/>
          <w:sz w:val="16"/>
          <w:szCs w:val="16"/>
          <w:color w:val="auto"/>
        </w:rPr>
        <w:t xml:space="preserve">”), then the Borrower shall, within forty-five (45) days after the delivery of a respective Compliance Certificate indicating that an Additional Guarantor Trigger Event has occurred, cause one or more Domestic Subsidiaries to become Guarantors and comply with the requirements of this </w:t>
      </w:r>
      <w:r>
        <w:rPr>
          <w:rFonts w:ascii="Arial" w:cs="Arial" w:eastAsia="Arial" w:hAnsi="Arial"/>
          <w:sz w:val="16"/>
          <w:szCs w:val="16"/>
          <w:u w:val="single" w:color="auto"/>
          <w:color w:val="auto"/>
        </w:rPr>
        <w:t>Section 8.12</w:t>
      </w:r>
      <w:r>
        <w:rPr>
          <w:rFonts w:ascii="Arial" w:cs="Arial" w:eastAsia="Arial" w:hAnsi="Arial"/>
          <w:sz w:val="16"/>
          <w:szCs w:val="16"/>
          <w:color w:val="auto"/>
        </w:rPr>
        <w:t xml:space="preserve"> (notwithstanding that such Domestic Subsidiary is an Immaterial Subsidiary) as necessary for the total assets and total revenue of all Domestic Subsidiaries that are not Guarantors, taken as a whole, to constitute less than ten percent (10%) of Consolidated total assets and ten percent (10%) of the Consolidated total revenue of the Borrower and its Domestic Subsidiaries at such time.</w:t>
      </w:r>
    </w:p>
    <w:p>
      <w:pPr>
        <w:spacing w:after="0" w:line="60" w:lineRule="exact"/>
        <w:rPr>
          <w:rFonts w:ascii="Arial" w:cs="Arial" w:eastAsia="Arial" w:hAnsi="Arial"/>
          <w:sz w:val="16"/>
          <w:szCs w:val="16"/>
          <w:color w:val="auto"/>
        </w:rPr>
      </w:pPr>
    </w:p>
    <w:p>
      <w:pPr>
        <w:ind w:firstLine="436"/>
        <w:spacing w:after="0" w:line="254"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Release of Immaterial Subsidiary as Guarantor</w:t>
      </w:r>
      <w:r>
        <w:rPr>
          <w:rFonts w:ascii="Arial" w:cs="Arial" w:eastAsia="Arial" w:hAnsi="Arial"/>
          <w:sz w:val="18"/>
          <w:szCs w:val="18"/>
          <w:color w:val="auto"/>
        </w:rPr>
        <w:t xml:space="preserve">. The Borrower may send a written notice to the Administrative Agent, in substantially the form attached hereto as </w:t>
      </w:r>
      <w:r>
        <w:rPr>
          <w:rFonts w:ascii="Arial" w:cs="Arial" w:eastAsia="Arial" w:hAnsi="Arial"/>
          <w:sz w:val="18"/>
          <w:szCs w:val="18"/>
          <w:b w:val="1"/>
          <w:bCs w:val="1"/>
          <w:i w:val="1"/>
          <w:iCs w:val="1"/>
          <w:color w:val="auto"/>
        </w:rPr>
        <w:t>Exhibit I</w:t>
      </w:r>
      <w:r>
        <w:rPr>
          <w:rFonts w:ascii="Arial" w:cs="Arial" w:eastAsia="Arial" w:hAnsi="Arial"/>
          <w:sz w:val="18"/>
          <w:szCs w:val="18"/>
          <w:color w:val="auto"/>
        </w:rPr>
        <w:t xml:space="preserve">, from time to time to remove an Immaterial Subsidiary as a Guarantor if both before and giving effect to such removal no Additional Guarantor Trigger Event shall exist and, upon receipt of such written notice by the Administrative Agent, the Immaterial Subsidiary specified in such written notice shall be released from all of its obligations as a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t>
      </w:r>
      <w:r>
        <w:rPr>
          <w:rFonts w:ascii="Arial" w:cs="Arial" w:eastAsia="Arial" w:hAnsi="Arial"/>
          <w:sz w:val="18"/>
          <w:szCs w:val="18"/>
          <w:color w:val="FF0000"/>
          <w:strike w:val="1"/>
        </w:rPr>
        <w:t>no such release is permitted during the Limited Waiver</w:t>
      </w:r>
      <w:r>
        <w:rPr>
          <w:rFonts w:ascii="Arial" w:cs="Arial" w:eastAsia="Arial" w:hAnsi="Arial"/>
          <w:sz w:val="18"/>
          <w:szCs w:val="18"/>
          <w:color w:val="auto"/>
        </w:rPr>
        <w:t xml:space="preserve"> </w:t>
      </w:r>
      <w:r>
        <w:rPr>
          <w:rFonts w:ascii="Arial" w:cs="Arial" w:eastAsia="Arial" w:hAnsi="Arial"/>
          <w:sz w:val="18"/>
          <w:szCs w:val="18"/>
          <w:color w:val="FF0000"/>
          <w:strike w:val="1"/>
        </w:rPr>
        <w:t>Period, (ii)</w:t>
      </w:r>
      <w:r>
        <w:rPr>
          <w:rFonts w:ascii="Arial" w:cs="Arial" w:eastAsia="Arial" w:hAnsi="Arial"/>
          <w:sz w:val="18"/>
          <w:szCs w:val="18"/>
          <w:color w:val="FF0000"/>
        </w:rPr>
        <w:t xml:space="preserve"> </w:t>
      </w:r>
      <w:r>
        <w:rPr>
          <w:rFonts w:ascii="Arial" w:cs="Arial" w:eastAsia="Arial" w:hAnsi="Arial"/>
          <w:sz w:val="18"/>
          <w:szCs w:val="18"/>
          <w:color w:val="000000"/>
        </w:rPr>
        <w:t>immediately before and after such release, no Default or Event of Default shall have occurred and be continuing and (ii</w:t>
      </w:r>
      <w:r>
        <w:rPr>
          <w:rFonts w:ascii="Arial" w:cs="Arial" w:eastAsia="Arial" w:hAnsi="Arial"/>
          <w:sz w:val="18"/>
          <w:szCs w:val="18"/>
          <w:color w:val="FF0000"/>
          <w:strike w:val="1"/>
        </w:rPr>
        <w:t>i</w:t>
      </w:r>
      <w:r>
        <w:rPr>
          <w:rFonts w:ascii="Arial" w:cs="Arial" w:eastAsia="Arial" w:hAnsi="Arial"/>
          <w:sz w:val="18"/>
          <w:szCs w:val="18"/>
          <w:color w:val="000000"/>
        </w:rPr>
        <w:t>) all outstanding</w:t>
      </w:r>
      <w:r>
        <w:rPr>
          <w:rFonts w:ascii="Arial" w:cs="Arial" w:eastAsia="Arial" w:hAnsi="Arial"/>
          <w:sz w:val="18"/>
          <w:szCs w:val="18"/>
          <w:color w:val="FF0000"/>
        </w:rPr>
        <w:t xml:space="preserve"> </w:t>
      </w:r>
      <w:r>
        <w:rPr>
          <w:rFonts w:ascii="Arial" w:cs="Arial" w:eastAsia="Arial" w:hAnsi="Arial"/>
          <w:sz w:val="18"/>
          <w:szCs w:val="18"/>
          <w:color w:val="000000"/>
        </w:rPr>
        <w:t xml:space="preserve">Investments made by the Borrower and its Subsidiaries in such Immaterial Subsidiary as of such date of release shall be deemed to have been made under </w:t>
      </w:r>
      <w:r>
        <w:rPr>
          <w:rFonts w:ascii="Arial" w:cs="Arial" w:eastAsia="Arial" w:hAnsi="Arial"/>
          <w:sz w:val="18"/>
          <w:szCs w:val="18"/>
          <w:u w:val="single" w:color="auto"/>
          <w:color w:val="000000"/>
        </w:rPr>
        <w:t>Section 9.2(c)(iv)</w:t>
      </w:r>
      <w:r>
        <w:rPr>
          <w:rFonts w:ascii="Arial" w:cs="Arial" w:eastAsia="Arial" w:hAnsi="Arial"/>
          <w:sz w:val="18"/>
          <w:szCs w:val="18"/>
          <w:color w:val="000000"/>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440" w:top="490" w:right="439" w:bottom="1440" w:gutter="0" w:footer="0" w:header="0"/>
        </w:sectPr>
      </w:pPr>
    </w:p>
    <w:bookmarkStart w:id="165" w:name="page166"/>
    <w:bookmarkEnd w:id="165"/>
    <w:p>
      <w:pPr>
        <w:ind w:left="4" w:right="200" w:firstLine="436"/>
        <w:spacing w:after="0" w:line="342" w:lineRule="auto"/>
        <w:tabs>
          <w:tab w:leader="none" w:pos="689"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Additional Collateral</w:t>
      </w:r>
      <w:r>
        <w:rPr>
          <w:rFonts w:ascii="Arial" w:cs="Arial" w:eastAsia="Arial" w:hAnsi="Arial"/>
          <w:sz w:val="16"/>
          <w:szCs w:val="16"/>
          <w:color w:val="auto"/>
        </w:rPr>
        <w:t>. Upon the acquisition (including any acquisition by statutory division) by any Credit Party of any Property of the type constituting Collateral, the applicable Credit Parties shall comply with the requirements set forth in the Collateral Documents with respect thereto.</w:t>
      </w:r>
    </w:p>
    <w:p>
      <w:pPr>
        <w:spacing w:after="0" w:line="15" w:lineRule="exact"/>
        <w:rPr>
          <w:rFonts w:ascii="Arial" w:cs="Arial" w:eastAsia="Arial" w:hAnsi="Arial"/>
          <w:sz w:val="16"/>
          <w:szCs w:val="16"/>
          <w:color w:val="auto"/>
        </w:rPr>
      </w:pPr>
    </w:p>
    <w:p>
      <w:pPr>
        <w:ind w:left="684" w:hanging="244"/>
        <w:spacing w:after="0"/>
        <w:tabs>
          <w:tab w:leader="none" w:pos="68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Comply, and use commercially reasonable efforts to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to the extent required under Environmental Laws; provided, however,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77"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Compliance with Anti-Corruption Laws; Beneficial Ownership Regulation, Anti-Money Laundering Laws and Sanctions</w:t>
      </w:r>
      <w:r>
        <w:rPr>
          <w:rFonts w:ascii="Arial" w:cs="Arial" w:eastAsia="Arial" w:hAnsi="Arial"/>
          <w:sz w:val="16"/>
          <w:szCs w:val="16"/>
          <w:color w:val="auto"/>
        </w:rPr>
        <w:t>. The Borrower will (a) maintain in effect and enforce policies and procedures designed to promote and endeavor to achieve compliance by the Borrower, its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w:t>
      </w:r>
    </w:p>
    <w:p>
      <w:pPr>
        <w:spacing w:after="0" w:line="2" w:lineRule="exact"/>
        <w:rPr>
          <w:sz w:val="20"/>
          <w:szCs w:val="20"/>
          <w:color w:val="auto"/>
        </w:rPr>
      </w:pPr>
    </w:p>
    <w:p>
      <w:pPr>
        <w:ind w:left="4" w:right="80" w:hanging="4"/>
        <w:spacing w:after="0" w:line="290" w:lineRule="auto"/>
        <w:tabs>
          <w:tab w:leader="none" w:pos="24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promptly upon the reasonable request of the Administrative Agent or any Lender, provide the Administrative Agent or such Lender, as the case may be, any information or documentation requested by it for purposes of complying with the Beneficial Ownership Regulation.</w:t>
      </w:r>
    </w:p>
    <w:p>
      <w:pPr>
        <w:spacing w:after="0" w:line="161" w:lineRule="exact"/>
        <w:rPr>
          <w:sz w:val="20"/>
          <w:szCs w:val="20"/>
          <w:color w:val="auto"/>
        </w:rPr>
      </w:pPr>
    </w:p>
    <w:p>
      <w:pPr>
        <w:jc w:val="both"/>
        <w:ind w:left="4" w:right="140" w:firstLine="440"/>
        <w:spacing w:after="0" w:line="301"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u w:val="single" w:color="auto"/>
          <w:color w:val="auto"/>
        </w:rPr>
        <w:t>Further Assurances</w:t>
      </w:r>
      <w:r>
        <w:rPr>
          <w:rFonts w:ascii="Arial" w:cs="Arial" w:eastAsia="Arial" w:hAnsi="Arial"/>
          <w:sz w:val="16"/>
          <w:szCs w:val="16"/>
          <w:color w:val="auto"/>
        </w:rPr>
        <w:t>. Promptly upon request by the Administrative Agent, or any Lender through the Administrative Agent,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perfect and maintain the validity, effectiveness and priority of any of the Collateral Documents and any of the Liens intended to be created thereunder.</w:t>
      </w:r>
    </w:p>
    <w:p>
      <w:pPr>
        <w:spacing w:after="0" w:line="15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Compliance with Terms of Material Contracts</w:t>
      </w:r>
      <w:r>
        <w:rPr>
          <w:rFonts w:ascii="Arial" w:cs="Arial" w:eastAsia="Arial" w:hAnsi="Arial"/>
          <w:sz w:val="18"/>
          <w:szCs w:val="18"/>
          <w:color w:val="auto"/>
        </w:rPr>
        <w:t>. Perform and observe in all material respects the terms and provisions of each Material Contract to be performed or observed by it, maintain each such Material Contract, as amended, restated, modified, supplemented or otherwise modified from time to time, in full force and effect (other than any such Material Contract that expires in accordance with its terms not due to a default by the Borrower or any of its Subsidiaries), use commercially reasonable efforts to enforce in all material respects each such Material Contract in accordance with its terms.</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Cash Management</w:t>
      </w:r>
      <w:r>
        <w:rPr>
          <w:rFonts w:ascii="Arial" w:cs="Arial" w:eastAsia="Arial" w:hAnsi="Arial"/>
          <w:sz w:val="18"/>
          <w:szCs w:val="18"/>
          <w:color w:val="auto"/>
        </w:rPr>
        <w:t>.</w:t>
      </w:r>
    </w:p>
    <w:p>
      <w:pPr>
        <w:spacing w:after="0" w:line="117" w:lineRule="exact"/>
        <w:rPr>
          <w:sz w:val="20"/>
          <w:szCs w:val="20"/>
          <w:color w:val="auto"/>
        </w:rPr>
      </w:pPr>
    </w:p>
    <w:p>
      <w:pPr>
        <w:ind w:left="4" w:right="340" w:firstLine="436"/>
        <w:spacing w:after="0" w:line="277" w:lineRule="auto"/>
        <w:tabs>
          <w:tab w:leader="none" w:pos="689"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BioThrax Receivables Account</w:t>
      </w:r>
      <w:r>
        <w:rPr>
          <w:rFonts w:ascii="Arial" w:cs="Arial" w:eastAsia="Arial" w:hAnsi="Arial"/>
          <w:sz w:val="18"/>
          <w:szCs w:val="18"/>
          <w:color w:val="auto"/>
        </w:rPr>
        <w:t>. Maintain the BioThrax Receivables Account with (i) a Lender or (ii) another depository bank that is not a Lender, subject to a customary Account Control Agreement in favor of the Administrative Agent.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44"/>
          </w:cols>
          <w:pgMar w:left="436" w:top="490" w:right="519" w:bottom="1440" w:gutter="0" w:footer="0" w:header="0"/>
        </w:sectPr>
      </w:pPr>
    </w:p>
    <w:bookmarkStart w:id="166" w:name="page167"/>
    <w:bookmarkEnd w:id="166"/>
    <w:p>
      <w:pPr>
        <w:ind w:left="4" w:right="140" w:firstLine="436"/>
        <w:spacing w:after="0" w:line="263" w:lineRule="auto"/>
        <w:tabs>
          <w:tab w:leader="none" w:pos="689"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AV7909 Receivables Account</w:t>
      </w:r>
      <w:r>
        <w:rPr>
          <w:rFonts w:ascii="Arial" w:cs="Arial" w:eastAsia="Arial" w:hAnsi="Arial"/>
          <w:sz w:val="18"/>
          <w:szCs w:val="18"/>
          <w:color w:val="auto"/>
        </w:rPr>
        <w:t>. Once AV7909 has obtained either (i) full FDA approval or (ii) FDA emergency use authorization pursuant to Section 564 of the FFDCA, maintain each AV7909 Receivables Account with (A) a Lender or (B) another depository bank that is not a Lender, subject to a customary Account Control Agreement in favor of the Administrative Agent.</w:t>
      </w:r>
    </w:p>
    <w:p>
      <w:pPr>
        <w:spacing w:after="0" w:line="184"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Notwithstanding anything to the contrary contained herein, no Credit Party shall take any action with respect to the BioThrax Receivables Account or the AV7909 Receivables Account which could impair, in any manner, any assignment of payments made under the Federal Assignment of Claims Act of 1940 in favor of the Administrative Agent, for the benefit of the Secured Parties, with respect to the BioThrax Contract or the AV7909 Contract.</w:t>
      </w:r>
    </w:p>
    <w:p>
      <w:pPr>
        <w:spacing w:after="0" w:line="187"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Execute and deliver the documents, take the actions and complete the tasks set forth on </w:t>
      </w:r>
      <w:r>
        <w:rPr>
          <w:rFonts w:ascii="Arial" w:cs="Arial" w:eastAsia="Arial" w:hAnsi="Arial"/>
          <w:sz w:val="18"/>
          <w:szCs w:val="18"/>
          <w:u w:val="single" w:color="auto"/>
          <w:color w:val="auto"/>
        </w:rPr>
        <w:t>Schedule 8.18</w:t>
      </w:r>
      <w:r>
        <w:rPr>
          <w:rFonts w:ascii="Arial" w:cs="Arial" w:eastAsia="Arial" w:hAnsi="Arial"/>
          <w:sz w:val="18"/>
          <w:szCs w:val="18"/>
          <w:color w:val="auto"/>
        </w:rPr>
        <w:t>, in each case within the applicable corresponding time limits specified on such schedule.</w:t>
      </w:r>
    </w:p>
    <w:p>
      <w:pPr>
        <w:spacing w:after="0" w:line="170" w:lineRule="exact"/>
        <w:rPr>
          <w:sz w:val="20"/>
          <w:szCs w:val="20"/>
          <w:color w:val="auto"/>
        </w:rPr>
      </w:pPr>
    </w:p>
    <w:p>
      <w:pPr>
        <w:jc w:val="both"/>
        <w:ind w:left="4" w:right="140" w:firstLine="440"/>
        <w:spacing w:after="0" w:line="259" w:lineRule="auto"/>
        <w:rPr>
          <w:sz w:val="20"/>
          <w:szCs w:val="20"/>
          <w:color w:val="auto"/>
        </w:rPr>
      </w:pPr>
      <w:r>
        <w:rPr>
          <w:rFonts w:ascii="Arial" w:cs="Arial" w:eastAsia="Arial" w:hAnsi="Arial"/>
          <w:sz w:val="18"/>
          <w:szCs w:val="18"/>
          <w:u w:val="single" w:color="auto"/>
          <w:color w:val="0000FF"/>
        </w:rPr>
        <w:t>SECTION 8.19 Lender Calls. Upon the reasonable request of the Administrative Agent, participate in status calls with the Administrative Agent and the Lenders to discuss the financial operations and performance of the Credit Parties’ business, cash flows, capital raise efforts, regulatory matters and such other business matters relating to the Credit Parties as the Administrative Agent may reasonably request; provided that the Borrower shall not be required to conduct more than one call in each fiscal month.</w:t>
      </w:r>
    </w:p>
    <w:p>
      <w:pPr>
        <w:spacing w:after="0" w:line="187"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u w:val="single" w:color="auto"/>
          <w:color w:val="0000FF"/>
        </w:rPr>
        <w:t>SECTION 8.20 Junior Capital Raise. Promptly following the Fourth Amendment Effective Date, the Borrower shall engage in efforts to raise additional Indebtedness in the form of loans, securities or other instruments of equity capital, from the issuance of unsecured Indebtedness and/or sale or issuance of equity or equity-linked instruments (including, without limitation, the issuance of debt securities, convertible or other equity-linked securities, and preferred and convertible preferred equity) in an aggregate principal amount not less than $75,000,000 (the “Junior Capital Raise”), and shall consummate the Junior Capital Raise by April 30, 2024; provided that any Junior Capital Raise shall not require payment of (a) principal or</w:t>
      </w:r>
    </w:p>
    <w:p>
      <w:pPr>
        <w:spacing w:after="0" w:line="2" w:lineRule="exact"/>
        <w:rPr>
          <w:sz w:val="20"/>
          <w:szCs w:val="20"/>
          <w:color w:val="auto"/>
        </w:rPr>
      </w:pPr>
    </w:p>
    <w:p>
      <w:pPr>
        <w:ind w:left="4" w:right="60" w:hanging="4"/>
        <w:spacing w:after="0" w:line="267" w:lineRule="auto"/>
        <w:tabs>
          <w:tab w:leader="none" w:pos="259" w:val="left"/>
        </w:tabs>
        <w:numPr>
          <w:ilvl w:val="0"/>
          <w:numId w:val="19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with respect to unsecured Indebtedness which is not convertible, interest in cash, in each case, until all Obligations have been paid in full in cash. In the event the Borrower elects to satisfy the Junior Capital Raise with convertible unsecured Indebtedness that includes interest payable in cash, at least </w:t>
      </w:r>
      <w:r>
        <w:rPr>
          <w:rFonts w:ascii="Arial" w:cs="Arial" w:eastAsia="Arial" w:hAnsi="Arial"/>
          <w:sz w:val="17"/>
          <w:szCs w:val="17"/>
          <w:u w:val="single" w:color="auto"/>
          <w:color w:val="008000"/>
        </w:rPr>
        <w:t xml:space="preserve">three (3) Business Days prior to the </w:t>
      </w:r>
      <w:r>
        <w:rPr>
          <w:rFonts w:ascii="Arial" w:cs="Arial" w:eastAsia="Arial" w:hAnsi="Arial"/>
          <w:sz w:val="17"/>
          <w:szCs w:val="17"/>
          <w:u w:val="single" w:color="auto"/>
          <w:color w:val="0000FF"/>
        </w:rPr>
        <w:t>consummation of such transaction, the Borrower shall have</w:t>
      </w:r>
      <w:r>
        <w:rPr>
          <w:rFonts w:ascii="Arial" w:cs="Arial" w:eastAsia="Arial" w:hAnsi="Arial"/>
          <w:sz w:val="17"/>
          <w:szCs w:val="17"/>
          <w:u w:val="single" w:color="auto"/>
          <w:color w:val="008000"/>
        </w:rPr>
        <w:t xml:space="preserve"> delivered to the Administrative Agent </w:t>
      </w:r>
      <w:r>
        <w:rPr>
          <w:rFonts w:ascii="Arial" w:cs="Arial" w:eastAsia="Arial" w:hAnsi="Arial"/>
          <w:sz w:val="17"/>
          <w:szCs w:val="17"/>
          <w:u w:val="single" w:color="auto"/>
          <w:color w:val="0000FF"/>
        </w:rPr>
        <w:t>projections</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evidencing pro forma compliance with the Consolidated Debt Service Coverage Ratio covenant set forth in Section 9.11(a) for the period from the proposed date of the incurrence of such Indebtedness through the Revolving Credit Maturity Date (including, for the avoidance of doubt, and notwithstanding the covenant commencement date under Section 9.11(a), compliance with the Consolidated Debt Service Coverage Ratio for any fiscal quarter prior to March 31, 2024, in the event the proposed Indebtedness transaction is closed prior to such date), certified by a Responsible Officer as being prepared in good faith on the basis of the assumptions stated therein, which assumptions were fair in light of the conditions known to the Borrower to exist at the time of delivery of such forecasts, and represented, at the time of delivery, the Borrower’s good faith estimate of its future financial condition and performance. For the avoidance of doubt, no mandatory prepayment under this Agreement shall be required in connection with the Junior Capital Raise.</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SECTION 8.21 Collateral Matters.</w:t>
      </w:r>
    </w:p>
    <w:p>
      <w:pPr>
        <w:spacing w:after="0" w:line="225" w:lineRule="exact"/>
        <w:rPr>
          <w:sz w:val="20"/>
          <w:szCs w:val="20"/>
          <w:color w:val="auto"/>
        </w:rPr>
      </w:pPr>
    </w:p>
    <w:p>
      <w:pPr>
        <w:ind w:left="4" w:right="20" w:firstLine="436"/>
        <w:spacing w:after="0" w:line="287" w:lineRule="auto"/>
        <w:tabs>
          <w:tab w:leader="none" w:pos="689" w:val="left"/>
        </w:tabs>
        <w:numPr>
          <w:ilvl w:val="1"/>
          <w:numId w:val="19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Mortgaged Properties. No later than ninety (90) days after the Fourth Amendment Effective Date, or such later date as agreed to by the Administrative Agent in its sole discretion, deliver to the Administrative Agent a first priority Mortgage, subject to Permitted Liens, with respect to all real property owned in fee by the Credit Parties and located in the United States, as set forth on Schedule 7.8(c) to the Fourth Amendment, together with</w:t>
      </w:r>
    </w:p>
    <w:p>
      <w:pPr>
        <w:spacing w:after="0" w:line="2" w:lineRule="exact"/>
        <w:rPr>
          <w:rFonts w:ascii="Arial" w:cs="Arial" w:eastAsia="Arial" w:hAnsi="Arial"/>
          <w:sz w:val="16"/>
          <w:szCs w:val="16"/>
          <w:u w:val="single" w:color="auto"/>
          <w:color w:val="0000FF"/>
        </w:rPr>
      </w:pPr>
    </w:p>
    <w:p>
      <w:pPr>
        <w:ind w:left="224" w:hanging="224"/>
        <w:spacing w:after="0"/>
        <w:tabs>
          <w:tab w:leader="none" w:pos="224" w:val="left"/>
        </w:tabs>
        <w:numPr>
          <w:ilvl w:val="0"/>
          <w:numId w:val="19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completed “Life-of-Loan” Federal Emergency Management</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4"/>
          </w:cols>
          <w:pgMar w:left="436" w:top="490" w:right="479" w:bottom="1440" w:gutter="0" w:footer="0" w:header="0"/>
        </w:sectPr>
      </w:pPr>
    </w:p>
    <w:bookmarkStart w:id="167" w:name="page168"/>
    <w:bookmarkEnd w:id="167"/>
    <w:p>
      <w:pPr>
        <w:spacing w:after="0" w:line="268"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Agency Standard Flood Hazard Determination with respect to each such real property location (together with a notice about special flood hazard area status and flood disaster assistance, which, if applicable, shall be duly executed by the applicable Credit Party relating to such real property), (ii) if any improvements located on such real property are located in an area determined by the Federal Emergency Management Agency to have special flood hazards, evidence of such flood insurance as may be required under Applicable Law, including Regulation H of the FRB and the other Flood Insurance Laws and as required under Section 8.6 and (iii) such surveys, title insurance policies, legal opinions and other customary documents reasonably requested by the Administrative Agent with respect to such real property that are commercially economically available in the applicable jurisdiction, and further provided that any existing survey which is acceptable to the title company issuing any policy of title insurance for the benefit of the Administrative Agent for purposes of delivering customary survey-related coverage shall be acceptable to satisfy any requirement for a survey. Notwithstanding anything in the Loan Documents to the contrary, any Mortgage on any of the real property set forth on Schedule 7.8(c) to the Fourth Amendment, shall not secure the Obligations of any Lender that has not provided written confirmation to the Administrative Agent that flood insurance due diligence and flood insurance compliance has been completed by such Lender with respect to such real property, it being understood that upon the Administrative Agent’s receipt of written confirmation from such Lender that flood insurance due diligence and flood insurance compliance with respect to such real property has been completed by such Lender (whether before or after the filing of a Mortgage for such real property), such exclusion shall no longer apply.</w:t>
      </w:r>
    </w:p>
    <w:p>
      <w:pPr>
        <w:spacing w:after="0" w:line="184" w:lineRule="exact"/>
        <w:rPr>
          <w:sz w:val="20"/>
          <w:szCs w:val="20"/>
          <w:color w:val="auto"/>
        </w:rPr>
      </w:pPr>
    </w:p>
    <w:p>
      <w:pPr>
        <w:ind w:right="100" w:firstLine="436"/>
        <w:spacing w:after="0" w:line="279" w:lineRule="auto"/>
        <w:tabs>
          <w:tab w:leader="none" w:pos="695" w:val="left"/>
        </w:tabs>
        <w:numPr>
          <w:ilvl w:val="0"/>
          <w:numId w:val="20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Control Agreements. By no later than the Fourth Amendment Effective Date, or such later date as agreed to by the Administrative Agent in its sole discretion, deliver to the Administrative Agent customary Account Control Agreements in favor of the Administrative Agent with respect to their Deposit Accounts (as defined in the Collateral Agreement) other than those Deposit Accounts that constitute Excluded Deposit Accounts (as defined in the Collateral Agreement) pursuant to clauses (a), (b), (c), (e) and (f) of the definition thereof.</w:t>
      </w:r>
    </w:p>
    <w:p>
      <w:pPr>
        <w:spacing w:after="0" w:line="171" w:lineRule="exact"/>
        <w:rPr>
          <w:rFonts w:ascii="Arial" w:cs="Arial" w:eastAsia="Arial" w:hAnsi="Arial"/>
          <w:sz w:val="17"/>
          <w:szCs w:val="17"/>
          <w:u w:val="single" w:color="auto"/>
          <w:color w:val="0000FF"/>
        </w:rPr>
      </w:pPr>
    </w:p>
    <w:p>
      <w:pPr>
        <w:ind w:right="200" w:firstLine="436"/>
        <w:spacing w:after="0" w:line="259" w:lineRule="auto"/>
        <w:tabs>
          <w:tab w:leader="none" w:pos="685" w:val="left"/>
        </w:tabs>
        <w:numPr>
          <w:ilvl w:val="0"/>
          <w:numId w:val="20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Foreign Subsidiaries. No later than ninety (90) days after the Fourth Amendment Effective Date, or such later date as agreed to by the Administrative Agent in its sole discretion, pledge the remaining Equity Interests in any Foreign Subsidiaries owned by each Credit Party, unless such additional pledge would cause a material adverse tax consequence for the Borrower</w:t>
      </w:r>
      <w:r>
        <w:rPr>
          <w:rFonts w:ascii="Arial" w:cs="Arial" w:eastAsia="Arial" w:hAnsi="Arial"/>
          <w:sz w:val="18"/>
          <w:szCs w:val="18"/>
          <w:color w:val="0000FF"/>
        </w:rPr>
        <w:t xml:space="preserve"> </w:t>
      </w:r>
      <w:r>
        <w:rPr>
          <w:rFonts w:ascii="Arial" w:cs="Arial" w:eastAsia="Arial" w:hAnsi="Arial"/>
          <w:sz w:val="18"/>
          <w:szCs w:val="18"/>
          <w:color w:val="008000"/>
        </w:rPr>
        <w:t>and its Subsidiaries, taken as a whole,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as confirmed by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-146050</wp:posOffset>
            </wp:positionV>
            <wp:extent cx="17919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9197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-172085</wp:posOffset>
            </wp:positionV>
            <wp:extent cx="179006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6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u w:val="single" w:color="auto"/>
          <w:color w:val="0000FF"/>
        </w:rPr>
        <w:t>SECTION 8.22 Flood Insurance Matters. The parties hereto acknowledge and agree that, if there is any Mortgaged Property, any increase, extension, or renewal of any of the Loans or Commitments (excluding (a) any continuation or conversion of borrowings, (b) the making of any Revolving Credit Loans or Swingline Loans or (c) the issuance, renewal or extension of Letters of Credit) may, in the sole discretion of the Administrative Agent, be subject to (and conditioned upon): (i) the prior delivery of all flood zone determination certifications, acknowledgements and evidence of flood insurance and other flood-related documentation with respect to such Mortgaged Property reasonably sufficient to evidence compliance with Flood Insurance Laws and as otherwise reasonably required by the Administrative Agent and (ii) the earlier to occur of (A) the date that occurs thirty (30) days after the Borrower has delivered the documentation set forth in clause (i) of this Section to the Administrative Agent (which may be delivered electronically) or (B) the Administrative Agent’s receipt of written confirmation from each of the Lenders that flood insurance due diligence and flood insurance compliance has been completed by such Lender (such written confirmation</w:t>
      </w:r>
      <w:r>
        <w:rPr>
          <w:rFonts w:ascii="Arial" w:cs="Arial" w:eastAsia="Arial" w:hAnsi="Arial"/>
          <w:sz w:val="18"/>
          <w:szCs w:val="18"/>
          <w:color w:val="0000FF"/>
        </w:rPr>
        <w:t xml:space="preserve"> </w:t>
      </w:r>
      <w:r>
        <w:rPr>
          <w:rFonts w:ascii="Arial" w:cs="Arial" w:eastAsia="Arial" w:hAnsi="Arial"/>
          <w:sz w:val="18"/>
          <w:szCs w:val="18"/>
          <w:color w:val="008000"/>
        </w:rPr>
        <w:t>not to be unreasonably withheld</w:t>
      </w:r>
      <w:r>
        <w:rPr>
          <w:rFonts w:ascii="Arial" w:cs="Arial" w:eastAsia="Arial" w:hAnsi="Arial"/>
          <w:sz w:val="18"/>
          <w:szCs w:val="18"/>
          <w:u w:val="single" w:color="auto"/>
          <w:color w:val="0000FF"/>
        </w:rPr>
        <w:t>, conditioned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4806315</wp:posOffset>
            </wp:positionH>
            <wp:positionV relativeFrom="paragraph">
              <wp:posOffset>-141605</wp:posOffset>
            </wp:positionV>
            <wp:extent cx="150050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-167005</wp:posOffset>
            </wp:positionV>
            <wp:extent cx="14947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49479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490" w:right="45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Until all of the Obligations (other than contingent, indemnification obligations not then due) have been paid and satisfied in full in cash, all Letters of Credit have been terminated or expired (or been Cash Collateralized) and the Revolving Credit Commitments terminated, the Credit Parties will not, and will not permit any of their respective Subsidiaries to.</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upon any of its property, assets (including, without limitation, any IP Rights or owned real property) or revenues, whether now owned or hereafter acquired, or sign or file or suffer to exist under the Uniform Commercial Code of any jurisdiction a financing statement that names the Borrower or any of its Subsidiaries as debtor (other than precautionary lease filings in respect of operating leases covering only the property subject to any such lease and, which shall in no event secure any Indebtedness), or assign any accounts or other right to receive income, other than the following:</w:t>
      </w:r>
    </w:p>
    <w:p>
      <w:pPr>
        <w:spacing w:after="0" w:line="80" w:lineRule="exact"/>
        <w:rPr>
          <w:sz w:val="20"/>
          <w:szCs w:val="20"/>
          <w:color w:val="auto"/>
        </w:rPr>
      </w:pPr>
    </w:p>
    <w:p>
      <w:pPr>
        <w:ind w:left="680" w:hanging="244"/>
        <w:spacing w:after="0"/>
        <w:tabs>
          <w:tab w:leader="none" w:pos="6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117" w:lineRule="exact"/>
        <w:rPr>
          <w:rFonts w:ascii="Arial" w:cs="Arial" w:eastAsia="Arial" w:hAnsi="Arial"/>
          <w:sz w:val="18"/>
          <w:szCs w:val="18"/>
          <w:color w:val="auto"/>
        </w:rPr>
      </w:pPr>
    </w:p>
    <w:p>
      <w:pPr>
        <w:ind w:firstLine="436"/>
        <w:spacing w:after="0" w:line="291" w:lineRule="auto"/>
        <w:tabs>
          <w:tab w:leader="none" w:pos="69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Liens existing on the </w:t>
      </w:r>
      <w:r>
        <w:rPr>
          <w:rFonts w:ascii="Arial" w:cs="Arial" w:eastAsia="Arial" w:hAnsi="Arial"/>
          <w:sz w:val="16"/>
          <w:szCs w:val="16"/>
          <w:color w:val="FF0000"/>
          <w:strike w:val="1"/>
        </w:rPr>
        <w:t>Second</w:t>
      </w:r>
      <w:r>
        <w:rPr>
          <w:rFonts w:ascii="Arial" w:cs="Arial" w:eastAsia="Arial" w:hAnsi="Arial"/>
          <w:sz w:val="16"/>
          <w:szCs w:val="16"/>
          <w:u w:val="single" w:color="auto"/>
          <w:color w:val="0000FF"/>
        </w:rPr>
        <w:t>Fourth</w:t>
      </w:r>
      <w:r>
        <w:rPr>
          <w:rFonts w:ascii="Arial" w:cs="Arial" w:eastAsia="Arial" w:hAnsi="Arial"/>
          <w:sz w:val="16"/>
          <w:szCs w:val="16"/>
          <w:color w:val="auto"/>
        </w:rPr>
        <w:t xml:space="preserve"> Amendment Effective Date and listed on </w:t>
      </w:r>
      <w:r>
        <w:rPr>
          <w:rFonts w:ascii="Arial" w:cs="Arial" w:eastAsia="Arial" w:hAnsi="Arial"/>
          <w:sz w:val="16"/>
          <w:szCs w:val="16"/>
          <w:u w:val="single" w:color="auto"/>
          <w:color w:val="auto"/>
        </w:rPr>
        <w:t>Schedule 7.8(b)</w:t>
      </w:r>
      <w:r>
        <w:rPr>
          <w:rFonts w:ascii="Arial" w:cs="Arial" w:eastAsia="Arial" w:hAnsi="Arial"/>
          <w:sz w:val="16"/>
          <w:szCs w:val="16"/>
          <w:color w:val="auto"/>
        </w:rPr>
        <w:t xml:space="preserve"> and any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property covered thereby is not changed, (ii) the amount secured or benefited thereby is not increased except as contemplated by</w:t>
      </w:r>
    </w:p>
    <w:p>
      <w:pPr>
        <w:ind w:right="10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9.3(c)</w:t>
      </w:r>
      <w:r>
        <w:rPr>
          <w:rFonts w:ascii="Arial" w:cs="Arial" w:eastAsia="Arial" w:hAnsi="Arial"/>
          <w:sz w:val="18"/>
          <w:szCs w:val="18"/>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8"/>
          <w:szCs w:val="18"/>
          <w:u w:val="single" w:color="auto"/>
          <w:color w:val="auto"/>
        </w:rPr>
        <w:t>Section 9.3(c)</w:t>
      </w:r>
      <w:r>
        <w:rPr>
          <w:rFonts w:ascii="Arial" w:cs="Arial" w:eastAsia="Arial" w:hAnsi="Arial"/>
          <w:sz w:val="18"/>
          <w:szCs w:val="18"/>
          <w:color w:val="auto"/>
        </w:rPr>
        <w:t>;</w:t>
      </w:r>
    </w:p>
    <w:p>
      <w:pPr>
        <w:spacing w:after="0" w:line="77" w:lineRule="exact"/>
        <w:rPr>
          <w:rFonts w:ascii="Arial" w:cs="Arial" w:eastAsia="Arial" w:hAnsi="Arial"/>
          <w:sz w:val="16"/>
          <w:szCs w:val="16"/>
          <w:color w:val="auto"/>
        </w:rPr>
      </w:pPr>
    </w:p>
    <w:p>
      <w:pPr>
        <w:ind w:right="620" w:firstLine="436"/>
        <w:spacing w:after="0" w:line="308" w:lineRule="auto"/>
        <w:tabs>
          <w:tab w:leader="none" w:pos="68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38" w:lineRule="exact"/>
        <w:rPr>
          <w:rFonts w:ascii="Arial" w:cs="Arial" w:eastAsia="Arial" w:hAnsi="Arial"/>
          <w:sz w:val="17"/>
          <w:szCs w:val="17"/>
          <w:color w:val="auto"/>
        </w:rPr>
      </w:pPr>
    </w:p>
    <w:p>
      <w:pPr>
        <w:ind w:right="60" w:firstLine="436"/>
        <w:spacing w:after="0" w:line="263" w:lineRule="auto"/>
        <w:tabs>
          <w:tab w:leader="none" w:pos="69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75" w:lineRule="exact"/>
        <w:rPr>
          <w:rFonts w:ascii="Arial" w:cs="Arial" w:eastAsia="Arial" w:hAnsi="Arial"/>
          <w:sz w:val="18"/>
          <w:szCs w:val="18"/>
          <w:color w:val="auto"/>
        </w:rPr>
      </w:pPr>
    </w:p>
    <w:p>
      <w:pPr>
        <w:ind w:right="280" w:firstLine="436"/>
        <w:spacing w:after="0" w:line="277" w:lineRule="auto"/>
        <w:tabs>
          <w:tab w:leader="none" w:pos="68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62" w:lineRule="exact"/>
        <w:rPr>
          <w:rFonts w:ascii="Arial" w:cs="Arial" w:eastAsia="Arial" w:hAnsi="Arial"/>
          <w:sz w:val="18"/>
          <w:szCs w:val="18"/>
          <w:color w:val="auto"/>
        </w:rPr>
      </w:pPr>
    </w:p>
    <w:p>
      <w:pPr>
        <w:ind w:right="60" w:firstLine="436"/>
        <w:spacing w:after="0" w:line="263" w:lineRule="auto"/>
        <w:tabs>
          <w:tab w:leader="none" w:pos="66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deposits or letters of credit or bank guarantees permitted under </w:t>
      </w:r>
      <w:r>
        <w:rPr>
          <w:rFonts w:ascii="Arial" w:cs="Arial" w:eastAsia="Arial" w:hAnsi="Arial"/>
          <w:sz w:val="18"/>
          <w:szCs w:val="18"/>
          <w:u w:val="single" w:color="auto"/>
          <w:color w:val="auto"/>
        </w:rPr>
        <w:t>Section 9.3(p)</w:t>
      </w:r>
      <w:r>
        <w:rPr>
          <w:rFonts w:ascii="Arial" w:cs="Arial" w:eastAsia="Arial" w:hAnsi="Arial"/>
          <w:sz w:val="18"/>
          <w:szCs w:val="18"/>
          <w:color w:val="auto"/>
        </w:rPr>
        <w:t xml:space="preserve"> to secure the performance of bids, trade contracts and leases (other than Indebtedness), statutory obligations, surety and appeal bonds, performance or bid bonds and other obligations of a like nature incurred in the ordinary course of business;</w:t>
      </w:r>
    </w:p>
    <w:p>
      <w:pPr>
        <w:spacing w:after="0" w:line="75" w:lineRule="exact"/>
        <w:rPr>
          <w:rFonts w:ascii="Arial" w:cs="Arial" w:eastAsia="Arial" w:hAnsi="Arial"/>
          <w:sz w:val="18"/>
          <w:szCs w:val="18"/>
          <w:color w:val="auto"/>
        </w:rPr>
      </w:pPr>
    </w:p>
    <w:p>
      <w:pPr>
        <w:ind w:right="140" w:firstLine="436"/>
        <w:spacing w:after="0" w:line="263" w:lineRule="auto"/>
        <w:tabs>
          <w:tab w:leader="none" w:pos="69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Liens securing judgments or orders for the payment of money not constituting an Event of Default under </w:t>
      </w:r>
      <w:r>
        <w:rPr>
          <w:rFonts w:ascii="Arial" w:cs="Arial" w:eastAsia="Arial" w:hAnsi="Arial"/>
          <w:sz w:val="18"/>
          <w:szCs w:val="18"/>
          <w:u w:val="single" w:color="auto"/>
          <w:color w:val="auto"/>
        </w:rPr>
        <w:t>Section 10.1(h)</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490" w:right="459" w:bottom="1440" w:gutter="0" w:footer="0" w:header="0"/>
        </w:sectPr>
      </w:pPr>
    </w:p>
    <w:bookmarkStart w:id="169" w:name="page170"/>
    <w:bookmarkEnd w:id="169"/>
    <w:p>
      <w:pPr>
        <w:jc w:val="both"/>
        <w:ind w:left="-20" w:right="100" w:firstLine="436"/>
        <w:spacing w:after="0" w:line="263" w:lineRule="auto"/>
        <w:tabs>
          <w:tab w:leader="none" w:pos="6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Liens securing Indebtedness permitted under </w:t>
      </w:r>
      <w:r>
        <w:rPr>
          <w:rFonts w:ascii="Arial" w:cs="Arial" w:eastAsia="Arial" w:hAnsi="Arial"/>
          <w:sz w:val="18"/>
          <w:szCs w:val="18"/>
          <w:u w:val="single" w:color="auto"/>
          <w:color w:val="auto"/>
        </w:rPr>
        <w:t>Section 9.3(f)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75" w:lineRule="exact"/>
        <w:rPr>
          <w:rFonts w:ascii="Arial" w:cs="Arial" w:eastAsia="Arial" w:hAnsi="Arial"/>
          <w:sz w:val="18"/>
          <w:szCs w:val="18"/>
          <w:color w:val="auto"/>
        </w:rPr>
      </w:pPr>
    </w:p>
    <w:p>
      <w:pPr>
        <w:ind w:left="-20" w:right="20" w:firstLine="436"/>
        <w:spacing w:after="0" w:line="275" w:lineRule="auto"/>
        <w:tabs>
          <w:tab w:leader="none" w:pos="63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solely to the extent junior to the Liens on the Collateral securing the Secured Obligations, Liens securing obligations in respect of Indebtedness under any economic development incentive program from any State or any subdivision (including any city or county) permitted under </w:t>
      </w:r>
      <w:r>
        <w:rPr>
          <w:rFonts w:ascii="Arial" w:cs="Arial" w:eastAsia="Arial" w:hAnsi="Arial"/>
          <w:sz w:val="17"/>
          <w:szCs w:val="17"/>
          <w:u w:val="single" w:color="auto"/>
          <w:color w:val="auto"/>
        </w:rPr>
        <w:t>Section 9.3(g)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(i) do not at any time encumber any property other than any property located in such State or subdivision giving rise to the Borrower’s business development activities and such incentive program and (ii) to the extent encumbering any Collateral, shall at all times be subject to an intercreditor agreement, in form and substance reasonably satisfactory to the Administrative Agent;</w:t>
      </w:r>
    </w:p>
    <w:p>
      <w:pPr>
        <w:spacing w:after="0" w:line="68" w:lineRule="exact"/>
        <w:rPr>
          <w:rFonts w:ascii="Arial" w:cs="Arial" w:eastAsia="Arial" w:hAnsi="Arial"/>
          <w:sz w:val="17"/>
          <w:szCs w:val="17"/>
          <w:color w:val="auto"/>
        </w:rPr>
      </w:pPr>
    </w:p>
    <w:p>
      <w:pPr>
        <w:ind w:left="-20" w:right="100" w:firstLine="436"/>
        <w:spacing w:after="0" w:line="263" w:lineRule="auto"/>
        <w:tabs>
          <w:tab w:leader="none" w:pos="6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any interest or title of (i) a lessor, licensor or sublessor under any lease, license or sublease entered into by any Credit Party or any Subsidiary thereof in the ordinary course of business and covering only the assets so leased, licensed or subleased or (ii) a lessee, licensee, sublessee under any lease, license, sublease or sublicense by the Borrower or any Subsidiary permitted under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 w:right="120" w:firstLine="436"/>
        <w:spacing w:after="0" w:line="273" w:lineRule="auto"/>
        <w:tabs>
          <w:tab w:leader="none" w:pos="63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Liens existing on property acquired by the Borrower or any Subsidiary at the time such property is acquired or existing on the property of any Person at the time such Person becomes a Subsidiary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exists at the time such Person becomes a Subsidiary and are not created in contemplation of or in connection with such Person becoming a Subsidiary, (ii) such Liens do not attach to any Property of the Borrower or any of its Subsidiaries other than those of the Subsidiary acquired or the property or assets so acquired (and property or assets affixed or appurtenant thereto) and (iii) such Lien shall secure only those obligations which it secures on the date of such acquisition or the date such Person becomes a Subsidiary, as the case may be;</w:t>
      </w:r>
    </w:p>
    <w:p>
      <w:pPr>
        <w:spacing w:after="0" w:line="69" w:lineRule="exact"/>
        <w:rPr>
          <w:rFonts w:ascii="Arial" w:cs="Arial" w:eastAsia="Arial" w:hAnsi="Arial"/>
          <w:sz w:val="17"/>
          <w:szCs w:val="17"/>
          <w:color w:val="auto"/>
        </w:rPr>
      </w:pPr>
    </w:p>
    <w:p>
      <w:pPr>
        <w:ind w:left="-20" w:firstLine="436"/>
        <w:spacing w:after="0" w:line="286" w:lineRule="auto"/>
        <w:tabs>
          <w:tab w:leader="none" w:pos="72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 Liens of a collecting bank arising in the ordinary course of business under Section 4-210 of the Uniform Commercial Code in effect in the relevant jurisdiction and (ii) Liens of any depositary bank or securities account in connection with statutory, common law and contractual rights of setoff and recoupment with respect to any deposit account or securities account of the Borrower or any Subsidiary thereof;</w:t>
      </w:r>
    </w:p>
    <w:p>
      <w:pPr>
        <w:spacing w:after="0" w:line="57" w:lineRule="exact"/>
        <w:rPr>
          <w:rFonts w:ascii="Arial" w:cs="Arial" w:eastAsia="Arial" w:hAnsi="Arial"/>
          <w:sz w:val="17"/>
          <w:szCs w:val="17"/>
          <w:color w:val="auto"/>
        </w:rPr>
      </w:pPr>
    </w:p>
    <w:p>
      <w:pPr>
        <w:ind w:left="-20" w:right="540" w:firstLine="436"/>
        <w:spacing w:after="0" w:line="277" w:lineRule="auto"/>
        <w:tabs>
          <w:tab w:leader="none" w:pos="6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and in the ordinary course of business to secure payment of customs duties in connection with the importation of goods;</w:t>
      </w:r>
    </w:p>
    <w:p>
      <w:pPr>
        <w:spacing w:after="0" w:line="62" w:lineRule="exact"/>
        <w:rPr>
          <w:rFonts w:ascii="Arial" w:cs="Arial" w:eastAsia="Arial" w:hAnsi="Arial"/>
          <w:sz w:val="18"/>
          <w:szCs w:val="18"/>
          <w:color w:val="auto"/>
        </w:rPr>
      </w:pPr>
    </w:p>
    <w:p>
      <w:pPr>
        <w:ind w:left="-20" w:right="60" w:firstLine="436"/>
        <w:spacing w:after="0" w:line="263" w:lineRule="auto"/>
        <w:tabs>
          <w:tab w:leader="none" w:pos="6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repurchasing agreement under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reasonable and customary initial deposits and margin deposits and similar Liens attached to commodities trading accounts or other brokerage accounts in the ordinary course of business and not for speculative purposes;</w:t>
      </w:r>
    </w:p>
    <w:p>
      <w:pPr>
        <w:spacing w:after="0" w:line="75" w:lineRule="exact"/>
        <w:rPr>
          <w:rFonts w:ascii="Arial" w:cs="Arial" w:eastAsia="Arial" w:hAnsi="Arial"/>
          <w:sz w:val="18"/>
          <w:szCs w:val="18"/>
          <w:color w:val="auto"/>
        </w:rPr>
      </w:pPr>
    </w:p>
    <w:p>
      <w:pPr>
        <w:ind w:left="-20" w:right="500" w:firstLine="436"/>
        <w:spacing w:after="0" w:line="277" w:lineRule="auto"/>
        <w:tabs>
          <w:tab w:leader="none" w:pos="6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Liens solely on cash earnest money deposits made by the Borrower or any Subsidiary in connection with any letter of intent or purchase agreement relating to an Investment permitted under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0" w:right="200" w:firstLine="436"/>
        <w:spacing w:after="0" w:line="277" w:lineRule="auto"/>
        <w:tabs>
          <w:tab w:leader="none" w:pos="6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deposits and other amounts held in escrow to secure contractual payments (continent or otherwise) payable by the Borrower or any Subsidiary to a seller after the consummation of a Permitted Acquisition;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60"/>
          </w:cols>
          <w:pgMar w:left="460" w:top="490" w:right="479" w:bottom="1440" w:gutter="0" w:footer="0" w:header="0"/>
        </w:sectPr>
      </w:pPr>
    </w:p>
    <w:bookmarkStart w:id="170" w:name="page171"/>
    <w:bookmarkEnd w:id="170"/>
    <w:p>
      <w:pPr>
        <w:ind w:right="60" w:firstLine="436"/>
        <w:spacing w:after="0" w:line="277" w:lineRule="auto"/>
        <w:tabs>
          <w:tab w:leader="none" w:pos="665"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Liens in respect to unearned premiums on insurance policies and the proceeds thereof securing the financing of premiums with respect thereto permitted under </w:t>
      </w:r>
      <w:r>
        <w:rPr>
          <w:rFonts w:ascii="Arial" w:cs="Arial" w:eastAsia="Arial" w:hAnsi="Arial"/>
          <w:sz w:val="18"/>
          <w:szCs w:val="18"/>
          <w:u w:val="single" w:color="auto"/>
          <w:color w:val="auto"/>
        </w:rPr>
        <w:t>Section 9.3(n)(i)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Liens on deposits to secure any Indebtedness permitted under </w:t>
      </w:r>
      <w:r>
        <w:rPr>
          <w:rFonts w:ascii="Arial" w:cs="Arial" w:eastAsia="Arial" w:hAnsi="Arial"/>
          <w:sz w:val="18"/>
          <w:szCs w:val="18"/>
          <w:u w:val="single" w:color="auto"/>
          <w:color w:val="auto"/>
        </w:rPr>
        <w:t>Section 9.3(p)</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right="20" w:firstLine="436"/>
        <w:spacing w:after="0" w:line="277"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other Liens securing </w:t>
      </w:r>
      <w:r>
        <w:rPr>
          <w:rFonts w:ascii="Arial" w:cs="Arial" w:eastAsia="Arial" w:hAnsi="Arial"/>
          <w:sz w:val="18"/>
          <w:szCs w:val="18"/>
          <w:u w:val="single" w:color="auto"/>
          <w:color w:val="0000FF"/>
        </w:rPr>
        <w:t>purchase money</w:t>
      </w:r>
      <w:r>
        <w:rPr>
          <w:rFonts w:ascii="Arial" w:cs="Arial" w:eastAsia="Arial" w:hAnsi="Arial"/>
          <w:sz w:val="18"/>
          <w:szCs w:val="18"/>
          <w:color w:val="auto"/>
        </w:rPr>
        <w:t xml:space="preserve"> Indebtedness outstanding in an aggregate principal amount not to exceed $1</w:t>
      </w:r>
      <w:r>
        <w:rPr>
          <w:rFonts w:ascii="Arial" w:cs="Arial" w:eastAsia="Arial" w:hAnsi="Arial"/>
          <w:sz w:val="18"/>
          <w:szCs w:val="18"/>
          <w:color w:val="FF0000"/>
          <w:strike w:val="1"/>
        </w:rPr>
        <w:t>0</w:t>
      </w:r>
      <w:r>
        <w:rPr>
          <w:rFonts w:ascii="Arial" w:cs="Arial" w:eastAsia="Arial" w:hAnsi="Arial"/>
          <w:sz w:val="18"/>
          <w:szCs w:val="18"/>
          <w:color w:val="auto"/>
        </w:rPr>
        <w:t xml:space="preserve">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shall extend to or cover any IP Rights or real property owned by the Borrower or any Subsidiary.</w:t>
      </w:r>
    </w:p>
    <w:p>
      <w:pPr>
        <w:spacing w:after="0" w:line="6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Notwithstanding the foregoing, in no event shall this Section permit any consensual Liens on real property or IP Rights owned by the Borrower or any Subsidiary, other than Liens under clauses (a), (g), (k) and (l).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Investments</w:t>
      </w:r>
      <w:r>
        <w:rPr>
          <w:rFonts w:ascii="Arial" w:cs="Arial" w:eastAsia="Arial" w:hAnsi="Arial"/>
          <w:sz w:val="18"/>
          <w:szCs w:val="18"/>
          <w:color w:val="auto"/>
        </w:rPr>
        <w:t>. Make any Investment, except:</w:t>
      </w:r>
    </w:p>
    <w:p>
      <w:pPr>
        <w:spacing w:after="0" w:line="117" w:lineRule="exact"/>
        <w:rPr>
          <w:sz w:val="20"/>
          <w:szCs w:val="20"/>
          <w:color w:val="auto"/>
        </w:rPr>
      </w:pPr>
    </w:p>
    <w:p>
      <w:pPr>
        <w:ind w:left="680" w:hanging="244"/>
        <w:spacing w:after="0"/>
        <w:tabs>
          <w:tab w:leader="none" w:pos="6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Investments held by the Borrower and its Subsidiaries in the form of Cash Equivalents and other Investments permitted by the Investment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Policy;</w:t>
      </w:r>
    </w:p>
    <w:p>
      <w:pPr>
        <w:spacing w:after="0" w:line="102" w:lineRule="exact"/>
        <w:rPr>
          <w:rFonts w:ascii="Arial" w:cs="Arial" w:eastAsia="Arial" w:hAnsi="Arial"/>
          <w:sz w:val="16"/>
          <w:szCs w:val="16"/>
          <w:color w:val="auto"/>
        </w:rPr>
      </w:pPr>
    </w:p>
    <w:p>
      <w:pPr>
        <w:ind w:right="60" w:firstLine="436"/>
        <w:spacing w:after="0" w:line="286" w:lineRule="auto"/>
        <w:tabs>
          <w:tab w:leader="none" w:pos="6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advances to officers, directors and employees of the Borrower and Subsidiaries (i) in an aggregate amount not to exceed $500,000 at any time outstanding, for travel, entertainment, relocation and analogous ordinary business purposes and (ii) in an aggregate amount not to exceed $500,000 at any time outstanding, in connection with such Person’s purchase of Equity Interests of the Borrower;</w:t>
      </w:r>
    </w:p>
    <w:p>
      <w:pPr>
        <w:spacing w:after="0" w:line="57" w:lineRule="exact"/>
        <w:rPr>
          <w:rFonts w:ascii="Arial" w:cs="Arial" w:eastAsia="Arial" w:hAnsi="Arial"/>
          <w:sz w:val="17"/>
          <w:szCs w:val="17"/>
          <w:color w:val="auto"/>
        </w:rPr>
      </w:pPr>
    </w:p>
    <w:p>
      <w:pPr>
        <w:ind w:right="40" w:firstLine="436"/>
        <w:spacing w:after="0" w:line="289" w:lineRule="auto"/>
        <w:tabs>
          <w:tab w:leader="none" w:pos="68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(i) Investments by the Borrower and its Subsidiaries in their respective Subsidiaries outstanding on the </w:t>
      </w:r>
      <w:r>
        <w:rPr>
          <w:rFonts w:ascii="Arial" w:cs="Arial" w:eastAsia="Arial" w:hAnsi="Arial"/>
          <w:sz w:val="16"/>
          <w:szCs w:val="16"/>
          <w:color w:val="FF0000"/>
          <w:strike w:val="1"/>
        </w:rPr>
        <w:t>Second</w:t>
      </w:r>
      <w:r>
        <w:rPr>
          <w:rFonts w:ascii="Arial" w:cs="Arial" w:eastAsia="Arial" w:hAnsi="Arial"/>
          <w:sz w:val="16"/>
          <w:szCs w:val="16"/>
          <w:u w:val="single" w:color="auto"/>
          <w:color w:val="0000FF"/>
        </w:rPr>
        <w:t>Fourth</w:t>
      </w:r>
      <w:r>
        <w:rPr>
          <w:rFonts w:ascii="Arial" w:cs="Arial" w:eastAsia="Arial" w:hAnsi="Arial"/>
          <w:sz w:val="16"/>
          <w:szCs w:val="16"/>
          <w:color w:val="auto"/>
        </w:rPr>
        <w:t xml:space="preserve"> Amendment Effective Date, (ii) additional Investments by the Borrower and its Subsidiaries in Credit Parties, (iii) additional Investments by Non-Guarantor Subsidiaries in other Non-Guarantor Subsidiaries, </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(iv) Investments in Non-Guarantor Subsidiaries, together with any Investments made pursuant to </w:t>
      </w:r>
      <w:r>
        <w:rPr>
          <w:rFonts w:ascii="Arial" w:cs="Arial" w:eastAsia="Arial" w:hAnsi="Arial"/>
          <w:sz w:val="16"/>
          <w:szCs w:val="16"/>
          <w:u w:val="single" w:color="auto"/>
          <w:color w:val="auto"/>
        </w:rPr>
        <w:t>Section 9.2(h)</w:t>
      </w:r>
      <w:r>
        <w:rPr>
          <w:rFonts w:ascii="Arial" w:cs="Arial" w:eastAsia="Arial" w:hAnsi="Arial"/>
          <w:sz w:val="16"/>
          <w:szCs w:val="16"/>
          <w:color w:val="auto"/>
        </w:rPr>
        <w:t xml:space="preserve">, in an aggregate outstanding amount with respect to such Investments under this clause (iv) not to exceed </w:t>
      </w:r>
      <w:r>
        <w:rPr>
          <w:rFonts w:ascii="Arial" w:cs="Arial" w:eastAsia="Arial" w:hAnsi="Arial"/>
          <w:sz w:val="16"/>
          <w:szCs w:val="16"/>
          <w:color w:val="FF0000"/>
          <w:strike w:val="1"/>
        </w:rPr>
        <w:t>the greater of</w:t>
      </w:r>
      <w:r>
        <w:rPr>
          <w:rFonts w:ascii="Arial" w:cs="Arial" w:eastAsia="Arial" w:hAnsi="Arial"/>
          <w:sz w:val="16"/>
          <w:szCs w:val="16"/>
          <w:color w:val="auto"/>
        </w:rPr>
        <w:t xml:space="preserve"> $</w:t>
      </w:r>
      <w:r>
        <w:rPr>
          <w:rFonts w:ascii="Arial" w:cs="Arial" w:eastAsia="Arial" w:hAnsi="Arial"/>
          <w:sz w:val="16"/>
          <w:szCs w:val="16"/>
          <w:color w:val="FF0000"/>
          <w:strike w:val="1"/>
        </w:rPr>
        <w:t>100</w:t>
      </w:r>
      <w:r>
        <w:rPr>
          <w:rFonts w:ascii="Arial" w:cs="Arial" w:eastAsia="Arial" w:hAnsi="Arial"/>
          <w:sz w:val="16"/>
          <w:szCs w:val="16"/>
          <w:u w:val="single" w:color="auto"/>
          <w:color w:val="0000FF"/>
        </w:rPr>
        <w:t>5</w:t>
      </w:r>
      <w:r>
        <w:rPr>
          <w:rFonts w:ascii="Arial" w:cs="Arial" w:eastAsia="Arial" w:hAnsi="Arial"/>
          <w:sz w:val="16"/>
          <w:szCs w:val="16"/>
          <w:color w:val="auto"/>
        </w:rPr>
        <w:t xml:space="preserve"> ,000,000 </w:t>
      </w:r>
      <w:r>
        <w:rPr>
          <w:rFonts w:ascii="Arial" w:cs="Arial" w:eastAsia="Arial" w:hAnsi="Arial"/>
          <w:sz w:val="16"/>
          <w:szCs w:val="16"/>
          <w:color w:val="FF0000"/>
        </w:rPr>
        <w:t>and 10.0% of</w:t>
      </w:r>
      <w:r>
        <w:rPr>
          <w:rFonts w:ascii="Arial" w:cs="Arial" w:eastAsia="Arial" w:hAnsi="Arial"/>
          <w:sz w:val="16"/>
          <w:szCs w:val="16"/>
          <w:color w:val="auto"/>
        </w:rPr>
        <w:t xml:space="preserve"> </w:t>
      </w:r>
      <w:r>
        <w:rPr>
          <w:rFonts w:ascii="Arial" w:cs="Arial" w:eastAsia="Arial" w:hAnsi="Arial"/>
          <w:sz w:val="16"/>
          <w:szCs w:val="16"/>
          <w:color w:val="FF0000"/>
          <w:strike w:val="1"/>
        </w:rPr>
        <w:t>Consolidated Tangible Assets as of the most recently ended Measurement Period for which financial statements have been delivered pursuant to Section 8.1(a) or (b); and (v) direct or indirect Investments in Foreign Subsidiaries to fund direct and indirect Permitted Acquisitions by such Foreign Subsidiaries in an aggregate outstanding amount with respect to such Investments under this clause (v) not to exceed the greater of $100,000,000 and 10.0% of Consolidated Tangible Assets as of the most recently ended Measurement Period for which financial statements have been delivered pursuant to Section 8.1(a) or (b) (or in the case of a Limited Condition Acquisition, the date determined pursuant to Section 1.14);</w:t>
      </w:r>
      <w:r>
        <w:rPr>
          <w:rFonts w:ascii="Arial" w:cs="Arial" w:eastAsia="Arial" w:hAnsi="Arial"/>
          <w:sz w:val="16"/>
          <w:szCs w:val="16"/>
          <w:u w:val="single" w:color="auto"/>
          <w:color w:val="0000FF"/>
          <w:strike w:val="1"/>
        </w:rPr>
        <w:t>;</w:t>
      </w:r>
    </w:p>
    <w:p>
      <w:pPr>
        <w:spacing w:after="0" w:line="58" w:lineRule="exact"/>
        <w:rPr>
          <w:rFonts w:ascii="Arial" w:cs="Arial" w:eastAsia="Arial" w:hAnsi="Arial"/>
          <w:sz w:val="16"/>
          <w:szCs w:val="16"/>
          <w:color w:val="auto"/>
        </w:rPr>
      </w:pPr>
    </w:p>
    <w:p>
      <w:pPr>
        <w:jc w:val="both"/>
        <w:ind w:right="120" w:firstLine="436"/>
        <w:spacing w:after="0" w:line="263" w:lineRule="auto"/>
        <w:tabs>
          <w:tab w:leader="none" w:pos="6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Restricted Payments permitted by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436"/>
        <w:spacing w:after="0" w:line="263" w:lineRule="auto"/>
        <w:tabs>
          <w:tab w:leader="none" w:pos="66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Investments existing on the </w:t>
      </w:r>
      <w:r>
        <w:rPr>
          <w:rFonts w:ascii="Arial" w:cs="Arial" w:eastAsia="Arial" w:hAnsi="Arial"/>
          <w:sz w:val="18"/>
          <w:szCs w:val="18"/>
          <w:color w:val="FF0000"/>
          <w:strike w:val="1"/>
        </w:rPr>
        <w:t>Second</w:t>
      </w:r>
      <w:r>
        <w:rPr>
          <w:rFonts w:ascii="Arial" w:cs="Arial" w:eastAsia="Arial" w:hAnsi="Arial"/>
          <w:sz w:val="18"/>
          <w:szCs w:val="18"/>
          <w:u w:val="single" w:color="auto"/>
          <w:color w:val="0000FF"/>
        </w:rPr>
        <w:t>Fourth</w:t>
      </w:r>
      <w:r>
        <w:rPr>
          <w:rFonts w:ascii="Arial" w:cs="Arial" w:eastAsia="Arial" w:hAnsi="Arial"/>
          <w:sz w:val="18"/>
          <w:szCs w:val="18"/>
          <w:color w:val="auto"/>
        </w:rPr>
        <w:t xml:space="preserve"> Amendment Effective Date (other than those referred to in </w:t>
      </w:r>
      <w:r>
        <w:rPr>
          <w:rFonts w:ascii="Arial" w:cs="Arial" w:eastAsia="Arial" w:hAnsi="Arial"/>
          <w:sz w:val="18"/>
          <w:szCs w:val="18"/>
          <w:u w:val="single" w:color="auto"/>
          <w:color w:val="auto"/>
        </w:rPr>
        <w:t>Section 9.2(c)(i)</w:t>
      </w:r>
      <w:r>
        <w:rPr>
          <w:rFonts w:ascii="Arial" w:cs="Arial" w:eastAsia="Arial" w:hAnsi="Arial"/>
          <w:sz w:val="18"/>
          <w:szCs w:val="18"/>
          <w:color w:val="auto"/>
        </w:rPr>
        <w:t xml:space="preserve">) and set forth on </w:t>
      </w:r>
      <w:r>
        <w:rPr>
          <w:rFonts w:ascii="Arial" w:cs="Arial" w:eastAsia="Arial" w:hAnsi="Arial"/>
          <w:sz w:val="18"/>
          <w:szCs w:val="18"/>
          <w:u w:val="single" w:color="auto"/>
          <w:color w:val="auto"/>
        </w:rPr>
        <w:t>Schedule 7.8(d)</w:t>
      </w:r>
      <w:r>
        <w:rPr>
          <w:rFonts w:ascii="Arial" w:cs="Arial" w:eastAsia="Arial" w:hAnsi="Arial"/>
          <w:sz w:val="18"/>
          <w:szCs w:val="18"/>
          <w:color w:val="auto"/>
        </w:rPr>
        <w:t xml:space="preserve"> and any extensions, renewals or reinvestments thereof, so long as the amount of any Investment made pursuant to this clause (f) is not increased at any time above the amount of such Investment set forth on </w:t>
      </w:r>
      <w:r>
        <w:rPr>
          <w:rFonts w:ascii="Arial" w:cs="Arial" w:eastAsia="Arial" w:hAnsi="Arial"/>
          <w:sz w:val="18"/>
          <w:szCs w:val="18"/>
          <w:u w:val="single" w:color="auto"/>
          <w:color w:val="auto"/>
        </w:rPr>
        <w:t>Schedule 7.8(d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6156325</wp:posOffset>
            </wp:positionH>
            <wp:positionV relativeFrom="paragraph">
              <wp:posOffset>-1939925</wp:posOffset>
            </wp:positionV>
            <wp:extent cx="64135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60"/>
          </w:cols>
          <w:pgMar w:left="440" w:top="490" w:right="499" w:bottom="1440" w:gutter="0" w:footer="0" w:header="0"/>
        </w:sectPr>
      </w:pPr>
    </w:p>
    <w:bookmarkStart w:id="171" w:name="page172"/>
    <w:bookmarkEnd w:id="171"/>
    <w:p>
      <w:pPr>
        <w:ind w:left="-20" w:right="140" w:firstLine="436"/>
        <w:spacing w:after="0" w:line="277" w:lineRule="auto"/>
        <w:tabs>
          <w:tab w:leader="none" w:pos="675" w:val="left"/>
        </w:tabs>
        <w:numPr>
          <w:ilvl w:val="0"/>
          <w:numId w:val="205"/>
        </w:numPr>
        <w:rPr>
          <w:rFonts w:ascii="Arial" w:cs="Arial" w:eastAsia="Arial" w:hAnsi="Arial"/>
          <w:sz w:val="18"/>
          <w:szCs w:val="18"/>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other than during the Limited Waiver Period,</w:t>
      </w:r>
      <w:r>
        <w:rPr>
          <w:rFonts w:ascii="Arial" w:cs="Arial" w:eastAsia="Arial" w:hAnsi="Arial"/>
          <w:sz w:val="18"/>
          <w:szCs w:val="18"/>
          <w:color w:val="FF0000"/>
        </w:rPr>
        <w:t xml:space="preserve"> </w:t>
      </w:r>
      <w:r>
        <w:rPr>
          <w:rFonts w:ascii="Arial" w:cs="Arial" w:eastAsia="Arial" w:hAnsi="Arial"/>
          <w:sz w:val="18"/>
          <w:szCs w:val="18"/>
          <w:color w:val="000000"/>
        </w:rPr>
        <w:t>Acquisitions which meet the following requirements (each a “</w:t>
      </w:r>
      <w:r>
        <w:rPr>
          <w:rFonts w:ascii="Arial" w:cs="Arial" w:eastAsia="Arial" w:hAnsi="Arial"/>
          <w:sz w:val="18"/>
          <w:szCs w:val="18"/>
          <w:u w:val="single" w:color="auto"/>
          <w:color w:val="000000"/>
        </w:rPr>
        <w:t>Permitted Acquisition</w:t>
      </w:r>
      <w:r>
        <w:rPr>
          <w:rFonts w:ascii="Arial" w:cs="Arial" w:eastAsia="Arial" w:hAnsi="Arial"/>
          <w:sz w:val="18"/>
          <w:szCs w:val="18"/>
          <w:color w:val="000000"/>
        </w:rPr>
        <w:t>”) which, in</w:t>
      </w:r>
      <w:r>
        <w:rPr>
          <w:rFonts w:ascii="Arial" w:cs="Arial" w:eastAsia="Arial" w:hAnsi="Arial"/>
          <w:sz w:val="18"/>
          <w:szCs w:val="18"/>
          <w:color w:val="FF0000"/>
        </w:rPr>
        <w:t xml:space="preserve"> </w:t>
      </w:r>
      <w:r>
        <w:rPr>
          <w:rFonts w:ascii="Arial" w:cs="Arial" w:eastAsia="Arial" w:hAnsi="Arial"/>
          <w:sz w:val="18"/>
          <w:szCs w:val="18"/>
          <w:color w:val="000000"/>
        </w:rPr>
        <w:t xml:space="preserve">the case of a Permitted Acquisition that is a Limited Condition Acquisition, shall be subject to </w:t>
      </w:r>
      <w:r>
        <w:rPr>
          <w:rFonts w:ascii="Arial" w:cs="Arial" w:eastAsia="Arial" w:hAnsi="Arial"/>
          <w:sz w:val="18"/>
          <w:szCs w:val="18"/>
          <w:u w:val="single" w:color="auto"/>
          <w:color w:val="000000"/>
        </w:rPr>
        <w:t>Section 1.14</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jc w:val="both"/>
        <w:ind w:left="420" w:right="200" w:firstLine="419"/>
        <w:spacing w:after="0" w:line="263" w:lineRule="auto"/>
        <w:tabs>
          <w:tab w:leader="none" w:pos="105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lines of business of the Person to be (or the property of which is to be) so purchased or otherwise acquired shall be substantially the same lines of business as one or more of the principal businesses of the Borrower and its Subsidiaries in the ordinary course or another business reasonably related thereto;</w:t>
      </w:r>
    </w:p>
    <w:p>
      <w:pPr>
        <w:spacing w:after="0" w:line="75" w:lineRule="exact"/>
        <w:rPr>
          <w:rFonts w:ascii="Arial" w:cs="Arial" w:eastAsia="Arial" w:hAnsi="Arial"/>
          <w:sz w:val="18"/>
          <w:szCs w:val="18"/>
          <w:color w:val="auto"/>
        </w:rPr>
      </w:pPr>
    </w:p>
    <w:p>
      <w:pPr>
        <w:ind w:left="420" w:right="140" w:firstLine="419"/>
        <w:spacing w:after="0" w:line="277" w:lineRule="auto"/>
        <w:tabs>
          <w:tab w:leader="none" w:pos="110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in the case of any Acquisition of all or substantially all of the Equity Interest in a Person, such Acquisition shall have been approved by the board of directors (or other equivalent governing body) of such Person;</w:t>
      </w:r>
    </w:p>
    <w:p>
      <w:pPr>
        <w:spacing w:after="0" w:line="62" w:lineRule="exact"/>
        <w:rPr>
          <w:rFonts w:ascii="Arial" w:cs="Arial" w:eastAsia="Arial" w:hAnsi="Arial"/>
          <w:sz w:val="18"/>
          <w:szCs w:val="18"/>
          <w:color w:val="auto"/>
        </w:rPr>
      </w:pPr>
    </w:p>
    <w:p>
      <w:pPr>
        <w:ind w:left="420" w:right="280" w:firstLine="419"/>
        <w:spacing w:after="0" w:line="277" w:lineRule="auto"/>
        <w:tabs>
          <w:tab w:leader="none" w:pos="115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immediately before and immediately after giving pro forma effect to any such Acquisition, no Default or Event of Default shall have occurred and be continuing;</w:t>
      </w:r>
    </w:p>
    <w:p>
      <w:pPr>
        <w:spacing w:after="0" w:line="62" w:lineRule="exact"/>
        <w:rPr>
          <w:rFonts w:ascii="Arial" w:cs="Arial" w:eastAsia="Arial" w:hAnsi="Arial"/>
          <w:sz w:val="18"/>
          <w:szCs w:val="18"/>
          <w:color w:val="auto"/>
        </w:rPr>
      </w:pPr>
    </w:p>
    <w:p>
      <w:pPr>
        <w:ind w:left="420" w:right="100" w:firstLine="419"/>
        <w:spacing w:after="0" w:line="290" w:lineRule="auto"/>
        <w:tabs>
          <w:tab w:leader="none" w:pos="1148"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(A) the Borrower shall be in compliance with the covenants set forth in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w:t>
      </w:r>
      <w:r>
        <w:rPr>
          <w:rFonts w:ascii="Arial" w:cs="Arial" w:eastAsia="Arial" w:hAnsi="Arial"/>
          <w:sz w:val="16"/>
          <w:szCs w:val="16"/>
          <w:color w:val="FF0000"/>
          <w:strike w:val="1"/>
        </w:rPr>
        <w:t>(without giving effect to the increased maximum</w:t>
      </w:r>
      <w:r>
        <w:rPr>
          <w:rFonts w:ascii="Arial" w:cs="Arial" w:eastAsia="Arial" w:hAnsi="Arial"/>
          <w:sz w:val="16"/>
          <w:szCs w:val="16"/>
          <w:color w:val="auto"/>
        </w:rPr>
        <w:t xml:space="preserve"> </w:t>
      </w:r>
      <w:r>
        <w:rPr>
          <w:rFonts w:ascii="Arial" w:cs="Arial" w:eastAsia="Arial" w:hAnsi="Arial"/>
          <w:sz w:val="16"/>
          <w:szCs w:val="16"/>
          <w:color w:val="FF0000"/>
          <w:strike w:val="1"/>
        </w:rPr>
        <w:t>Consolidated Net Leverage Ratio levels permitted during the Covenant Relief Period set forth in</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Section 9.11(b))</w:t>
      </w:r>
      <w:r>
        <w:rPr>
          <w:rFonts w:ascii="Arial" w:cs="Arial" w:eastAsia="Arial" w:hAnsi="Arial"/>
          <w:sz w:val="16"/>
          <w:szCs w:val="16"/>
          <w:color w:val="FF0000"/>
        </w:rPr>
        <w:t xml:space="preserve"> </w:t>
      </w:r>
      <w:r>
        <w:rPr>
          <w:rFonts w:ascii="Arial" w:cs="Arial" w:eastAsia="Arial" w:hAnsi="Arial"/>
          <w:sz w:val="16"/>
          <w:szCs w:val="16"/>
          <w:color w:val="000000"/>
        </w:rPr>
        <w:t>as of the last day of the most</w:t>
      </w:r>
      <w:r>
        <w:rPr>
          <w:rFonts w:ascii="Arial" w:cs="Arial" w:eastAsia="Arial" w:hAnsi="Arial"/>
          <w:sz w:val="16"/>
          <w:szCs w:val="16"/>
          <w:color w:val="FF0000"/>
        </w:rPr>
        <w:t xml:space="preserve"> </w:t>
      </w:r>
      <w:r>
        <w:rPr>
          <w:rFonts w:ascii="Arial" w:cs="Arial" w:eastAsia="Arial" w:hAnsi="Arial"/>
          <w:sz w:val="16"/>
          <w:szCs w:val="16"/>
          <w:color w:val="000000"/>
        </w:rPr>
        <w:t xml:space="preserve">recently ended Measurement Period for which financial statements have been delivered pursuant to </w:t>
      </w:r>
      <w:r>
        <w:rPr>
          <w:rFonts w:ascii="Arial" w:cs="Arial" w:eastAsia="Arial" w:hAnsi="Arial"/>
          <w:sz w:val="16"/>
          <w:szCs w:val="16"/>
          <w:u w:val="single" w:color="auto"/>
          <w:color w:val="000000"/>
        </w:rPr>
        <w:t>Section 8.1(a)</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(b)</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(d)</w:t>
      </w:r>
      <w:r>
        <w:rPr>
          <w:rFonts w:ascii="Arial" w:cs="Arial" w:eastAsia="Arial" w:hAnsi="Arial"/>
          <w:sz w:val="16"/>
          <w:szCs w:val="16"/>
          <w:color w:val="000000"/>
        </w:rPr>
        <w:t xml:space="preserve"> on a pro forma basis (after giving effect to such Acquisition, including any </w:t>
      </w:r>
      <w:r>
        <w:rPr>
          <w:rFonts w:ascii="Arial" w:cs="Arial" w:eastAsia="Arial" w:hAnsi="Arial"/>
          <w:sz w:val="16"/>
          <w:szCs w:val="16"/>
          <w:color w:val="FF0000"/>
          <w:strike w:val="1"/>
        </w:rPr>
        <w:t>Credit</w:t>
      </w:r>
      <w:r>
        <w:rPr>
          <w:rFonts w:ascii="Arial" w:cs="Arial" w:eastAsia="Arial" w:hAnsi="Arial"/>
          <w:sz w:val="16"/>
          <w:szCs w:val="16"/>
          <w:color w:val="000000"/>
        </w:rPr>
        <w:t xml:space="preserve"> Extensions </w:t>
      </w:r>
      <w:r>
        <w:rPr>
          <w:rFonts w:ascii="Arial" w:cs="Arial" w:eastAsia="Arial" w:hAnsi="Arial"/>
          <w:sz w:val="16"/>
          <w:szCs w:val="16"/>
          <w:u w:val="single" w:color="auto"/>
          <w:color w:val="0000FF"/>
        </w:rPr>
        <w:t>of Credit</w:t>
      </w:r>
      <w:r>
        <w:rPr>
          <w:rFonts w:ascii="Arial" w:cs="Arial" w:eastAsia="Arial" w:hAnsi="Arial"/>
          <w:sz w:val="16"/>
          <w:szCs w:val="16"/>
          <w:color w:val="000000"/>
        </w:rPr>
        <w:t xml:space="preserve"> to be made to fund any such Acquisition) as though such Acquisition had been consummated as of the first day of such Measurement Period, and (B) </w:t>
      </w:r>
      <w:r>
        <w:rPr>
          <w:rFonts w:ascii="Arial" w:cs="Arial" w:eastAsia="Arial" w:hAnsi="Arial"/>
          <w:sz w:val="16"/>
          <w:szCs w:val="16"/>
          <w:color w:val="008000"/>
          <w:strike w:val="1"/>
        </w:rPr>
        <w:t>in the case of any</w:t>
      </w:r>
      <w:r>
        <w:rPr>
          <w:rFonts w:ascii="Arial" w:cs="Arial" w:eastAsia="Arial" w:hAnsi="Arial"/>
          <w:sz w:val="16"/>
          <w:szCs w:val="16"/>
          <w:color w:val="000000"/>
        </w:rPr>
        <w:t xml:space="preserve"> </w:t>
      </w:r>
      <w:r>
        <w:rPr>
          <w:rFonts w:ascii="Arial" w:cs="Arial" w:eastAsia="Arial" w:hAnsi="Arial"/>
          <w:sz w:val="16"/>
          <w:szCs w:val="16"/>
          <w:color w:val="FF0000"/>
          <w:strike w:val="1"/>
        </w:rPr>
        <w:t>Acquisition having</w:t>
      </w:r>
      <w:r>
        <w:rPr>
          <w:rFonts w:ascii="Arial" w:cs="Arial" w:eastAsia="Arial" w:hAnsi="Arial"/>
          <w:sz w:val="16"/>
          <w:szCs w:val="16"/>
          <w:color w:val="000000"/>
        </w:rPr>
        <w:t xml:space="preserve"> </w:t>
      </w:r>
      <w:r>
        <w:rPr>
          <w:rFonts w:ascii="Arial" w:cs="Arial" w:eastAsia="Arial" w:hAnsi="Arial"/>
          <w:sz w:val="16"/>
          <w:szCs w:val="16"/>
          <w:color w:val="008000"/>
          <w:strike w:val="1"/>
        </w:rPr>
        <w:t>aggregate</w:t>
      </w:r>
      <w:r>
        <w:rPr>
          <w:rFonts w:ascii="Arial" w:cs="Arial" w:eastAsia="Arial" w:hAnsi="Arial"/>
          <w:sz w:val="16"/>
          <w:szCs w:val="16"/>
          <w:color w:val="000000"/>
        </w:rPr>
        <w:t xml:space="preserve"> </w:t>
      </w:r>
      <w:r>
        <w:rPr>
          <w:rFonts w:ascii="Arial" w:cs="Arial" w:eastAsia="Arial" w:hAnsi="Arial"/>
          <w:sz w:val="16"/>
          <w:szCs w:val="16"/>
          <w:color w:val="008000"/>
          <w:strike w:val="1"/>
        </w:rPr>
        <w:t>consideration (including cash, Cash Equivalents and other deferred payment obligations)</w:t>
      </w:r>
      <w:r>
        <w:rPr>
          <w:rFonts w:ascii="Arial" w:cs="Arial" w:eastAsia="Arial" w:hAnsi="Arial"/>
          <w:sz w:val="16"/>
          <w:szCs w:val="16"/>
          <w:color w:val="008000"/>
        </w:rPr>
        <w:t xml:space="preserve"> </w:t>
      </w:r>
      <w:r>
        <w:rPr>
          <w:rFonts w:ascii="Arial" w:cs="Arial" w:eastAsia="Arial" w:hAnsi="Arial"/>
          <w:sz w:val="16"/>
          <w:szCs w:val="16"/>
          <w:color w:val="FF0000"/>
          <w:strike w:val="1"/>
        </w:rPr>
        <w:t>in excess of $75,000,000,</w:t>
      </w:r>
      <w:r>
        <w:rPr>
          <w:rFonts w:ascii="Arial" w:cs="Arial" w:eastAsia="Arial" w:hAnsi="Arial"/>
          <w:sz w:val="16"/>
          <w:szCs w:val="16"/>
          <w:color w:val="008000"/>
        </w:rPr>
        <w:t xml:space="preserve"> </w:t>
      </w:r>
      <w:r>
        <w:rPr>
          <w:rFonts w:ascii="Arial" w:cs="Arial" w:eastAsia="Arial" w:hAnsi="Arial"/>
          <w:sz w:val="16"/>
          <w:szCs w:val="16"/>
          <w:color w:val="000000"/>
        </w:rPr>
        <w:t>the Borrower shall have</w:t>
      </w:r>
      <w:r>
        <w:rPr>
          <w:rFonts w:ascii="Arial" w:cs="Arial" w:eastAsia="Arial" w:hAnsi="Arial"/>
          <w:sz w:val="16"/>
          <w:szCs w:val="16"/>
          <w:color w:val="008000"/>
        </w:rPr>
        <w:t xml:space="preserve"> </w:t>
      </w:r>
      <w:r>
        <w:rPr>
          <w:rFonts w:ascii="Arial" w:cs="Arial" w:eastAsia="Arial" w:hAnsi="Arial"/>
          <w:sz w:val="16"/>
          <w:szCs w:val="16"/>
          <w:color w:val="000000"/>
        </w:rPr>
        <w:t>provided to the Administrative Agent not less than five (5) Business Days (or such shorter period as agreed to by the Administrative Agent in its sole discretion) prior to the consummation of such Acquisition a Compliance Certificate demonstrating such compliance;</w:t>
      </w:r>
    </w:p>
    <w:p>
      <w:pPr>
        <w:spacing w:after="0" w:line="57" w:lineRule="exact"/>
        <w:rPr>
          <w:rFonts w:ascii="Arial" w:cs="Arial" w:eastAsia="Arial" w:hAnsi="Arial"/>
          <w:sz w:val="16"/>
          <w:szCs w:val="16"/>
          <w:color w:val="auto"/>
        </w:rPr>
      </w:pPr>
    </w:p>
    <w:p>
      <w:pPr>
        <w:ind w:left="420" w:right="60" w:firstLine="419"/>
        <w:spacing w:after="0" w:line="277" w:lineRule="auto"/>
        <w:tabs>
          <w:tab w:leader="none" w:pos="1098" w:val="left"/>
        </w:tabs>
        <w:numPr>
          <w:ilvl w:val="1"/>
          <w:numId w:val="20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that the </w:t>
      </w:r>
      <w:r>
        <w:rPr>
          <w:rFonts w:ascii="Arial" w:cs="Arial" w:eastAsia="Arial" w:hAnsi="Arial"/>
          <w:sz w:val="18"/>
          <w:szCs w:val="18"/>
          <w:u w:val="single" w:color="auto"/>
          <w:color w:val="008000"/>
        </w:rPr>
        <w:t>aggregate consideration (including cash, Cash Equivalents and other deferred payment obligations)</w:t>
      </w:r>
      <w:r>
        <w:rPr>
          <w:rFonts w:ascii="Arial" w:cs="Arial" w:eastAsia="Arial" w:hAnsi="Arial"/>
          <w:sz w:val="18"/>
          <w:szCs w:val="18"/>
          <w:u w:val="single" w:color="auto"/>
          <w:color w:val="0000FF"/>
        </w:rPr>
        <w:t xml:space="preserve"> of all Permitted Acquisitions during any Fiscal Year shall not exceed $10,000,000;</w:t>
      </w:r>
    </w:p>
    <w:p>
      <w:pPr>
        <w:spacing w:after="0" w:line="62" w:lineRule="exact"/>
        <w:rPr>
          <w:rFonts w:ascii="Arial" w:cs="Arial" w:eastAsia="Arial" w:hAnsi="Arial"/>
          <w:sz w:val="18"/>
          <w:szCs w:val="18"/>
          <w:u w:val="single" w:color="auto"/>
          <w:color w:val="0000FF"/>
        </w:rPr>
      </w:pPr>
    </w:p>
    <w:p>
      <w:pPr>
        <w:ind w:left="420" w:right="100" w:firstLine="419"/>
        <w:spacing w:after="0" w:line="259" w:lineRule="auto"/>
        <w:tabs>
          <w:tab w:leader="none" w:pos="1148" w:val="left"/>
        </w:tabs>
        <w:numPr>
          <w:ilvl w:val="1"/>
          <w:numId w:val="205"/>
        </w:numPr>
        <w:rPr>
          <w:rFonts w:ascii="Arial" w:cs="Arial" w:eastAsia="Arial" w:hAnsi="Arial"/>
          <w:sz w:val="18"/>
          <w:szCs w:val="18"/>
          <w:u w:val="single" w:color="auto"/>
          <w:color w:val="0000FF"/>
        </w:rPr>
      </w:pPr>
      <w:r>
        <w:rPr>
          <w:rFonts w:ascii="Arial" w:cs="Arial" w:eastAsia="Arial" w:hAnsi="Arial"/>
          <w:sz w:val="18"/>
          <w:szCs w:val="18"/>
          <w:color w:val="FF0000"/>
          <w:strike w:val="1"/>
        </w:rPr>
        <w:t>(v)</w:t>
      </w:r>
      <w:r>
        <w:rPr>
          <w:rFonts w:ascii="Arial" w:cs="Arial" w:eastAsia="Arial" w:hAnsi="Arial"/>
          <w:sz w:val="18"/>
          <w:szCs w:val="18"/>
          <w:color w:val="FF0000"/>
        </w:rPr>
        <w:t xml:space="preserve"> </w:t>
      </w:r>
      <w:r>
        <w:rPr>
          <w:rFonts w:ascii="Arial" w:cs="Arial" w:eastAsia="Arial" w:hAnsi="Arial"/>
          <w:sz w:val="18"/>
          <w:szCs w:val="18"/>
          <w:color w:val="000000"/>
        </w:rPr>
        <w:t>the Borrower shall have delivered to the Administrative Agent (which the Administrative Agent shall make available to each</w:t>
      </w:r>
      <w:r>
        <w:rPr>
          <w:rFonts w:ascii="Arial" w:cs="Arial" w:eastAsia="Arial" w:hAnsi="Arial"/>
          <w:sz w:val="18"/>
          <w:szCs w:val="18"/>
          <w:color w:val="FF0000"/>
        </w:rPr>
        <w:t xml:space="preserve"> </w:t>
      </w:r>
      <w:r>
        <w:rPr>
          <w:rFonts w:ascii="Arial" w:cs="Arial" w:eastAsia="Arial" w:hAnsi="Arial"/>
          <w:sz w:val="18"/>
          <w:szCs w:val="18"/>
          <w:color w:val="000000"/>
        </w:rPr>
        <w:t>Lender), at least five (5) Business Days (or such shorter period as agreed to by the Administrative Agent in its sole discretion) prior to the date on which any such Acquisition is to be consummated, a description of such Acquisition with a reasonably detailed summary of all earnouts, milestones and other contingent payment obligations in connection with such Acquisition; and</w:t>
      </w:r>
    </w:p>
    <w:p>
      <w:pPr>
        <w:spacing w:after="0" w:line="78" w:lineRule="exact"/>
        <w:rPr>
          <w:rFonts w:ascii="Arial" w:cs="Arial" w:eastAsia="Arial" w:hAnsi="Arial"/>
          <w:sz w:val="18"/>
          <w:szCs w:val="18"/>
          <w:u w:val="single" w:color="auto"/>
          <w:color w:val="0000FF"/>
        </w:rPr>
      </w:pPr>
    </w:p>
    <w:p>
      <w:pPr>
        <w:ind w:left="420" w:right="560" w:firstLine="419"/>
        <w:spacing w:after="0" w:line="308" w:lineRule="auto"/>
        <w:tabs>
          <w:tab w:leader="none" w:pos="1198" w:val="left"/>
        </w:tabs>
        <w:numPr>
          <w:ilvl w:val="1"/>
          <w:numId w:val="205"/>
        </w:numPr>
        <w:rPr>
          <w:rFonts w:ascii="Arial" w:cs="Arial" w:eastAsia="Arial" w:hAnsi="Arial"/>
          <w:sz w:val="17"/>
          <w:szCs w:val="17"/>
          <w:u w:val="single" w:color="auto"/>
          <w:color w:val="0000FF"/>
        </w:rPr>
      </w:pPr>
      <w:r>
        <w:rPr>
          <w:rFonts w:ascii="Arial" w:cs="Arial" w:eastAsia="Arial" w:hAnsi="Arial"/>
          <w:sz w:val="17"/>
          <w:szCs w:val="17"/>
          <w:color w:val="FF0000"/>
          <w:strike w:val="1"/>
        </w:rPr>
        <w:t>(vi)</w:t>
      </w:r>
      <w:r>
        <w:rPr>
          <w:rFonts w:ascii="Arial" w:cs="Arial" w:eastAsia="Arial" w:hAnsi="Arial"/>
          <w:sz w:val="17"/>
          <w:szCs w:val="17"/>
          <w:color w:val="FF0000"/>
        </w:rPr>
        <w:t xml:space="preserve"> </w:t>
      </w:r>
      <w:r>
        <w:rPr>
          <w:rFonts w:ascii="Arial" w:cs="Arial" w:eastAsia="Arial" w:hAnsi="Arial"/>
          <w:sz w:val="17"/>
          <w:szCs w:val="17"/>
          <w:color w:val="000000"/>
        </w:rPr>
        <w:t>the Borrower shall have delivered to the Administrative Agent a certificate of a Responsible Officer certifying that all of the</w:t>
      </w:r>
      <w:r>
        <w:rPr>
          <w:rFonts w:ascii="Arial" w:cs="Arial" w:eastAsia="Arial" w:hAnsi="Arial"/>
          <w:sz w:val="17"/>
          <w:szCs w:val="17"/>
          <w:color w:val="FF0000"/>
        </w:rPr>
        <w:t xml:space="preserve"> </w:t>
      </w:r>
      <w:r>
        <w:rPr>
          <w:rFonts w:ascii="Arial" w:cs="Arial" w:eastAsia="Arial" w:hAnsi="Arial"/>
          <w:sz w:val="17"/>
          <w:szCs w:val="17"/>
          <w:color w:val="000000"/>
        </w:rPr>
        <w:t>requirements set forth above have been satisfied or will be satisfied on or prior to the consummation of such Acquisition;</w:t>
      </w:r>
    </w:p>
    <w:p>
      <w:pPr>
        <w:spacing w:after="0" w:line="38" w:lineRule="exact"/>
        <w:rPr>
          <w:rFonts w:ascii="Arial" w:cs="Arial" w:eastAsia="Arial" w:hAnsi="Arial"/>
          <w:sz w:val="17"/>
          <w:szCs w:val="17"/>
          <w:u w:val="single" w:color="auto"/>
          <w:color w:val="0000FF"/>
        </w:rPr>
      </w:pPr>
    </w:p>
    <w:p>
      <w:pPr>
        <w:ind w:left="680" w:hanging="264"/>
        <w:spacing w:after="0"/>
        <w:tabs>
          <w:tab w:leader="none" w:pos="6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other Investments not exceeding $</w:t>
      </w:r>
      <w:r>
        <w:rPr>
          <w:rFonts w:ascii="Arial" w:cs="Arial" w:eastAsia="Arial" w:hAnsi="Arial"/>
          <w:sz w:val="18"/>
          <w:szCs w:val="18"/>
          <w:color w:val="FF0000"/>
          <w:strike w:val="1"/>
        </w:rPr>
        <w:t>2</w:t>
      </w:r>
      <w:r>
        <w:rPr>
          <w:rFonts w:ascii="Arial" w:cs="Arial" w:eastAsia="Arial" w:hAnsi="Arial"/>
          <w:sz w:val="18"/>
          <w:szCs w:val="18"/>
          <w:color w:val="auto"/>
        </w:rPr>
        <w:t>5,000,000 at any time outstanding;</w:t>
      </w:r>
    </w:p>
    <w:p>
      <w:pPr>
        <w:spacing w:after="0" w:line="117" w:lineRule="exact"/>
        <w:rPr>
          <w:rFonts w:ascii="Arial" w:cs="Arial" w:eastAsia="Arial" w:hAnsi="Arial"/>
          <w:sz w:val="18"/>
          <w:szCs w:val="18"/>
          <w:color w:val="auto"/>
        </w:rPr>
      </w:pPr>
    </w:p>
    <w:p>
      <w:pPr>
        <w:ind w:left="-20" w:firstLine="436"/>
        <w:spacing w:after="0" w:line="257" w:lineRule="auto"/>
        <w:tabs>
          <w:tab w:leader="none" w:pos="635" w:val="left"/>
        </w:tabs>
        <w:numPr>
          <w:ilvl w:val="0"/>
          <w:numId w:val="20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other than during the Limited Waiver Period, other Investments not otherwise permitted pursuant to this Section;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as of the date of such Investment, immediately before and immediately after giving pro forma effect to the making of any such Investment and any Indebtedness incurred in connection therewith (i) no Default or Event of Default shall have occurred and be continuing and (ii) the Consolidated Net Leverage Ratio is less than 2.25 to 1.00 as of the last day of the most recently ended Measurement Period for which financial statements have been delivered pursuant to </w:t>
      </w:r>
      <w:r>
        <w:rPr>
          <w:rFonts w:ascii="Arial" w:cs="Arial" w:eastAsia="Arial" w:hAnsi="Arial"/>
          <w:sz w:val="18"/>
          <w:szCs w:val="18"/>
          <w:u w:val="single" w:color="auto"/>
          <w:color w:val="FF0000"/>
          <w:strike w:val="1"/>
        </w:rPr>
        <w:t>Section 8.1(a)</w:t>
      </w: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 xml:space="preserve"> (b) </w:t>
      </w:r>
      <w:r>
        <w:rPr>
          <w:rFonts w:ascii="Arial" w:cs="Arial" w:eastAsia="Arial" w:hAnsi="Arial"/>
          <w:sz w:val="18"/>
          <w:szCs w:val="18"/>
          <w:color w:val="FF0000"/>
          <w:strike w:val="1"/>
        </w:rPr>
        <w:t>or</w:t>
      </w:r>
      <w:r>
        <w:rPr>
          <w:rFonts w:ascii="Arial" w:cs="Arial" w:eastAsia="Arial" w:hAnsi="Arial"/>
          <w:sz w:val="18"/>
          <w:szCs w:val="18"/>
          <w:u w:val="single" w:color="auto"/>
          <w:color w:val="FF0000"/>
          <w:strike w:val="1"/>
        </w:rPr>
        <w:t xml:space="preserve"> (d)</w:t>
      </w:r>
      <w:r>
        <w:rPr>
          <w:rFonts w:ascii="Arial" w:cs="Arial" w:eastAsia="Arial" w:hAnsi="Arial"/>
          <w:sz w:val="18"/>
          <w:szCs w:val="18"/>
          <w:color w:val="FF0000"/>
          <w:strike w:val="1"/>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80"/>
          </w:cols>
          <w:pgMar w:left="460" w:top="490" w:right="459" w:bottom="1440" w:gutter="0" w:footer="0" w:header="0"/>
        </w:sectPr>
      </w:pPr>
    </w:p>
    <w:bookmarkStart w:id="172" w:name="page173"/>
    <w:bookmarkEnd w:id="172"/>
    <w:p>
      <w:pPr>
        <w:ind w:left="4" w:firstLine="436"/>
        <w:spacing w:after="0" w:line="263" w:lineRule="auto"/>
        <w:tabs>
          <w:tab w:leader="none" w:pos="659" w:val="left"/>
        </w:tabs>
        <w:numPr>
          <w:ilvl w:val="0"/>
          <w:numId w:val="20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Investments consisting of the payment of the “Subsequent Payment” pursuant to and as defined in that certain Asset Purchase Agreement, dated as of July 1, 2022, by and between Emergent Manufacturing Operations Baltimore LLC and Ridgeback Biotherapeutics, L.P.,</w:t>
      </w:r>
      <w:r>
        <w:rPr>
          <w:rFonts w:ascii="Arial" w:cs="Arial" w:eastAsia="Arial" w:hAnsi="Arial"/>
          <w:sz w:val="18"/>
          <w:szCs w:val="18"/>
          <w:color w:val="0000FF"/>
        </w:rPr>
        <w:t xml:space="preserve"> </w:t>
      </w:r>
      <w:r>
        <w:rPr>
          <w:rFonts w:ascii="Arial" w:cs="Arial" w:eastAsia="Arial" w:hAnsi="Arial"/>
          <w:sz w:val="18"/>
          <w:szCs w:val="18"/>
          <w:color w:val="008000"/>
        </w:rPr>
        <w:t>as in effect on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Fourth</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Amendment Effective Date;</w:t>
      </w:r>
    </w:p>
    <w:p>
      <w:pPr>
        <w:spacing w:after="0" w:line="75" w:lineRule="exact"/>
        <w:rPr>
          <w:rFonts w:ascii="Arial" w:cs="Arial" w:eastAsia="Arial" w:hAnsi="Arial"/>
          <w:sz w:val="18"/>
          <w:szCs w:val="18"/>
          <w:u w:val="single" w:color="auto"/>
          <w:color w:val="0000FF"/>
        </w:rPr>
      </w:pPr>
    </w:p>
    <w:p>
      <w:pPr>
        <w:ind w:left="664" w:hanging="224"/>
        <w:spacing w:after="0"/>
        <w:tabs>
          <w:tab w:leader="none" w:pos="66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Investments consisting of Hedge Agreements permitted under </w:t>
      </w:r>
      <w:r>
        <w:rPr>
          <w:rFonts w:ascii="Arial" w:cs="Arial" w:eastAsia="Arial" w:hAnsi="Arial"/>
          <w:sz w:val="18"/>
          <w:szCs w:val="18"/>
          <w:u w:val="single" w:color="auto"/>
          <w:color w:val="auto"/>
        </w:rPr>
        <w:t>Section 9.3(e)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Investments in the Equity Interest of the Borrower which is held by the Borrower as treasury stock;</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Investments constituting non-cash proceeds of Dispositions of assets to the extent permitted by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44" w:hanging="304"/>
        <w:spacing w:after="0"/>
        <w:tabs>
          <w:tab w:leader="none" w:pos="744" w:val="left"/>
        </w:tabs>
        <w:numPr>
          <w:ilvl w:val="0"/>
          <w:numId w:val="206"/>
        </w:numPr>
        <w:rPr>
          <w:rFonts w:ascii="Arial" w:cs="Arial" w:eastAsia="Arial" w:hAnsi="Arial"/>
          <w:sz w:val="18"/>
          <w:szCs w:val="18"/>
          <w:color w:val="FF0000"/>
          <w:strike w:val="1"/>
        </w:rPr>
      </w:pPr>
      <w:r>
        <w:rPr>
          <w:rFonts w:ascii="Arial" w:cs="Arial" w:eastAsia="Arial" w:hAnsi="Arial"/>
          <w:sz w:val="18"/>
          <w:szCs w:val="18"/>
          <w:color w:val="FF0000"/>
          <w:strike w:val="1"/>
        </w:rPr>
        <w:t>the Adapt Acquisition and the Adapt Acquisition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5743575</wp:posOffset>
            </wp:positionH>
            <wp:positionV relativeFrom="paragraph">
              <wp:posOffset>-944880</wp:posOffset>
            </wp:positionV>
            <wp:extent cx="86550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-970280</wp:posOffset>
            </wp:positionV>
            <wp:extent cx="8674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67410" cy="8255"/>
                    </a:xfrm>
                    <a:prstGeom prst="rect">
                      <a:avLst/>
                    </a:prstGeom>
                    <a:noFill/>
                  </pic:spPr>
                </pic:pic>
              </a:graphicData>
            </a:graphic>
          </wp:anchor>
        </w:drawing>
      </w:r>
    </w:p>
    <w:p>
      <w:pPr>
        <w:spacing w:after="0" w:line="97" w:lineRule="exact"/>
        <w:rPr>
          <w:sz w:val="20"/>
          <w:szCs w:val="20"/>
          <w:color w:val="auto"/>
        </w:rPr>
      </w:pPr>
    </w:p>
    <w:p>
      <w:pPr>
        <w:ind w:left="744" w:hanging="304"/>
        <w:spacing w:after="0"/>
        <w:tabs>
          <w:tab w:leader="none" w:pos="744" w:val="left"/>
        </w:tabs>
        <w:numPr>
          <w:ilvl w:val="0"/>
          <w:numId w:val="207"/>
        </w:numPr>
        <w:rPr>
          <w:rFonts w:ascii="Arial" w:cs="Arial" w:eastAsia="Arial" w:hAnsi="Arial"/>
          <w:sz w:val="18"/>
          <w:szCs w:val="18"/>
          <w:u w:val="single" w:color="auto"/>
          <w:color w:val="0000FF"/>
        </w:rPr>
      </w:pPr>
      <w:r>
        <w:rPr>
          <w:rFonts w:ascii="Arial" w:cs="Arial" w:eastAsia="Arial" w:hAnsi="Arial"/>
          <w:sz w:val="18"/>
          <w:szCs w:val="18"/>
          <w:color w:val="FF0000"/>
          <w:strike w:val="1"/>
        </w:rPr>
        <w:t>(n)</w:t>
      </w:r>
      <w:r>
        <w:rPr>
          <w:rFonts w:ascii="Arial" w:cs="Arial" w:eastAsia="Arial" w:hAnsi="Arial"/>
          <w:sz w:val="18"/>
          <w:szCs w:val="18"/>
          <w:color w:val="FF0000"/>
        </w:rPr>
        <w:t xml:space="preserve"> </w:t>
      </w:r>
      <w:r>
        <w:rPr>
          <w:rFonts w:ascii="Arial" w:cs="Arial" w:eastAsia="Arial" w:hAnsi="Arial"/>
          <w:sz w:val="18"/>
          <w:szCs w:val="18"/>
          <w:color w:val="000000"/>
        </w:rPr>
        <w:t>the Adapt US/Canada Integration;</w:t>
      </w:r>
      <w:r>
        <w:rPr>
          <w:rFonts w:ascii="Arial" w:cs="Arial" w:eastAsia="Arial" w:hAnsi="Arial"/>
          <w:sz w:val="18"/>
          <w:szCs w:val="18"/>
          <w:color w:val="FF0000"/>
        </w:rPr>
        <w:t xml:space="preserve"> </w:t>
      </w:r>
      <w:r>
        <w:rPr>
          <w:rFonts w:ascii="Arial" w:cs="Arial" w:eastAsia="Arial" w:hAnsi="Arial"/>
          <w:sz w:val="18"/>
          <w:szCs w:val="18"/>
          <w:color w:val="FF0000"/>
          <w:strike w:val="1"/>
        </w:rPr>
        <w:t>and</w:t>
      </w:r>
    </w:p>
    <w:p>
      <w:pPr>
        <w:spacing w:after="0" w:line="117" w:lineRule="exact"/>
        <w:rPr>
          <w:rFonts w:ascii="Arial" w:cs="Arial" w:eastAsia="Arial" w:hAnsi="Arial"/>
          <w:sz w:val="18"/>
          <w:szCs w:val="18"/>
          <w:u w:val="single" w:color="auto"/>
          <w:color w:val="0000FF"/>
        </w:rPr>
      </w:pPr>
    </w:p>
    <w:p>
      <w:pPr>
        <w:ind w:left="704" w:hanging="264"/>
        <w:spacing w:after="0"/>
        <w:tabs>
          <w:tab w:leader="none" w:pos="704" w:val="left"/>
        </w:tabs>
        <w:numPr>
          <w:ilvl w:val="0"/>
          <w:numId w:val="207"/>
        </w:numPr>
        <w:rPr>
          <w:rFonts w:ascii="Arial" w:cs="Arial" w:eastAsia="Arial" w:hAnsi="Arial"/>
          <w:sz w:val="18"/>
          <w:szCs w:val="18"/>
          <w:u w:val="single" w:color="auto"/>
          <w:color w:val="0000FF"/>
        </w:rPr>
      </w:pPr>
      <w:r>
        <w:rPr>
          <w:rFonts w:ascii="Arial" w:cs="Arial" w:eastAsia="Arial" w:hAnsi="Arial"/>
          <w:sz w:val="18"/>
          <w:szCs w:val="18"/>
          <w:color w:val="FF0000"/>
          <w:strike w:val="1"/>
        </w:rPr>
        <w:t>(o)</w:t>
      </w:r>
      <w:r>
        <w:rPr>
          <w:rFonts w:ascii="Arial" w:cs="Arial" w:eastAsia="Arial" w:hAnsi="Arial"/>
          <w:sz w:val="18"/>
          <w:szCs w:val="18"/>
          <w:color w:val="FF0000"/>
        </w:rPr>
        <w:t xml:space="preserve"> </w:t>
      </w:r>
      <w:r>
        <w:rPr>
          <w:rFonts w:ascii="Arial" w:cs="Arial" w:eastAsia="Arial" w:hAnsi="Arial"/>
          <w:sz w:val="18"/>
          <w:szCs w:val="18"/>
          <w:color w:val="000000"/>
        </w:rPr>
        <w:t>the PaxVax US Integration</w:t>
      </w:r>
      <w:r>
        <w:rPr>
          <w:rFonts w:ascii="Arial" w:cs="Arial" w:eastAsia="Arial" w:hAnsi="Arial"/>
          <w:sz w:val="18"/>
          <w:szCs w:val="18"/>
          <w:color w:val="FF0000"/>
          <w:strike w:val="1"/>
        </w:rPr>
        <w:t>.</w:t>
      </w:r>
      <w:r>
        <w:rPr>
          <w:rFonts w:ascii="Arial" w:cs="Arial" w:eastAsia="Arial" w:hAnsi="Arial"/>
          <w:sz w:val="18"/>
          <w:szCs w:val="18"/>
          <w:u w:val="single" w:color="auto"/>
          <w:color w:val="0000FF"/>
        </w:rPr>
        <w:t>; and</w:t>
      </w:r>
    </w:p>
    <w:p>
      <w:pPr>
        <w:spacing w:after="0" w:line="117" w:lineRule="exact"/>
        <w:rPr>
          <w:rFonts w:ascii="Arial" w:cs="Arial" w:eastAsia="Arial" w:hAnsi="Arial"/>
          <w:sz w:val="18"/>
          <w:szCs w:val="18"/>
          <w:u w:val="single" w:color="auto"/>
          <w:color w:val="0000FF"/>
        </w:rPr>
      </w:pPr>
    </w:p>
    <w:p>
      <w:pPr>
        <w:ind w:left="444" w:right="220" w:hanging="4"/>
        <w:spacing w:after="0" w:line="286" w:lineRule="auto"/>
        <w:tabs>
          <w:tab w:leader="none" w:pos="699" w:val="left"/>
        </w:tabs>
        <w:numPr>
          <w:ilvl w:val="0"/>
          <w:numId w:val="20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to the extent the TSA is in effect, Investments consisting of payments made for processing accounts payable pursuant to the Project Emerald Transaction; provided that the net amount owing to the Credit Parties with respect to collection of accounts receivable and processing accounts payable pursuant to the Project Emerald Transaction shall not exceed $5,000,000.00 at any time.</w:t>
      </w:r>
    </w:p>
    <w:p>
      <w:pPr>
        <w:spacing w:after="0" w:line="165" w:lineRule="exact"/>
        <w:rPr>
          <w:sz w:val="20"/>
          <w:szCs w:val="20"/>
          <w:color w:val="auto"/>
        </w:rPr>
      </w:pPr>
    </w:p>
    <w:p>
      <w:pPr>
        <w:ind w:left="4" w:right="280" w:firstLine="440"/>
        <w:spacing w:after="0" w:line="259" w:lineRule="auto"/>
        <w:rPr>
          <w:sz w:val="20"/>
          <w:szCs w:val="20"/>
          <w:color w:val="auto"/>
        </w:rPr>
      </w:pPr>
      <w:r>
        <w:rPr>
          <w:rFonts w:ascii="Arial" w:cs="Arial" w:eastAsia="Arial" w:hAnsi="Arial"/>
          <w:sz w:val="18"/>
          <w:szCs w:val="18"/>
          <w:color w:val="auto"/>
        </w:rPr>
        <w:t xml:space="preserve">For purposes of determining the amount of any Investment outstanding for purposes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any amount realized in respect of such Investment upon the sale, collection or return of capital (not to exceed the original amount invested).</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or suffer to exist any Indebtedness, except:</w:t>
      </w:r>
    </w:p>
    <w:p>
      <w:pPr>
        <w:spacing w:after="0" w:line="117" w:lineRule="exact"/>
        <w:rPr>
          <w:sz w:val="20"/>
          <w:szCs w:val="20"/>
          <w:color w:val="auto"/>
        </w:rPr>
      </w:pPr>
    </w:p>
    <w:p>
      <w:pPr>
        <w:ind w:left="684" w:hanging="244"/>
        <w:spacing w:after="0"/>
        <w:tabs>
          <w:tab w:leader="none" w:pos="68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117" w:lineRule="exact"/>
        <w:rPr>
          <w:rFonts w:ascii="Arial" w:cs="Arial" w:eastAsia="Arial" w:hAnsi="Arial"/>
          <w:sz w:val="18"/>
          <w:szCs w:val="18"/>
          <w:color w:val="auto"/>
        </w:rPr>
      </w:pPr>
    </w:p>
    <w:p>
      <w:pPr>
        <w:ind w:left="4" w:firstLine="436"/>
        <w:spacing w:after="0" w:line="301" w:lineRule="auto"/>
        <w:tabs>
          <w:tab w:leader="none" w:pos="699" w:val="left"/>
        </w:tabs>
        <w:numPr>
          <w:ilvl w:val="1"/>
          <w:numId w:val="208"/>
        </w:numPr>
        <w:rPr>
          <w:rFonts w:ascii="Arial" w:cs="Arial" w:eastAsia="Arial" w:hAnsi="Arial"/>
          <w:sz w:val="16"/>
          <w:szCs w:val="16"/>
          <w:color w:val="auto"/>
        </w:rPr>
      </w:pPr>
      <w:r>
        <w:rPr>
          <w:rFonts w:ascii="Arial" w:cs="Arial" w:eastAsia="Arial" w:hAnsi="Arial"/>
          <w:sz w:val="16"/>
          <w:szCs w:val="16"/>
          <w:color w:val="auto"/>
        </w:rPr>
        <w:t xml:space="preserve">Indebtedness of a Subsidiary of the Borrower owed to the Borrower or Subsidiary of the Borrower, which Indebtedness shall (i) in the case of Indebtedness owed to a Credit Party, constitute “Collateral” under the Collateral Agreement, (ii) in the case of Indebtedness owed by a Credit Party to a Non-Guarantor Subsidiary shall be unsecured and if such Indebtedness is evidenced by a note or other written agreement, shall be subordinated to the Obligations on terms reasonably acceptable to the Administrative Agent and (iii) be otherwise permitted under the provisions of </w:t>
      </w:r>
      <w:r>
        <w:rPr>
          <w:rFonts w:ascii="Arial" w:cs="Arial" w:eastAsia="Arial" w:hAnsi="Arial"/>
          <w:sz w:val="16"/>
          <w:szCs w:val="16"/>
          <w:u w:val="single" w:color="auto"/>
          <w:color w:val="auto"/>
        </w:rPr>
        <w:t>Section 9.2(c)</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4" w:right="60" w:firstLine="436"/>
        <w:spacing w:after="0" w:line="286" w:lineRule="auto"/>
        <w:tabs>
          <w:tab w:leader="none" w:pos="689" w:val="left"/>
        </w:tabs>
        <w:numPr>
          <w:ilvl w:val="1"/>
          <w:numId w:val="208"/>
        </w:numPr>
        <w:rPr>
          <w:rFonts w:ascii="Arial" w:cs="Arial" w:eastAsia="Arial" w:hAnsi="Arial"/>
          <w:sz w:val="16"/>
          <w:szCs w:val="16"/>
          <w:color w:val="auto"/>
        </w:rPr>
      </w:pPr>
      <w:r>
        <w:rPr>
          <w:rFonts w:ascii="Arial" w:cs="Arial" w:eastAsia="Arial" w:hAnsi="Arial"/>
          <w:sz w:val="16"/>
          <w:szCs w:val="16"/>
          <w:color w:val="auto"/>
        </w:rPr>
        <w:t xml:space="preserve">Indebtedness outstanding on the </w:t>
      </w:r>
      <w:r>
        <w:rPr>
          <w:rFonts w:ascii="Arial" w:cs="Arial" w:eastAsia="Arial" w:hAnsi="Arial"/>
          <w:sz w:val="16"/>
          <w:szCs w:val="16"/>
          <w:u w:val="single" w:color="auto"/>
          <w:color w:val="0000FF"/>
        </w:rPr>
        <w:t>Fourth Amendment Effective</w:t>
      </w:r>
      <w:r>
        <w:rPr>
          <w:rFonts w:ascii="Arial" w:cs="Arial" w:eastAsia="Arial" w:hAnsi="Arial"/>
          <w:sz w:val="16"/>
          <w:szCs w:val="16"/>
          <w:color w:val="auto"/>
        </w:rPr>
        <w:t xml:space="preserve"> </w:t>
      </w:r>
      <w:r>
        <w:rPr>
          <w:rFonts w:ascii="Arial" w:cs="Arial" w:eastAsia="Arial" w:hAnsi="Arial"/>
          <w:sz w:val="16"/>
          <w:szCs w:val="16"/>
          <w:color w:val="FF0000"/>
        </w:rPr>
        <w:t>d</w:t>
      </w:r>
      <w:r>
        <w:rPr>
          <w:rFonts w:ascii="Arial" w:cs="Arial" w:eastAsia="Arial" w:hAnsi="Arial"/>
          <w:sz w:val="16"/>
          <w:szCs w:val="16"/>
          <w:u w:val="single" w:color="auto"/>
          <w:color w:val="0000FF"/>
        </w:rPr>
        <w:t>D</w:t>
      </w:r>
      <w:r>
        <w:rPr>
          <w:rFonts w:ascii="Arial" w:cs="Arial" w:eastAsia="Arial" w:hAnsi="Arial"/>
          <w:sz w:val="16"/>
          <w:szCs w:val="16"/>
          <w:color w:val="auto"/>
        </w:rPr>
        <w:t xml:space="preserve">ate </w:t>
      </w:r>
      <w:r>
        <w:rPr>
          <w:rFonts w:ascii="Arial" w:cs="Arial" w:eastAsia="Arial" w:hAnsi="Arial"/>
          <w:sz w:val="16"/>
          <w:szCs w:val="16"/>
          <w:color w:val="FF0000"/>
          <w:strike w:val="1"/>
        </w:rPr>
        <w:t>hereof</w:t>
      </w:r>
      <w:r>
        <w:rPr>
          <w:rFonts w:ascii="Arial" w:cs="Arial" w:eastAsia="Arial" w:hAnsi="Arial"/>
          <w:sz w:val="16"/>
          <w:szCs w:val="16"/>
          <w:color w:val="auto"/>
        </w:rPr>
        <w:t xml:space="preserve"> and listed on </w:t>
      </w:r>
      <w:r>
        <w:rPr>
          <w:rFonts w:ascii="Arial" w:cs="Arial" w:eastAsia="Arial" w:hAnsi="Arial"/>
          <w:sz w:val="16"/>
          <w:szCs w:val="16"/>
          <w:u w:val="single" w:color="auto"/>
          <w:color w:val="auto"/>
        </w:rPr>
        <w:t>Schedule 9.3</w:t>
      </w:r>
      <w:r>
        <w:rPr>
          <w:rFonts w:ascii="Arial" w:cs="Arial" w:eastAsia="Arial" w:hAnsi="Arial"/>
          <w:sz w:val="16"/>
          <w:szCs w:val="16"/>
          <w:color w:val="auto"/>
        </w:rPr>
        <w:t xml:space="preserve"> and any refinancings, refundings,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amount of such Indebtedness is not increased (unless otherwise permitted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direct or any contingent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-619125</wp:posOffset>
            </wp:positionV>
            <wp:extent cx="8572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4"/>
          </w:cols>
          <w:pgMar w:left="436" w:top="490" w:right="459" w:bottom="1440" w:gutter="0" w:footer="0" w:header="0"/>
        </w:sectPr>
      </w:pPr>
    </w:p>
    <w:bookmarkStart w:id="173" w:name="page174"/>
    <w:bookmarkEnd w:id="173"/>
    <w:p>
      <w:pPr>
        <w:ind w:left="4"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obligor with respect thereto is not changed as a result of or in connection with such refinancing, refunding, renewal or extension, (iii) the final maturity date and weighted average life to maturity of such refinancing, refunding, renewal or extension shall not be prior to or shorter than that applicable to the Indebtedness prior to such refinancing, refunding, renewal or extension and (iv)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Credit Parties or the Lenders than the terms of any agreement or instrument governing the Indebtedness being refinanced, refunded, renewed or extended and the interest rate applicable to any such refinancing, refunding, renewing or extending Indebtedness does not exceed the then-applicable market interest rate;</w:t>
      </w:r>
    </w:p>
    <w:p>
      <w:pPr>
        <w:spacing w:after="0" w:line="84" w:lineRule="exact"/>
        <w:rPr>
          <w:sz w:val="20"/>
          <w:szCs w:val="20"/>
          <w:color w:val="auto"/>
        </w:rPr>
      </w:pPr>
    </w:p>
    <w:p>
      <w:pPr>
        <w:ind w:left="704" w:hanging="264"/>
        <w:spacing w:after="0"/>
        <w:tabs>
          <w:tab w:leader="none" w:pos="704" w:val="left"/>
        </w:tabs>
        <w:numPr>
          <w:ilvl w:val="1"/>
          <w:numId w:val="210"/>
        </w:numPr>
        <w:rPr>
          <w:rFonts w:ascii="Arial" w:cs="Arial" w:eastAsia="Arial" w:hAnsi="Arial"/>
          <w:sz w:val="17"/>
          <w:szCs w:val="17"/>
          <w:color w:val="auto"/>
        </w:rPr>
      </w:pPr>
      <w:r>
        <w:rPr>
          <w:rFonts w:ascii="Arial" w:cs="Arial" w:eastAsia="Arial" w:hAnsi="Arial"/>
          <w:sz w:val="17"/>
          <w:szCs w:val="17"/>
          <w:color w:val="auto"/>
        </w:rPr>
        <w:t>(i) Guarantees by a Credit Party in respect of Indebtedness otherwise permitted hereunder of the Borrower or any other Credit Party,</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Guarantees by a Non-Guarantor Subsidiary in respect of Indebtedness otherwise permitted hereunder of the Borrower or any other Subsidiary,</w:t>
      </w:r>
    </w:p>
    <w:p>
      <w:pPr>
        <w:spacing w:after="0" w:line="20" w:lineRule="exact"/>
        <w:rPr>
          <w:rFonts w:ascii="Arial" w:cs="Arial" w:eastAsia="Arial" w:hAnsi="Arial"/>
          <w:sz w:val="17"/>
          <w:szCs w:val="17"/>
          <w:color w:val="auto"/>
        </w:rPr>
      </w:pPr>
    </w:p>
    <w:p>
      <w:pPr>
        <w:ind w:left="4" w:right="160" w:hanging="4"/>
        <w:spacing w:after="0" w:line="273" w:lineRule="auto"/>
        <w:tabs>
          <w:tab w:leader="none" w:pos="31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Guarantees by a Credit Party in respect of Indebtedness of Non-Guarantor Subsidiaries to the extent constituting an Investment in respect thereof permitted under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(iv) Guarantees by the Borrower of obligations under Hedge Agreements of any Foreign Subsidiary permitted pursuant to </w:t>
      </w:r>
      <w:r>
        <w:rPr>
          <w:rFonts w:ascii="Arial" w:cs="Arial" w:eastAsia="Arial" w:hAnsi="Arial"/>
          <w:sz w:val="17"/>
          <w:szCs w:val="17"/>
          <w:u w:val="single" w:color="auto"/>
          <w:color w:val="auto"/>
        </w:rPr>
        <w:t>Section 9.3(e)</w:t>
      </w:r>
      <w:r>
        <w:rPr>
          <w:rFonts w:ascii="Arial" w:cs="Arial" w:eastAsia="Arial" w:hAnsi="Arial"/>
          <w:sz w:val="17"/>
          <w:szCs w:val="17"/>
          <w:color w:val="auto"/>
        </w:rPr>
        <w:t xml:space="preserve"> owing to any Lender and (v) Guarantees by the Borrower or any Subsidiary of any Cash Management Agreement with a Lender or an Affiliate</w:t>
      </w:r>
      <w:r>
        <w:rPr>
          <w:rFonts w:ascii="Arial" w:cs="Arial" w:eastAsia="Arial" w:hAnsi="Arial"/>
          <w:sz w:val="17"/>
          <w:szCs w:val="17"/>
          <w:color w:val="FF0000"/>
          <w:strike w:val="1"/>
        </w:rPr>
        <w:t>d</w:t>
      </w:r>
      <w:r>
        <w:rPr>
          <w:rFonts w:ascii="Arial" w:cs="Arial" w:eastAsia="Arial" w:hAnsi="Arial"/>
          <w:sz w:val="17"/>
          <w:szCs w:val="17"/>
          <w:color w:val="auto"/>
        </w:rPr>
        <w:t xml:space="preserve"> of a Lender to which the Borrower or any Subsidiary is a party permitted under </w:t>
      </w:r>
      <w:r>
        <w:rPr>
          <w:rFonts w:ascii="Arial" w:cs="Arial" w:eastAsia="Arial" w:hAnsi="Arial"/>
          <w:sz w:val="17"/>
          <w:szCs w:val="17"/>
          <w:u w:val="single" w:color="auto"/>
          <w:color w:val="auto"/>
        </w:rPr>
        <w:t>Section 9.3(o)</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684" w:hanging="244"/>
        <w:spacing w:after="0"/>
        <w:tabs>
          <w:tab w:leader="none" w:pos="684" w:val="left"/>
        </w:tabs>
        <w:numPr>
          <w:ilvl w:val="1"/>
          <w:numId w:val="211"/>
        </w:numPr>
        <w:rPr>
          <w:rFonts w:ascii="Arial" w:cs="Arial" w:eastAsia="Arial" w:hAnsi="Arial"/>
          <w:sz w:val="17"/>
          <w:szCs w:val="17"/>
          <w:color w:val="auto"/>
        </w:rPr>
      </w:pPr>
      <w:r>
        <w:rPr>
          <w:rFonts w:ascii="Arial" w:cs="Arial" w:eastAsia="Arial" w:hAnsi="Arial"/>
          <w:sz w:val="17"/>
          <w:szCs w:val="17"/>
          <w:color w:val="auto"/>
        </w:rPr>
        <w:t xml:space="preserve">obligations (contingent or otherwise) of the Borrower or any Subsidiary existing or arising under any Hedge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35" w:lineRule="exact"/>
        <w:rPr>
          <w:sz w:val="20"/>
          <w:szCs w:val="20"/>
          <w:color w:val="auto"/>
        </w:rPr>
      </w:pPr>
    </w:p>
    <w:p>
      <w:pPr>
        <w:ind w:left="224" w:hanging="224"/>
        <w:spacing w:after="0"/>
        <w:tabs>
          <w:tab w:leader="none" w:pos="22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such obligations are (or were) entered into by such Person in the ordinary course of business for the purpose of directly mitigating risks associated</w:t>
      </w:r>
    </w:p>
    <w:p>
      <w:pPr>
        <w:spacing w:after="0" w:line="32" w:lineRule="exact"/>
        <w:rPr>
          <w:rFonts w:ascii="Arial" w:cs="Arial" w:eastAsia="Arial" w:hAnsi="Arial"/>
          <w:sz w:val="16"/>
          <w:szCs w:val="16"/>
          <w:color w:val="auto"/>
        </w:rPr>
      </w:pPr>
    </w:p>
    <w:p>
      <w:pPr>
        <w:ind w:left="4" w:right="40"/>
        <w:spacing w:after="0" w:line="277" w:lineRule="auto"/>
        <w:rPr>
          <w:rFonts w:ascii="Arial" w:cs="Arial" w:eastAsia="Arial" w:hAnsi="Arial"/>
          <w:sz w:val="16"/>
          <w:szCs w:val="16"/>
          <w:color w:val="auto"/>
        </w:rPr>
      </w:pPr>
      <w:r>
        <w:rPr>
          <w:rFonts w:ascii="Arial" w:cs="Arial" w:eastAsia="Arial" w:hAnsi="Arial"/>
          <w:sz w:val="17"/>
          <w:szCs w:val="17"/>
          <w:color w:val="auto"/>
        </w:rPr>
        <w:t>with liabilities, commitments, investments, assets, or property held or reasonably anticipated by such Person, or changes in the value of securities issued by such Person, and not for purposes of speculation or taking a “market view;” and (ii) such Hedge Agreement does not contain any provision exonerating the non-defaulting party from its obligation to make payments on outstanding transactions to the defaulting party;</w:t>
      </w:r>
    </w:p>
    <w:p>
      <w:pPr>
        <w:spacing w:after="0" w:line="64" w:lineRule="exact"/>
        <w:rPr>
          <w:rFonts w:ascii="Arial" w:cs="Arial" w:eastAsia="Arial" w:hAnsi="Arial"/>
          <w:sz w:val="16"/>
          <w:szCs w:val="16"/>
          <w:color w:val="auto"/>
        </w:rPr>
      </w:pPr>
    </w:p>
    <w:p>
      <w:pPr>
        <w:jc w:val="both"/>
        <w:ind w:left="4" w:firstLine="436"/>
        <w:spacing w:after="0" w:line="263" w:lineRule="auto"/>
        <w:tabs>
          <w:tab w:leader="none" w:pos="66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Indebtedness in respect of Capitalized Leases, Synthetic Lease Obligations and purchase money obligations for fixed or capital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Indebtedness, together with an</w:t>
      </w:r>
      <w:r>
        <w:rPr>
          <w:rFonts w:ascii="Arial" w:cs="Arial" w:eastAsia="Arial" w:hAnsi="Arial"/>
          <w:sz w:val="18"/>
          <w:szCs w:val="18"/>
          <w:u w:val="single" w:color="auto"/>
          <w:color w:val="0000FF"/>
        </w:rPr>
        <w:t>y</w:t>
      </w:r>
      <w:r>
        <w:rPr>
          <w:rFonts w:ascii="Arial" w:cs="Arial" w:eastAsia="Arial" w:hAnsi="Arial"/>
          <w:sz w:val="18"/>
          <w:szCs w:val="18"/>
          <w:color w:val="auto"/>
        </w:rPr>
        <w:t xml:space="preserve"> Indebtedness incurred pursuant to </w:t>
      </w:r>
      <w:r>
        <w:rPr>
          <w:rFonts w:ascii="Arial" w:cs="Arial" w:eastAsia="Arial" w:hAnsi="Arial"/>
          <w:sz w:val="18"/>
          <w:szCs w:val="18"/>
          <w:u w:val="single" w:color="auto"/>
          <w:color w:val="auto"/>
        </w:rPr>
        <w:t>Section 9.3(l)</w:t>
      </w:r>
      <w:r>
        <w:rPr>
          <w:rFonts w:ascii="Arial" w:cs="Arial" w:eastAsia="Arial" w:hAnsi="Arial"/>
          <w:sz w:val="18"/>
          <w:szCs w:val="18"/>
          <w:color w:val="auto"/>
        </w:rPr>
        <w:t>, at any one time outstanding shall not exceed the greater of $50,000,000 and 5% of Consolidated Tangible Assets;</w:t>
      </w:r>
    </w:p>
    <w:p>
      <w:pPr>
        <w:spacing w:after="0" w:line="75" w:lineRule="exact"/>
        <w:rPr>
          <w:rFonts w:ascii="Arial" w:cs="Arial" w:eastAsia="Arial" w:hAnsi="Arial"/>
          <w:sz w:val="18"/>
          <w:szCs w:val="18"/>
          <w:color w:val="auto"/>
        </w:rPr>
      </w:pPr>
    </w:p>
    <w:p>
      <w:pPr>
        <w:ind w:left="4" w:right="40" w:firstLine="436"/>
        <w:spacing w:after="0" w:line="259" w:lineRule="auto"/>
        <w:tabs>
          <w:tab w:leader="none" w:pos="69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other Credit Party arising in connection with any economic development incentive program or grant from any State or any subdivision thereof (including any city or county) in connection with the Borrower’s or such Credit Party’s business development activities in such State or subdivision;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Indebtedness outstanding at any time shall not exceed $15,000,000;</w:t>
      </w:r>
    </w:p>
    <w:p>
      <w:pPr>
        <w:spacing w:after="0" w:line="78" w:lineRule="exact"/>
        <w:rPr>
          <w:rFonts w:ascii="Arial" w:cs="Arial" w:eastAsia="Arial" w:hAnsi="Arial"/>
          <w:sz w:val="18"/>
          <w:szCs w:val="18"/>
          <w:color w:val="auto"/>
        </w:rPr>
      </w:pPr>
    </w:p>
    <w:p>
      <w:pPr>
        <w:ind w:left="4" w:right="100" w:firstLine="436"/>
        <w:spacing w:after="0" w:line="254" w:lineRule="auto"/>
        <w:tabs>
          <w:tab w:leader="none" w:pos="699" w:val="left"/>
        </w:tabs>
        <w:numPr>
          <w:ilvl w:val="1"/>
          <w:numId w:val="212"/>
        </w:numPr>
        <w:rPr>
          <w:rFonts w:ascii="Arial" w:cs="Arial" w:eastAsia="Arial" w:hAnsi="Arial"/>
          <w:sz w:val="18"/>
          <w:szCs w:val="18"/>
          <w:color w:val="auto"/>
        </w:rPr>
      </w:pPr>
      <w:r>
        <w:rPr>
          <w:rFonts w:ascii="Arial" w:cs="Arial" w:eastAsia="Arial" w:hAnsi="Arial"/>
          <w:sz w:val="18"/>
          <w:szCs w:val="18"/>
          <w:color w:val="FF0000"/>
          <w:strike w:val="1"/>
        </w:rPr>
        <w:t>other than during the Limited Waiver Period,</w:t>
      </w:r>
      <w:r>
        <w:rPr>
          <w:rFonts w:ascii="Arial" w:cs="Arial" w:eastAsia="Arial" w:hAnsi="Arial"/>
          <w:sz w:val="18"/>
          <w:szCs w:val="18"/>
          <w:color w:val="FF0000"/>
        </w:rPr>
        <w:t xml:space="preserve"> </w:t>
      </w:r>
      <w:r>
        <w:rPr>
          <w:rFonts w:ascii="Arial" w:cs="Arial" w:eastAsia="Arial" w:hAnsi="Arial"/>
          <w:sz w:val="18"/>
          <w:szCs w:val="18"/>
          <w:color w:val="000000"/>
        </w:rPr>
        <w:t>unsecured Indebtedness or Subordinated Indebtedness (including earn-out obligations) of the</w:t>
      </w:r>
      <w:r>
        <w:rPr>
          <w:rFonts w:ascii="Arial" w:cs="Arial" w:eastAsia="Arial" w:hAnsi="Arial"/>
          <w:sz w:val="18"/>
          <w:szCs w:val="18"/>
          <w:color w:val="FF0000"/>
        </w:rPr>
        <w:t xml:space="preserve"> </w:t>
      </w:r>
      <w:r>
        <w:rPr>
          <w:rFonts w:ascii="Arial" w:cs="Arial" w:eastAsia="Arial" w:hAnsi="Arial"/>
          <w:sz w:val="18"/>
          <w:szCs w:val="18"/>
          <w:color w:val="000000"/>
        </w:rPr>
        <w:t xml:space="preserve">Borrower and its Subsidiaries;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if the proceeds of such Indebtedness are used to fund all or a portion of a Permitted Acquisition, the Borrower is in compliance, as of the date of incurrence (if not a Limited Condition Acquisition or, if a Limited Condition Acquisition and the Borrower has elected to test on such date) or as of the date of entering into a definitive agreement for such Permitted Acquisition (if a Limited Condition Acquisition and the Borrower elects to test on such date), as applicable, on a </w:t>
      </w:r>
      <w:r>
        <w:rPr>
          <w:rFonts w:ascii="Arial" w:cs="Arial" w:eastAsia="Arial" w:hAnsi="Arial"/>
          <w:sz w:val="18"/>
          <w:szCs w:val="18"/>
          <w:u w:val="single" w:color="auto"/>
          <w:color w:val="000000"/>
        </w:rPr>
        <w:t>pro forma</w:t>
      </w:r>
      <w:r>
        <w:rPr>
          <w:rFonts w:ascii="Arial" w:cs="Arial" w:eastAsia="Arial" w:hAnsi="Arial"/>
          <w:sz w:val="18"/>
          <w:szCs w:val="18"/>
          <w:color w:val="000000"/>
        </w:rPr>
        <w:t xml:space="preserve"> basis after giving effect to the incurrence of such Indebtedness and the use of proceeds thereof with </w:t>
      </w:r>
      <w:r>
        <w:rPr>
          <w:rFonts w:ascii="Arial" w:cs="Arial" w:eastAsia="Arial" w:hAnsi="Arial"/>
          <w:sz w:val="18"/>
          <w:szCs w:val="18"/>
          <w:u w:val="single" w:color="auto"/>
          <w:color w:val="000000"/>
        </w:rPr>
        <w:t>Section 9.11</w:t>
      </w:r>
      <w:r>
        <w:rPr>
          <w:rFonts w:ascii="Arial" w:cs="Arial" w:eastAsia="Arial" w:hAnsi="Arial"/>
          <w:sz w:val="18"/>
          <w:szCs w:val="18"/>
          <w:color w:val="000000"/>
        </w:rPr>
        <w:t xml:space="preserve"> as of the last day of the most recently ended Measurement Period for which financial statements have been delivered pursuant to </w:t>
      </w:r>
      <w:r>
        <w:rPr>
          <w:rFonts w:ascii="Arial" w:cs="Arial" w:eastAsia="Arial" w:hAnsi="Arial"/>
          <w:sz w:val="18"/>
          <w:szCs w:val="18"/>
          <w:u w:val="single" w:color="auto"/>
          <w:color w:val="000000"/>
        </w:rPr>
        <w:t>Section 8.1(a)</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(b)</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(d)</w:t>
      </w:r>
      <w:r>
        <w:rPr>
          <w:rFonts w:ascii="Arial" w:cs="Arial" w:eastAsia="Arial" w:hAnsi="Arial"/>
          <w:sz w:val="18"/>
          <w:szCs w:val="18"/>
          <w:color w:val="000000"/>
        </w:rPr>
        <w:t>, (ii) if the proceeds of such Indebtedness are not to fund all or a portion of a Permitted Acquisition, the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4"/>
          </w:cols>
          <w:pgMar w:left="436" w:top="490" w:right="459" w:bottom="1440" w:gutter="0" w:footer="0" w:header="0"/>
        </w:sectPr>
      </w:pPr>
    </w:p>
    <w:bookmarkStart w:id="174" w:name="page175"/>
    <w:bookmarkEnd w:id="174"/>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Borrower is in compliance, as of the date of incurrence, on a pro forma basis after giving effect to the incurrence of such Indebtedness with (A) a Consolidated </w:t>
      </w:r>
      <w:r>
        <w:rPr>
          <w:rFonts w:ascii="Arial" w:cs="Arial" w:eastAsia="Arial" w:hAnsi="Arial"/>
          <w:sz w:val="16"/>
          <w:szCs w:val="16"/>
          <w:color w:val="FF0000"/>
          <w:strike w:val="1"/>
        </w:rPr>
        <w:t>Net</w:t>
      </w:r>
      <w:r>
        <w:rPr>
          <w:rFonts w:ascii="Arial" w:cs="Arial" w:eastAsia="Arial" w:hAnsi="Arial"/>
          <w:sz w:val="16"/>
          <w:szCs w:val="16"/>
          <w:color w:val="auto"/>
        </w:rPr>
        <w:t xml:space="preserve"> Leverage Ratio 0.25 inside of the applicable level required pursuant to </w:t>
      </w:r>
      <w:r>
        <w:rPr>
          <w:rFonts w:ascii="Arial" w:cs="Arial" w:eastAsia="Arial" w:hAnsi="Arial"/>
          <w:sz w:val="16"/>
          <w:szCs w:val="16"/>
          <w:u w:val="single" w:color="auto"/>
          <w:color w:val="auto"/>
        </w:rPr>
        <w:t>Section 9.11(b)</w:t>
      </w:r>
      <w:r>
        <w:rPr>
          <w:rFonts w:ascii="Arial" w:cs="Arial" w:eastAsia="Arial" w:hAnsi="Arial"/>
          <w:sz w:val="16"/>
          <w:szCs w:val="16"/>
          <w:color w:val="auto"/>
        </w:rPr>
        <w:t xml:space="preserve"> </w:t>
      </w:r>
      <w:r>
        <w:rPr>
          <w:rFonts w:ascii="Arial" w:cs="Arial" w:eastAsia="Arial" w:hAnsi="Arial"/>
          <w:sz w:val="16"/>
          <w:szCs w:val="16"/>
          <w:color w:val="FF0000"/>
          <w:strike w:val="1"/>
        </w:rPr>
        <w:t>(without giving effect to the increased</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maximum Consolidated Net Leverage Ratio levels permitted during the Covenant Relief Period set forth in Section 9.11(b)) (calculated without giving effect to any netting of the proceeds thereof from Consolidated Funded Indebtedness) </w:t>
      </w:r>
      <w:r>
        <w:rPr>
          <w:rFonts w:ascii="Arial" w:cs="Arial" w:eastAsia="Arial" w:hAnsi="Arial"/>
          <w:sz w:val="16"/>
          <w:szCs w:val="16"/>
          <w:color w:val="000000"/>
          <w:strike w:val="1"/>
        </w:rPr>
        <w:t>and (B) the other covenants set forth in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Section 9.11</w:t>
      </w:r>
      <w:r>
        <w:rPr>
          <w:rFonts w:ascii="Arial" w:cs="Arial" w:eastAsia="Arial" w:hAnsi="Arial"/>
          <w:sz w:val="16"/>
          <w:szCs w:val="16"/>
          <w:color w:val="000000"/>
          <w:strike w:val="1"/>
        </w:rPr>
        <w:t>, in each case,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as of the last day of the most recently ended Measurement Period for which financial statements have been delivered pursuant to </w:t>
      </w:r>
      <w:r>
        <w:rPr>
          <w:rFonts w:ascii="Arial" w:cs="Arial" w:eastAsia="Arial" w:hAnsi="Arial"/>
          <w:sz w:val="16"/>
          <w:szCs w:val="16"/>
          <w:u w:val="single" w:color="auto"/>
          <w:color w:val="000000"/>
          <w:strike w:val="1"/>
        </w:rPr>
        <w:t>Section 8.1(a)</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00"/>
          <w:strike w:val="1"/>
        </w:rPr>
        <w:t>(b)</w:t>
      </w:r>
      <w:r>
        <w:rPr>
          <w:rFonts w:ascii="Arial" w:cs="Arial" w:eastAsia="Arial" w:hAnsi="Arial"/>
          <w:sz w:val="16"/>
          <w:szCs w:val="16"/>
          <w:color w:val="000000"/>
          <w:strike w:val="1"/>
        </w:rPr>
        <w:t xml:space="preserve"> or</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(d)</w:t>
      </w:r>
      <w:r>
        <w:rPr>
          <w:rFonts w:ascii="Arial" w:cs="Arial" w:eastAsia="Arial" w:hAnsi="Arial"/>
          <w:sz w:val="17"/>
          <w:szCs w:val="17"/>
          <w:color w:val="auto"/>
        </w:rPr>
        <w:t xml:space="preserve">, (iii) no Default or Event of Default shall have occurred and be continuing or would be caused by the incurrence of such Indebtedness, (iv) such Indebtedness does not mature prior to the date that is </w:t>
      </w:r>
      <w:r>
        <w:rPr>
          <w:rFonts w:ascii="Arial" w:cs="Arial" w:eastAsia="Arial" w:hAnsi="Arial"/>
          <w:sz w:val="17"/>
          <w:szCs w:val="17"/>
          <w:color w:val="FF0000"/>
          <w:strike w:val="1"/>
        </w:rPr>
        <w:t>91</w:t>
      </w:r>
      <w:r>
        <w:rPr>
          <w:rFonts w:ascii="Arial" w:cs="Arial" w:eastAsia="Arial" w:hAnsi="Arial"/>
          <w:sz w:val="17"/>
          <w:szCs w:val="17"/>
          <w:u w:val="single" w:color="auto"/>
          <w:color w:val="0000FF"/>
        </w:rPr>
        <w:t>one hundred eighty (180)</w:t>
      </w:r>
      <w:r>
        <w:rPr>
          <w:rFonts w:ascii="Arial" w:cs="Arial" w:eastAsia="Arial" w:hAnsi="Arial"/>
          <w:sz w:val="17"/>
          <w:szCs w:val="17"/>
          <w:color w:val="auto"/>
        </w:rPr>
        <w:t xml:space="preserve"> days after the then latest Revolving Credit Maturity Date or maturity date of any Term Loan, as applicable, at the time of the incurrence of such Indebtedness, (v) if guaranteed, such Indebtedness is not guaranteed by any Subsidiary that is not a Credit Party, (vi) if such Indebtedness is Subordinated Indebtedness, (x) it will not have mandatory prepayment or mandatory amortization, redemption, sinking fund or similar prepayments (other than asset sale and change of control mandatory offers to repurchase customary for high-yield debt securities) prior to the date that is </w:t>
      </w:r>
      <w:r>
        <w:rPr>
          <w:rFonts w:ascii="Arial" w:cs="Arial" w:eastAsia="Arial" w:hAnsi="Arial"/>
          <w:sz w:val="17"/>
          <w:szCs w:val="17"/>
          <w:color w:val="FF0000"/>
          <w:strike w:val="1"/>
        </w:rPr>
        <w:t>91</w:t>
      </w:r>
      <w:r>
        <w:rPr>
          <w:rFonts w:ascii="Arial" w:cs="Arial" w:eastAsia="Arial" w:hAnsi="Arial"/>
          <w:sz w:val="17"/>
          <w:szCs w:val="17"/>
          <w:u w:val="single" w:color="auto"/>
          <w:color w:val="0000FF"/>
        </w:rPr>
        <w:t>one hundred eighty (180)</w:t>
      </w:r>
      <w:r>
        <w:rPr>
          <w:rFonts w:ascii="Arial" w:cs="Arial" w:eastAsia="Arial" w:hAnsi="Arial"/>
          <w:sz w:val="17"/>
          <w:szCs w:val="17"/>
          <w:color w:val="auto"/>
        </w:rPr>
        <w:t xml:space="preserve"> days after the Revolving Credit Maturity Date or maturity date of any Term Loan, as applicable, at the time of the incurrence of such Indebtedness and (y) any guaranty of such Indebtedness by the Credit Parties shall be expressly subordinated to the Obligations on terms materially not less favorable to the Lenders than the subordination terms of such Subordinated Indebtedness, </w:t>
      </w:r>
      <w:r>
        <w:rPr>
          <w:rFonts w:ascii="Arial" w:cs="Arial" w:eastAsia="Arial" w:hAnsi="Arial"/>
          <w:sz w:val="17"/>
          <w:szCs w:val="17"/>
          <w:color w:val="FF0000"/>
          <w:strike w:val="1"/>
        </w:rPr>
        <w:t>and</w:t>
      </w:r>
      <w:r>
        <w:rPr>
          <w:rFonts w:ascii="Arial" w:cs="Arial" w:eastAsia="Arial" w:hAnsi="Arial"/>
          <w:sz w:val="17"/>
          <w:szCs w:val="17"/>
          <w:color w:val="auto"/>
        </w:rPr>
        <w:t xml:space="preserve"> (vii) the terms of such Indebtedness (other than pricing, fees, rate floors, premiums and optional prepayment or redemption provisions (and, if applicable, subordination terms)), taken as a whole, are not materially more restrictive (as determined by the Borrower in good faith) on the Borrower and its Subsidiaries than the terms and conditions of this Agreement, taken as a whole </w:t>
      </w:r>
      <w:r>
        <w:rPr>
          <w:rFonts w:ascii="Arial" w:cs="Arial" w:eastAsia="Arial" w:hAnsi="Arial"/>
          <w:sz w:val="17"/>
          <w:szCs w:val="17"/>
          <w:color w:val="0000FF"/>
        </w:rPr>
        <w:t>and (viii) the aggregate principal amount of such</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Indebtedness outstanding at any time shall not exceed $10,000,000</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-147955</wp:posOffset>
            </wp:positionV>
            <wp:extent cx="226314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-173355</wp:posOffset>
            </wp:positionV>
            <wp:extent cx="225869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56" w:lineRule="exact"/>
        <w:rPr>
          <w:sz w:val="20"/>
          <w:szCs w:val="20"/>
          <w:color w:val="auto"/>
        </w:rPr>
      </w:pPr>
    </w:p>
    <w:p>
      <w:pPr>
        <w:ind w:right="60" w:firstLine="436"/>
        <w:spacing w:after="0" w:line="288" w:lineRule="auto"/>
        <w:tabs>
          <w:tab w:leader="none" w:pos="655" w:val="left"/>
        </w:tabs>
        <w:numPr>
          <w:ilvl w:val="0"/>
          <w:numId w:val="213"/>
        </w:numPr>
        <w:rPr>
          <w:rFonts w:ascii="Arial" w:cs="Arial" w:eastAsia="Arial" w:hAnsi="Arial"/>
          <w:sz w:val="16"/>
          <w:szCs w:val="16"/>
          <w:color w:val="FF0000"/>
          <w:strike w:val="1"/>
        </w:rPr>
      </w:pPr>
      <w:r>
        <w:rPr>
          <w:rFonts w:ascii="Arial" w:cs="Arial" w:eastAsia="Arial" w:hAnsi="Arial"/>
          <w:sz w:val="16"/>
          <w:szCs w:val="16"/>
          <w:color w:val="008000"/>
          <w:strike w:val="1"/>
        </w:rPr>
        <w:t xml:space="preserve">Indebtedness of the Credit Parties </w:t>
      </w:r>
      <w:r>
        <w:rPr>
          <w:rFonts w:ascii="Arial" w:cs="Arial" w:eastAsia="Arial" w:hAnsi="Arial"/>
          <w:sz w:val="16"/>
          <w:szCs w:val="16"/>
          <w:color w:val="FF0000"/>
          <w:strike w:val="1"/>
        </w:rPr>
        <w:t>under the Convertible Senior Notes in an aggregate outstanding</w:t>
      </w:r>
      <w:r>
        <w:rPr>
          <w:rFonts w:ascii="Arial" w:cs="Arial" w:eastAsia="Arial" w:hAnsi="Arial"/>
          <w:sz w:val="16"/>
          <w:szCs w:val="16"/>
          <w:color w:val="008000"/>
          <w:strike w:val="1"/>
        </w:rPr>
        <w:t xml:space="preserve"> principal amount not to exceed $</w:t>
      </w:r>
      <w:r>
        <w:rPr>
          <w:rFonts w:ascii="Arial" w:cs="Arial" w:eastAsia="Arial" w:hAnsi="Arial"/>
          <w:sz w:val="16"/>
          <w:szCs w:val="16"/>
          <w:color w:val="FF0000"/>
          <w:strike w:val="1"/>
        </w:rPr>
        <w:t>10,600,000</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at any time and any refinancings, refundings, renewals or extensions thereof, which may include an increase of such Indebtedness, to the extent permitted under </w:t>
      </w:r>
      <w:r>
        <w:rPr>
          <w:rFonts w:ascii="Arial" w:cs="Arial" w:eastAsia="Arial" w:hAnsi="Arial"/>
          <w:sz w:val="16"/>
          <w:szCs w:val="16"/>
          <w:u w:val="single" w:color="auto"/>
          <w:color w:val="FF0000"/>
          <w:strike w:val="1"/>
        </w:rPr>
        <w:t>Section 9.3(h)</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(i) no obligors, other than any direct or any contingent obligor with respect to such Indebtedness, shall be an obligor under such refinancing, refunding, renewal or extension, (ii) the final maturity date of such refinancing, refunding, renewal or extension shall not be prior to the date this 91 days after the then latest Revolving Credit Maturity Date or maturity date of any Incremental Term Loan, as applicable, and (iii) the material terms (other than fees, rate floors, premiums, optional prepayment, redemption provisions and conversion price), taken as a whole, of any such refinancing, refunding, renewing or extending Indebtedness are not more restrictive (as determined by the Borrower in good faith) in any material respect to the Credit Parties or the Lenders than the terms of any agreement or instrument governing the Indebtedness being refinanced, refunded, renewed or extended and the interest rate applicable to any such refinancing, refunding, renewing or extending Indebtedness does not exceed the then-applicable market interest rate, as determined by the Borrower in good faith;</w:t>
      </w:r>
    </w:p>
    <w:p>
      <w:pPr>
        <w:spacing w:after="0" w:line="60" w:lineRule="exact"/>
        <w:rPr>
          <w:sz w:val="20"/>
          <w:szCs w:val="20"/>
          <w:color w:val="auto"/>
        </w:rPr>
      </w:pPr>
    </w:p>
    <w:p>
      <w:pPr>
        <w:ind w:left="660" w:hanging="224"/>
        <w:spacing w:after="0"/>
        <w:tabs>
          <w:tab w:leader="none" w:pos="660" w:val="left"/>
        </w:tabs>
        <w:numPr>
          <w:ilvl w:val="0"/>
          <w:numId w:val="2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right="500" w:firstLine="436"/>
        <w:spacing w:after="0" w:line="342" w:lineRule="auto"/>
        <w:tabs>
          <w:tab w:leader="none" w:pos="65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Indebtedness in respect of earnouts, milestones and other contingent payment obligations incurred in connection with (i) any Permitted Acquisition </w:t>
      </w:r>
      <w:r>
        <w:rPr>
          <w:rFonts w:ascii="Arial" w:cs="Arial" w:eastAsia="Arial" w:hAnsi="Arial"/>
          <w:sz w:val="16"/>
          <w:szCs w:val="16"/>
          <w:color w:val="FF0000"/>
          <w:strike w:val="1"/>
        </w:rPr>
        <w:t>(including the Adapt Acquisition and the PaxVax Acquisition)</w:t>
      </w:r>
      <w:r>
        <w:rPr>
          <w:rFonts w:ascii="Arial" w:cs="Arial" w:eastAsia="Arial" w:hAnsi="Arial"/>
          <w:sz w:val="16"/>
          <w:szCs w:val="16"/>
          <w:color w:val="auto"/>
        </w:rPr>
        <w:t xml:space="preserve"> or (ii) other Acquisition to which the requisite Lenders have consented;</w:t>
      </w:r>
    </w:p>
    <w:p>
      <w:pPr>
        <w:spacing w:after="0" w:line="15" w:lineRule="exact"/>
        <w:rPr>
          <w:rFonts w:ascii="Arial" w:cs="Arial" w:eastAsia="Arial" w:hAnsi="Arial"/>
          <w:sz w:val="16"/>
          <w:szCs w:val="16"/>
          <w:color w:val="auto"/>
        </w:rPr>
      </w:pPr>
    </w:p>
    <w:p>
      <w:pPr>
        <w:ind w:right="400" w:firstLine="436"/>
        <w:spacing w:after="0" w:line="342" w:lineRule="auto"/>
        <w:tabs>
          <w:tab w:leader="none" w:pos="69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unsecured Indebtedness consisting of promissory notes issued to current or former officers, directors, consultants and employees, their respective estates, spouses or former spouses to finance the purchase or redemption of Equity Interests of the Borrower permitted by </w:t>
      </w:r>
      <w:r>
        <w:rPr>
          <w:rFonts w:ascii="Arial" w:cs="Arial" w:eastAsia="Arial" w:hAnsi="Arial"/>
          <w:sz w:val="16"/>
          <w:szCs w:val="16"/>
          <w:u w:val="single" w:color="auto"/>
          <w:color w:val="auto"/>
        </w:rPr>
        <w:t>Section 9.6(i)</w:t>
      </w:r>
      <w:r>
        <w:rPr>
          <w:rFonts w:ascii="Arial" w:cs="Arial" w:eastAsia="Arial" w:hAnsi="Arial"/>
          <w:sz w:val="16"/>
          <w:szCs w:val="16"/>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0"/>
          </w:cols>
          <w:pgMar w:left="440" w:top="490" w:right="459" w:bottom="1440" w:gutter="0" w:footer="0" w:header="0"/>
        </w:sectPr>
      </w:pPr>
    </w:p>
    <w:bookmarkStart w:id="175" w:name="page176"/>
    <w:bookmarkEnd w:id="175"/>
    <w:p>
      <w:pPr>
        <w:ind w:right="160" w:firstLine="436"/>
        <w:spacing w:after="0" w:line="273" w:lineRule="auto"/>
        <w:tabs>
          <w:tab w:leader="none" w:pos="655" w:val="left"/>
        </w:tabs>
        <w:numPr>
          <w:ilvl w:val="0"/>
          <w:numId w:val="2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Indebtedness of any Person that becomes a Subsidiary after the date hereof and extensions, renewals and replacements of any such Indebtedness that do not increase the outstanding principal amount thereof, except by an amount equal to any original issue discount, a reasonable premium or other reasonable amount paid, and fees and expenses reasonably incurred, in connection with such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exists at the time such Person becomes a Subsidiary and is not created in contemplation of or in connection with such Person becoming a Subsidiary and (ii) the aggregate amount of all such Indebtedness, together with an Indebtedness incurred pursuant to </w:t>
      </w:r>
      <w:r>
        <w:rPr>
          <w:rFonts w:ascii="Arial" w:cs="Arial" w:eastAsia="Arial" w:hAnsi="Arial"/>
          <w:sz w:val="17"/>
          <w:szCs w:val="17"/>
          <w:u w:val="single" w:color="auto"/>
          <w:color w:val="auto"/>
        </w:rPr>
        <w:t>Section 9.3(f)</w:t>
      </w:r>
      <w:r>
        <w:rPr>
          <w:rFonts w:ascii="Arial" w:cs="Arial" w:eastAsia="Arial" w:hAnsi="Arial"/>
          <w:sz w:val="17"/>
          <w:szCs w:val="17"/>
          <w:color w:val="auto"/>
        </w:rPr>
        <w:t>, at any one time outstanding shall not exceed the greater of $50,000,000 and 5% of Consolidated Tangible Assets;</w:t>
      </w:r>
    </w:p>
    <w:p>
      <w:pPr>
        <w:spacing w:after="0" w:line="69" w:lineRule="exact"/>
        <w:rPr>
          <w:rFonts w:ascii="Arial" w:cs="Arial" w:eastAsia="Arial" w:hAnsi="Arial"/>
          <w:sz w:val="17"/>
          <w:szCs w:val="17"/>
          <w:color w:val="auto"/>
        </w:rPr>
      </w:pPr>
    </w:p>
    <w:p>
      <w:pPr>
        <w:ind w:right="920" w:firstLine="436"/>
        <w:spacing w:after="0" w:line="308" w:lineRule="auto"/>
        <w:tabs>
          <w:tab w:leader="none" w:pos="74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unsecured Indebtedness consisting of obligations of the Borrower or any Subsidiary under deferred compensation or other similar arrangements incurred by such Person in connection with any Permitted Acquisition or other Investment permitted hereunder;</w:t>
      </w:r>
    </w:p>
    <w:p>
      <w:pPr>
        <w:spacing w:after="0" w:line="38" w:lineRule="exact"/>
        <w:rPr>
          <w:rFonts w:ascii="Arial" w:cs="Arial" w:eastAsia="Arial" w:hAnsi="Arial"/>
          <w:sz w:val="17"/>
          <w:szCs w:val="17"/>
          <w:color w:val="auto"/>
        </w:rPr>
      </w:pPr>
    </w:p>
    <w:p>
      <w:pPr>
        <w:ind w:right="760" w:firstLine="436"/>
        <w:spacing w:after="0" w:line="342" w:lineRule="auto"/>
        <w:tabs>
          <w:tab w:leader="none" w:pos="69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Indebtedness consisting of (i) the financing of insurance premiums payable on insurance policies maintained by the Borrower or any Subsidiary thereof or (ii) take or pay obligations contained in any supply arrangements, in each case, in the ordinary course of business;</w:t>
      </w:r>
    </w:p>
    <w:p>
      <w:pPr>
        <w:spacing w:after="0" w:line="15" w:lineRule="exact"/>
        <w:rPr>
          <w:rFonts w:ascii="Arial" w:cs="Arial" w:eastAsia="Arial" w:hAnsi="Arial"/>
          <w:sz w:val="16"/>
          <w:szCs w:val="16"/>
          <w:color w:val="auto"/>
        </w:rPr>
      </w:pPr>
    </w:p>
    <w:p>
      <w:pPr>
        <w:ind w:right="200" w:firstLine="436"/>
        <w:spacing w:after="0" w:line="277" w:lineRule="auto"/>
        <w:tabs>
          <w:tab w:leader="none" w:pos="69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Indebtedness arising under, or in connection with, any Cash Management Agreement to which the Borrower or any Subsidiary is a party and entered into in the ordinary course of business;</w:t>
      </w:r>
    </w:p>
    <w:p>
      <w:pPr>
        <w:spacing w:after="0" w:line="62" w:lineRule="exact"/>
        <w:rPr>
          <w:rFonts w:ascii="Arial" w:cs="Arial" w:eastAsia="Arial" w:hAnsi="Arial"/>
          <w:sz w:val="18"/>
          <w:szCs w:val="18"/>
          <w:color w:val="auto"/>
        </w:rPr>
      </w:pPr>
    </w:p>
    <w:p>
      <w:pPr>
        <w:jc w:val="both"/>
        <w:ind w:right="100" w:firstLine="436"/>
        <w:spacing w:after="0" w:line="286" w:lineRule="auto"/>
        <w:tabs>
          <w:tab w:leader="none" w:pos="69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obligations of the Borrower or any Subsidiary under letters of credit, banker’s acceptances or bank guarantee denominated in a currency other than Dollars issued for the account of the Borrower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such obligations (including the maximum amount to be drawn under all such letters of credit) shall not exceed $5,000,000 at any time outstanding;</w:t>
      </w:r>
    </w:p>
    <w:p>
      <w:pPr>
        <w:spacing w:after="0" w:line="57" w:lineRule="exact"/>
        <w:rPr>
          <w:rFonts w:ascii="Arial" w:cs="Arial" w:eastAsia="Arial" w:hAnsi="Arial"/>
          <w:sz w:val="17"/>
          <w:szCs w:val="17"/>
          <w:color w:val="auto"/>
        </w:rPr>
      </w:pPr>
    </w:p>
    <w:p>
      <w:pPr>
        <w:ind w:right="480" w:firstLine="436"/>
        <w:spacing w:after="0" w:line="277" w:lineRule="auto"/>
        <w:tabs>
          <w:tab w:leader="none" w:pos="69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surety bonds, performance or bid bonds and other obligations of a like nature incurred by the Borrower or any Subsidiary in the ordinary course of business in compliance with the terms of any government contract;</w:t>
      </w:r>
    </w:p>
    <w:p>
      <w:pPr>
        <w:spacing w:after="0" w:line="62" w:lineRule="exact"/>
        <w:rPr>
          <w:rFonts w:ascii="Arial" w:cs="Arial" w:eastAsia="Arial" w:hAnsi="Arial"/>
          <w:sz w:val="18"/>
          <w:szCs w:val="18"/>
          <w:color w:val="auto"/>
        </w:rPr>
      </w:pPr>
    </w:p>
    <w:p>
      <w:pPr>
        <w:ind w:firstLine="436"/>
        <w:spacing w:after="0" w:line="342" w:lineRule="auto"/>
        <w:tabs>
          <w:tab w:leader="none" w:pos="66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Indebtedness arising from agreements of the Borrower or any Subsidiary providing for indemnification, in each case, entered into in connection with a Permitted Acquisition, other Investments permitted hereunder or the Disposition of any business, assets or Equity Interests permitted hereunder;</w:t>
      </w:r>
    </w:p>
    <w:p>
      <w:pPr>
        <w:spacing w:after="0" w:line="15" w:lineRule="exact"/>
        <w:rPr>
          <w:rFonts w:ascii="Arial" w:cs="Arial" w:eastAsia="Arial" w:hAnsi="Arial"/>
          <w:sz w:val="16"/>
          <w:szCs w:val="16"/>
          <w:color w:val="auto"/>
        </w:rPr>
      </w:pPr>
    </w:p>
    <w:p>
      <w:pPr>
        <w:ind w:firstLine="436"/>
        <w:spacing w:after="0" w:line="277" w:lineRule="auto"/>
        <w:tabs>
          <w:tab w:leader="none" w:pos="675" w:val="left"/>
        </w:tabs>
        <w:numPr>
          <w:ilvl w:val="0"/>
          <w:numId w:val="215"/>
        </w:numPr>
        <w:rPr>
          <w:rFonts w:ascii="Arial" w:cs="Arial" w:eastAsia="Arial" w:hAnsi="Arial"/>
          <w:sz w:val="18"/>
          <w:szCs w:val="18"/>
          <w:color w:val="auto"/>
        </w:rPr>
      </w:pPr>
      <w:r>
        <w:rPr>
          <w:rFonts w:ascii="Arial" w:cs="Arial" w:eastAsia="Arial" w:hAnsi="Arial"/>
          <w:sz w:val="18"/>
          <w:szCs w:val="18"/>
          <w:color w:val="FF0000"/>
          <w:strike w:val="1"/>
        </w:rPr>
        <w:t>other</w:t>
      </w:r>
      <w:r>
        <w:rPr>
          <w:rFonts w:ascii="Arial" w:cs="Arial" w:eastAsia="Arial" w:hAnsi="Arial"/>
          <w:sz w:val="18"/>
          <w:szCs w:val="18"/>
          <w:u w:val="single" w:color="auto"/>
          <w:color w:val="0000FF"/>
        </w:rPr>
        <w:t>purchase money</w:t>
      </w:r>
      <w:r>
        <w:rPr>
          <w:rFonts w:ascii="Arial" w:cs="Arial" w:eastAsia="Arial" w:hAnsi="Arial"/>
          <w:sz w:val="18"/>
          <w:szCs w:val="18"/>
          <w:color w:val="FF0000"/>
        </w:rPr>
        <w:t xml:space="preserve"> </w:t>
      </w:r>
      <w:r>
        <w:rPr>
          <w:rFonts w:ascii="Arial" w:cs="Arial" w:eastAsia="Arial" w:hAnsi="Arial"/>
          <w:sz w:val="18"/>
          <w:szCs w:val="18"/>
          <w:color w:val="000000"/>
        </w:rPr>
        <w:t>Indebtedness of the Borrower or any Subsidiary in an aggregate principal amount not to exceed $</w:t>
      </w:r>
      <w:r>
        <w:rPr>
          <w:rFonts w:ascii="Arial" w:cs="Arial" w:eastAsia="Arial" w:hAnsi="Arial"/>
          <w:sz w:val="18"/>
          <w:szCs w:val="18"/>
          <w:color w:val="FF0000"/>
          <w:strike w:val="1"/>
        </w:rPr>
        <w:t>5</w:t>
      </w:r>
      <w:r>
        <w:rPr>
          <w:rFonts w:ascii="Arial" w:cs="Arial" w:eastAsia="Arial" w:hAnsi="Arial"/>
          <w:sz w:val="18"/>
          <w:szCs w:val="18"/>
          <w:u w:val="single" w:color="auto"/>
          <w:color w:val="0000FF"/>
        </w:rPr>
        <w:t>1</w:t>
      </w:r>
      <w:r>
        <w:rPr>
          <w:rFonts w:ascii="Arial" w:cs="Arial" w:eastAsia="Arial" w:hAnsi="Arial"/>
          <w:sz w:val="18"/>
          <w:szCs w:val="18"/>
          <w:color w:val="000000"/>
        </w:rPr>
        <w:t>0,000,000 at any time</w:t>
      </w:r>
      <w:r>
        <w:rPr>
          <w:rFonts w:ascii="Arial" w:cs="Arial" w:eastAsia="Arial" w:hAnsi="Arial"/>
          <w:sz w:val="18"/>
          <w:szCs w:val="18"/>
          <w:color w:val="FF0000"/>
        </w:rPr>
        <w:t xml:space="preserve"> </w:t>
      </w:r>
      <w:r>
        <w:rPr>
          <w:rFonts w:ascii="Arial" w:cs="Arial" w:eastAsia="Arial" w:hAnsi="Arial"/>
          <w:sz w:val="18"/>
          <w:szCs w:val="18"/>
          <w:color w:val="000000"/>
        </w:rPr>
        <w:t>outstanding;</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any intercompany loan payable to the Borrower by Emergent International </w:t>
      </w:r>
      <w:r>
        <w:rPr>
          <w:rFonts w:ascii="Arial" w:cs="Arial" w:eastAsia="Arial" w:hAnsi="Arial"/>
          <w:sz w:val="17"/>
          <w:szCs w:val="17"/>
          <w:color w:val="FF0000"/>
          <w:strike w:val="1"/>
        </w:rPr>
        <w:t>permitted as part of the Adapt Acquisition Investment</w:t>
      </w:r>
      <w:r>
        <w:rPr>
          <w:rFonts w:ascii="Arial" w:cs="Arial" w:eastAsia="Arial" w:hAnsi="Arial"/>
          <w:sz w:val="17"/>
          <w:szCs w:val="17"/>
          <w:color w:val="auto"/>
        </w:rPr>
        <w:t xml:space="preserve"> (the</w:t>
      </w:r>
    </w:p>
    <w:p>
      <w:pPr>
        <w:spacing w:after="0" w:line="35"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EI/Adapt Intercompany Loan</w:t>
      </w:r>
      <w:r>
        <w:rPr>
          <w:rFonts w:ascii="Arial" w:cs="Arial" w:eastAsia="Arial" w:hAnsi="Arial"/>
          <w:sz w:val="18"/>
          <w:szCs w:val="18"/>
          <w:color w:val="auto"/>
        </w:rPr>
        <w:t>”), which EI/Adapt Intercompany Loan may be forgiven, reduced or cancelled upon the consummation of the Adapt US/Canada Integration;</w:t>
      </w:r>
    </w:p>
    <w:p>
      <w:pPr>
        <w:spacing w:after="0" w:line="77" w:lineRule="exact"/>
        <w:rPr>
          <w:sz w:val="20"/>
          <w:szCs w:val="20"/>
          <w:color w:val="auto"/>
        </w:rPr>
      </w:pPr>
    </w:p>
    <w:p>
      <w:pPr>
        <w:ind w:right="20" w:firstLine="436"/>
        <w:spacing w:after="0" w:line="275" w:lineRule="auto"/>
        <w:tabs>
          <w:tab w:leader="none" w:pos="69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any intercompany loan payable to Emergent International by Irish Newco Subsidiary </w:t>
      </w:r>
      <w:r>
        <w:rPr>
          <w:rFonts w:ascii="Arial" w:cs="Arial" w:eastAsia="Arial" w:hAnsi="Arial"/>
          <w:sz w:val="17"/>
          <w:szCs w:val="17"/>
          <w:color w:val="FF0000"/>
          <w:strike w:val="1"/>
        </w:rPr>
        <w:t>permitted as part of the Adapt Acquisition Investment</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Irish Newco/Adapt Intercompany Loan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Irish Newco/Adapt Intercompany Loan is evidenced by a promissory note in the initial principal amount of not less than the initial principal amount of the Term Loan Facility and pledged as Collateral, the principal amount of which Irish Newco/Adapt Intercompany Loan may be forgiven, cancelled or reduced by the fair market value of Adapt US and Adapt Canada upon the assignment, transfer, dividend or distribution of the Adapt US/Canada Shares, directly or indirectly, to a Credit Party;</w:t>
      </w:r>
    </w:p>
    <w:p>
      <w:pPr>
        <w:spacing w:after="0" w:line="68" w:lineRule="exact"/>
        <w:rPr>
          <w:rFonts w:ascii="Arial" w:cs="Arial" w:eastAsia="Arial" w:hAnsi="Arial"/>
          <w:sz w:val="17"/>
          <w:szCs w:val="17"/>
          <w:color w:val="auto"/>
        </w:rPr>
      </w:pPr>
    </w:p>
    <w:p>
      <w:pPr>
        <w:ind w:left="700" w:hanging="264"/>
        <w:spacing w:after="0"/>
        <w:tabs>
          <w:tab w:leader="none" w:pos="7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any intercompany loan payable to the Borrower by Emergent International permitted as part of the PaxVax Acquisition Investment (the</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EI/PaxVax Intercompany Loan</w:t>
      </w:r>
      <w:r>
        <w:rPr>
          <w:rFonts w:ascii="Arial" w:cs="Arial" w:eastAsia="Arial" w:hAnsi="Arial"/>
          <w:sz w:val="18"/>
          <w:szCs w:val="18"/>
          <w:color w:val="auto"/>
        </w:rPr>
        <w:t>”), which EI/PaxVax Intercompany Loan may be forgiven, reduced or cancelled upon the consummation of the PaxVax US Integration;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490" w:right="459" w:bottom="1440" w:gutter="0" w:footer="0" w:header="0"/>
        </w:sectPr>
      </w:pPr>
    </w:p>
    <w:bookmarkStart w:id="176" w:name="page177"/>
    <w:bookmarkEnd w:id="176"/>
    <w:p>
      <w:pPr>
        <w:ind w:left="4" w:right="40" w:firstLine="436"/>
        <w:spacing w:after="0" w:line="311" w:lineRule="auto"/>
        <w:tabs>
          <w:tab w:leader="none" w:pos="739"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intercompany loan payable to Emergent International by Panama Merger Sub permitted as part of the PaxVax Acquisition Investment (the “</w:t>
      </w:r>
      <w:r>
        <w:rPr>
          <w:rFonts w:ascii="Arial" w:cs="Arial" w:eastAsia="Arial" w:hAnsi="Arial"/>
          <w:sz w:val="16"/>
          <w:szCs w:val="16"/>
          <w:u w:val="single" w:color="auto"/>
          <w:color w:val="auto"/>
        </w:rPr>
        <w:t>PaxVax Intercompany Loan</w:t>
      </w:r>
      <w:r>
        <w:rPr>
          <w:rFonts w:ascii="Arial" w:cs="Arial" w:eastAsia="Arial" w:hAnsi="Arial"/>
          <w:sz w:val="16"/>
          <w:szCs w:val="16"/>
          <w:color w:val="auto"/>
        </w:rPr>
        <w:t xml:space="preserve">”), the principal amount of which PaxVax Intercompany Loan may be forgiven, cancelled or reduced by the fair market value of PaxVax US, upon the assignment, transfer, dividend or distribution of the PaxVax US Shares, directly or indirectly, to a Credit Party; </w:t>
      </w:r>
      <w:r>
        <w:rPr>
          <w:rFonts w:ascii="Arial" w:cs="Arial" w:eastAsia="Arial" w:hAnsi="Arial"/>
          <w:sz w:val="16"/>
          <w:szCs w:val="16"/>
          <w:color w:val="FF0000"/>
        </w:rPr>
        <w:t>and</w:t>
      </w:r>
    </w:p>
    <w:p>
      <w:pPr>
        <w:spacing w:after="0" w:line="40" w:lineRule="exact"/>
        <w:rPr>
          <w:rFonts w:ascii="Arial" w:cs="Arial" w:eastAsia="Arial" w:hAnsi="Arial"/>
          <w:sz w:val="16"/>
          <w:szCs w:val="16"/>
          <w:color w:val="auto"/>
        </w:rPr>
      </w:pPr>
    </w:p>
    <w:p>
      <w:pPr>
        <w:ind w:left="4" w:right="20" w:firstLine="436"/>
        <w:spacing w:after="0" w:line="286" w:lineRule="auto"/>
        <w:tabs>
          <w:tab w:leader="none" w:pos="69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Indebtedness of the Credit Parties under the 2028 Senior Notes in an aggregate outstanding principal amount not to exceed $450,000,000 at any time and any refinancings, refundings,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unless otherwise permitted under </w:t>
      </w:r>
      <w:r>
        <w:rPr>
          <w:rFonts w:ascii="Arial" w:cs="Arial" w:eastAsia="Arial" w:hAnsi="Arial"/>
          <w:sz w:val="16"/>
          <w:szCs w:val="16"/>
          <w:u w:val="single" w:color="auto"/>
          <w:color w:val="auto"/>
        </w:rPr>
        <w:t>Section 9.3(h)</w:t>
      </w:r>
      <w:r>
        <w:rPr>
          <w:rFonts w:ascii="Arial" w:cs="Arial" w:eastAsia="Arial" w:hAnsi="Arial"/>
          <w:sz w:val="16"/>
          <w:szCs w:val="16"/>
          <w:color w:val="auto"/>
        </w:rPr>
        <w:t xml:space="preserve"> at the time of such refinancing, refunding, renewal or extension, the principal amount (excluding interest paid in kind) of such Indebtedness shall not exceed the principal amount of the Indebtedness being refinanced, refunded, renewed or extended, plus accrued interest and premiums and defeasance costs, fees, commissions and expenses associated with such refinancing, refunding, renewal or extension, (ii) no obligors, other than any direct or any contingent obligor with respect to such Indebtedness or any obligor that would have been required to become an obligor with respect to the Indebtedness being refinanced, refunded, renewed or extended, shall be an obligor under such refinancing, refunding, renewal or extension, (iii) the final maturity date of such refinancing, refunding, renewal or extension, at the time of incurrence thereof, shall not be prior to the date that is </w:t>
      </w:r>
      <w:r>
        <w:rPr>
          <w:rFonts w:ascii="Arial" w:cs="Arial" w:eastAsia="Arial" w:hAnsi="Arial"/>
          <w:sz w:val="16"/>
          <w:szCs w:val="16"/>
          <w:color w:val="FF0000"/>
          <w:strike w:val="1"/>
        </w:rPr>
        <w:t>91</w:t>
      </w:r>
      <w:r>
        <w:rPr>
          <w:rFonts w:ascii="Arial" w:cs="Arial" w:eastAsia="Arial" w:hAnsi="Arial"/>
          <w:sz w:val="16"/>
          <w:szCs w:val="16"/>
          <w:u w:val="single" w:color="auto"/>
          <w:color w:val="0000FF"/>
        </w:rPr>
        <w:t>one hundred eighty (180)</w:t>
      </w:r>
      <w:r>
        <w:rPr>
          <w:rFonts w:ascii="Arial" w:cs="Arial" w:eastAsia="Arial" w:hAnsi="Arial"/>
          <w:sz w:val="16"/>
          <w:szCs w:val="16"/>
          <w:color w:val="auto"/>
        </w:rPr>
        <w:t xml:space="preserve"> days after the then latest Revolving Credit Maturity Date or </w:t>
      </w:r>
      <w:r>
        <w:rPr>
          <w:rFonts w:ascii="Arial" w:cs="Arial" w:eastAsia="Arial" w:hAnsi="Arial"/>
          <w:sz w:val="16"/>
          <w:szCs w:val="16"/>
          <w:color w:val="FF0000"/>
          <w:strike w:val="1"/>
        </w:rPr>
        <w:t>maturity date of any Incremental</w:t>
      </w:r>
      <w:r>
        <w:rPr>
          <w:rFonts w:ascii="Arial" w:cs="Arial" w:eastAsia="Arial" w:hAnsi="Arial"/>
          <w:sz w:val="16"/>
          <w:szCs w:val="16"/>
          <w:color w:val="auto"/>
        </w:rPr>
        <w:t xml:space="preserve"> Term Loan </w:t>
      </w:r>
      <w:r>
        <w:rPr>
          <w:rFonts w:ascii="Arial" w:cs="Arial" w:eastAsia="Arial" w:hAnsi="Arial"/>
          <w:sz w:val="16"/>
          <w:szCs w:val="16"/>
          <w:u w:val="single" w:color="auto"/>
          <w:color w:val="0000FF"/>
        </w:rPr>
        <w:t>Maturity Date</w:t>
      </w:r>
      <w:r>
        <w:rPr>
          <w:rFonts w:ascii="Arial" w:cs="Arial" w:eastAsia="Arial" w:hAnsi="Arial"/>
          <w:sz w:val="16"/>
          <w:szCs w:val="16"/>
          <w:color w:val="auto"/>
        </w:rPr>
        <w:t>, as applicable, and (iv) the material terms (other than fees, interest rate, rate floors, premiums, optional prepayment, redemption provisions and conversion price), taken as a whole, of any such refinancing, refunding, renewing or extending Indebtedness are not more restrictive (as determined by the Borrower in good faith) in any material respect to the Credit Parties than the terms of any agreement or instrument governing the Indebtedness, taken as a whole, being refinanced, refunded, renewed or extended and the interest rate applicable to any such refinancing, refunding, renewing or extending Indebtedness does not exceed the then-applicable market interest rate, as determined by the Borrower in good faith</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p>
    <w:p>
      <w:pPr>
        <w:spacing w:after="0" w:line="62" w:lineRule="exact"/>
        <w:rPr>
          <w:rFonts w:ascii="Arial" w:cs="Arial" w:eastAsia="Arial" w:hAnsi="Arial"/>
          <w:sz w:val="16"/>
          <w:szCs w:val="16"/>
          <w:color w:val="auto"/>
        </w:rPr>
      </w:pPr>
    </w:p>
    <w:p>
      <w:pPr>
        <w:ind w:left="4" w:right="220" w:firstLine="436"/>
        <w:spacing w:after="0" w:line="342" w:lineRule="auto"/>
        <w:tabs>
          <w:tab w:leader="none" w:pos="699" w:val="left"/>
        </w:tabs>
        <w:numPr>
          <w:ilvl w:val="0"/>
          <w:numId w:val="217"/>
        </w:numPr>
        <w:rPr>
          <w:rFonts w:ascii="Arial" w:cs="Arial" w:eastAsia="Arial" w:hAnsi="Arial"/>
          <w:sz w:val="16"/>
          <w:szCs w:val="16"/>
          <w:u w:val="single" w:color="auto"/>
          <w:color w:val="0000FF"/>
        </w:rPr>
      </w:pPr>
      <w:r>
        <w:rPr>
          <w:rFonts w:ascii="Arial" w:cs="Arial" w:eastAsia="Arial" w:hAnsi="Arial"/>
          <w:sz w:val="16"/>
          <w:szCs w:val="16"/>
          <w:u w:val="single" w:color="auto"/>
          <w:color w:val="008000"/>
        </w:rPr>
        <w:t xml:space="preserve">Indebtedness of the Credit Parties </w:t>
      </w:r>
      <w:r>
        <w:rPr>
          <w:rFonts w:ascii="Arial" w:cs="Arial" w:eastAsia="Arial" w:hAnsi="Arial"/>
          <w:sz w:val="16"/>
          <w:szCs w:val="16"/>
          <w:u w:val="single" w:color="auto"/>
          <w:color w:val="0000FF"/>
        </w:rPr>
        <w:t>and their Subsidiaries owing to the Borrower’s Canadian Foreign Subsidiaries in an aggregate</w:t>
      </w:r>
      <w:r>
        <w:rPr>
          <w:rFonts w:ascii="Arial" w:cs="Arial" w:eastAsia="Arial" w:hAnsi="Arial"/>
          <w:sz w:val="16"/>
          <w:szCs w:val="16"/>
          <w:u w:val="single" w:color="auto"/>
          <w:color w:val="008000"/>
        </w:rPr>
        <w:t xml:space="preserve"> principal amount not to exceed $</w:t>
      </w:r>
      <w:r>
        <w:rPr>
          <w:rFonts w:ascii="Arial" w:cs="Arial" w:eastAsia="Arial" w:hAnsi="Arial"/>
          <w:sz w:val="16"/>
          <w:szCs w:val="16"/>
          <w:u w:val="single" w:color="auto"/>
          <w:color w:val="0000FF"/>
        </w:rPr>
        <w:t>40,000,000 at any time outstanding with a maturity of not less than one (1) year from the incurrence of such Indebtedness; and</w:t>
      </w:r>
    </w:p>
    <w:p>
      <w:pPr>
        <w:spacing w:after="0" w:line="15" w:lineRule="exact"/>
        <w:rPr>
          <w:rFonts w:ascii="Arial" w:cs="Arial" w:eastAsia="Arial" w:hAnsi="Arial"/>
          <w:sz w:val="16"/>
          <w:szCs w:val="16"/>
          <w:u w:val="single" w:color="auto"/>
          <w:color w:val="0000FF"/>
        </w:rPr>
      </w:pPr>
    </w:p>
    <w:p>
      <w:pPr>
        <w:ind w:left="684" w:hanging="244"/>
        <w:spacing w:after="0"/>
        <w:tabs>
          <w:tab w:leader="none" w:pos="684" w:val="left"/>
        </w:tabs>
        <w:numPr>
          <w:ilvl w:val="0"/>
          <w:numId w:val="21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Indebtedness of the Credit Parties in the form of the Junior Capital Raise.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6464300</wp:posOffset>
            </wp:positionH>
            <wp:positionV relativeFrom="paragraph">
              <wp:posOffset>-2599055</wp:posOffset>
            </wp:positionV>
            <wp:extent cx="19367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the event that an item of Indebtedness meets the criteria of more than one of the categories of Indebtedness described in clauses (f), (g), (i), (l), (p),</w:t>
      </w:r>
    </w:p>
    <w:p>
      <w:pPr>
        <w:spacing w:after="0" w:line="46" w:lineRule="exact"/>
        <w:rPr>
          <w:sz w:val="20"/>
          <w:szCs w:val="20"/>
          <w:color w:val="auto"/>
        </w:rPr>
      </w:pPr>
    </w:p>
    <w:p>
      <w:pPr>
        <w:ind w:left="4" w:hanging="4"/>
        <w:spacing w:after="0" w:line="260" w:lineRule="auto"/>
        <w:tabs>
          <w:tab w:leader="none" w:pos="23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and (x) above, the Borrower may select which such category shall apply to such Indebtedness and may, in its sole discretion, divide and reallocate the Indebtedness among multiple available categories pursuant to more than one of the above clauses.</w:t>
      </w:r>
    </w:p>
    <w:p>
      <w:pPr>
        <w:spacing w:after="0" w:line="185" w:lineRule="exact"/>
        <w:rPr>
          <w:sz w:val="20"/>
          <w:szCs w:val="20"/>
          <w:color w:val="auto"/>
        </w:rPr>
      </w:pPr>
    </w:p>
    <w:p>
      <w:pPr>
        <w:ind w:left="4" w:right="440" w:firstLine="440"/>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statutory division), except that:</w:t>
      </w:r>
    </w:p>
    <w:p>
      <w:pPr>
        <w:spacing w:after="0" w:line="76" w:lineRule="exact"/>
        <w:rPr>
          <w:sz w:val="20"/>
          <w:szCs w:val="20"/>
          <w:color w:val="auto"/>
        </w:rPr>
      </w:pPr>
    </w:p>
    <w:p>
      <w:pPr>
        <w:ind w:left="684" w:hanging="244"/>
        <w:spacing w:after="0"/>
        <w:tabs>
          <w:tab w:leader="none" w:pos="68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any Subsidiary may merge or amalgamate with (i) the Borrower, provided that the Borrower shall be the continuing or surviving Person, or</w:t>
      </w:r>
    </w:p>
    <w:p>
      <w:pPr>
        <w:spacing w:after="0" w:line="46" w:lineRule="exact"/>
        <w:rPr>
          <w:rFonts w:ascii="Arial" w:cs="Arial" w:eastAsia="Arial" w:hAnsi="Arial"/>
          <w:sz w:val="16"/>
          <w:szCs w:val="16"/>
          <w:color w:val="auto"/>
        </w:rPr>
      </w:pPr>
    </w:p>
    <w:p>
      <w:pPr>
        <w:ind w:left="4" w:right="620" w:hanging="4"/>
        <w:spacing w:after="0" w:line="260" w:lineRule="auto"/>
        <w:tabs>
          <w:tab w:leader="none" w:pos="26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one or more other Subsidiaries, provided that when any Credit Party (other than the Borrower) is merging or amalgamating with another Subsidiary, such Credit Party shall be the continuing or surviving Person;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4"/>
          </w:cols>
          <w:pgMar w:left="436" w:top="490" w:right="459" w:bottom="1440" w:gutter="0" w:footer="0" w:header="0"/>
        </w:sectPr>
      </w:pPr>
    </w:p>
    <w:bookmarkStart w:id="177" w:name="page178"/>
    <w:bookmarkEnd w:id="177"/>
    <w:p>
      <w:pPr>
        <w:ind w:left="4" w:right="420" w:firstLine="436"/>
        <w:spacing w:after="0" w:line="277" w:lineRule="auto"/>
        <w:tabs>
          <w:tab w:leader="none" w:pos="699" w:val="left"/>
        </w:tabs>
        <w:numPr>
          <w:ilvl w:val="1"/>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Subsidiary may Dispose of all or substantially all of its assets (upon voluntary liquidation or otherwise) to the Borrower or to another Credit Party;</w:t>
      </w:r>
    </w:p>
    <w:p>
      <w:pPr>
        <w:spacing w:after="0" w:line="62" w:lineRule="exact"/>
        <w:rPr>
          <w:rFonts w:ascii="Arial" w:cs="Arial" w:eastAsia="Arial" w:hAnsi="Arial"/>
          <w:sz w:val="18"/>
          <w:szCs w:val="18"/>
          <w:color w:val="auto"/>
        </w:rPr>
      </w:pPr>
    </w:p>
    <w:p>
      <w:pPr>
        <w:ind w:left="4" w:firstLine="436"/>
        <w:spacing w:after="0" w:line="287" w:lineRule="auto"/>
        <w:tabs>
          <w:tab w:leader="none" w:pos="68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any Non-Guarantor Subsidiary may dispose of all or substantially all its assets (including any Disposition that is in the nature of a liquidation) to (i) a Non-Guarantor Subsidiary that is a Wholly-Owned Subsidiary, (ii) solely in the case of any disposition by a non-Wholly-Owned Subsidiary of its assets, such disposition may be made ratably according to the respective holdings of each Person that owns the Equity Interest in such Subsidiary, or</w:t>
      </w:r>
    </w:p>
    <w:p>
      <w:pPr>
        <w:spacing w:after="0" w:line="2" w:lineRule="exact"/>
        <w:rPr>
          <w:rFonts w:ascii="Arial" w:cs="Arial" w:eastAsia="Arial" w:hAnsi="Arial"/>
          <w:sz w:val="16"/>
          <w:szCs w:val="16"/>
          <w:color w:val="auto"/>
        </w:rPr>
      </w:pPr>
    </w:p>
    <w:p>
      <w:pPr>
        <w:ind w:left="324" w:hanging="324"/>
        <w:spacing w:after="0"/>
        <w:tabs>
          <w:tab w:leader="none" w:pos="3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a Credit Party;</w:t>
      </w:r>
    </w:p>
    <w:p>
      <w:pPr>
        <w:spacing w:after="0" w:line="102" w:lineRule="exact"/>
        <w:rPr>
          <w:rFonts w:ascii="Arial" w:cs="Arial" w:eastAsia="Arial" w:hAnsi="Arial"/>
          <w:sz w:val="18"/>
          <w:szCs w:val="18"/>
          <w:color w:val="auto"/>
        </w:rPr>
      </w:pPr>
    </w:p>
    <w:p>
      <w:pPr>
        <w:ind w:left="4" w:right="80" w:firstLine="436"/>
        <w:spacing w:after="0" w:line="257" w:lineRule="auto"/>
        <w:tabs>
          <w:tab w:leader="none" w:pos="69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in connection with any Acquisition permitted under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any Subsidiary of the Borrower may merge into or consolidate with any other Person or permit any other Person to merge into or consolidate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Person surviving such merger shall be a Subsidiary of the Borrower (with the Borrower owning, directly or indirectly, the same proportionate share of the Person surviving such merger or consolidation as the existing Subsidiary of the Borrower that is party to such merger or consolidation) and (ii) in the case of any such merger to which any Credit Party (other than the Borrower) is a party, such Credit Party is the surviving Person;</w:t>
      </w:r>
    </w:p>
    <w:p>
      <w:pPr>
        <w:spacing w:after="0" w:line="79" w:lineRule="exact"/>
        <w:rPr>
          <w:rFonts w:ascii="Arial" w:cs="Arial" w:eastAsia="Arial" w:hAnsi="Arial"/>
          <w:sz w:val="18"/>
          <w:szCs w:val="18"/>
          <w:color w:val="auto"/>
        </w:rPr>
      </w:pPr>
    </w:p>
    <w:p>
      <w:pPr>
        <w:ind w:left="4" w:right="40" w:firstLine="436"/>
        <w:spacing w:after="0" w:line="257" w:lineRule="auto"/>
        <w:tabs>
          <w:tab w:leader="none" w:pos="689" w:val="left"/>
        </w:tabs>
        <w:numPr>
          <w:ilvl w:val="1"/>
          <w:numId w:val="222"/>
        </w:numPr>
        <w:rPr>
          <w:rFonts w:ascii="Arial" w:cs="Arial" w:eastAsia="Arial" w:hAnsi="Arial"/>
          <w:sz w:val="18"/>
          <w:szCs w:val="18"/>
          <w:color w:val="auto"/>
        </w:rPr>
      </w:pPr>
      <w:r>
        <w:rPr>
          <w:rFonts w:ascii="Arial" w:cs="Arial" w:eastAsia="Arial" w:hAnsi="Arial"/>
          <w:sz w:val="18"/>
          <w:szCs w:val="18"/>
          <w:color w:val="FF0000"/>
          <w:strike w:val="1"/>
        </w:rPr>
        <w:t>other than during the Limited Waiver Period and</w:t>
      </w:r>
      <w:r>
        <w:rPr>
          <w:rFonts w:ascii="Arial" w:cs="Arial" w:eastAsia="Arial" w:hAnsi="Arial"/>
          <w:sz w:val="18"/>
          <w:szCs w:val="18"/>
          <w:color w:val="FF0000"/>
        </w:rPr>
        <w:t xml:space="preserve"> </w:t>
      </w:r>
      <w:r>
        <w:rPr>
          <w:rFonts w:ascii="Arial" w:cs="Arial" w:eastAsia="Arial" w:hAnsi="Arial"/>
          <w:sz w:val="18"/>
          <w:szCs w:val="18"/>
          <w:color w:val="000000"/>
        </w:rPr>
        <w:t>so long as no Default or Event of Default has occurred and is continuing or would result</w:t>
      </w:r>
      <w:r>
        <w:rPr>
          <w:rFonts w:ascii="Arial" w:cs="Arial" w:eastAsia="Arial" w:hAnsi="Arial"/>
          <w:sz w:val="18"/>
          <w:szCs w:val="18"/>
          <w:color w:val="FF0000"/>
        </w:rPr>
        <w:t xml:space="preserve"> </w:t>
      </w:r>
      <w:r>
        <w:rPr>
          <w:rFonts w:ascii="Arial" w:cs="Arial" w:eastAsia="Arial" w:hAnsi="Arial"/>
          <w:sz w:val="18"/>
          <w:szCs w:val="18"/>
          <w:color w:val="000000"/>
        </w:rPr>
        <w:t xml:space="preserve">therefrom, each of the Borrower and any of its Subsidiaries may merge into or consolidate with any other Person or permit any other Person to merge into or consolidate with it;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in each case, immediately after giving effect thereto (i) in the case of any such merger to which the Borrower is a party, the Borrower is the survivor and (ii) in the case of any such merger to which any Credit Party (other than the Borrower) is a party, such Credit Party is the survivor;</w:t>
      </w:r>
    </w:p>
    <w:p>
      <w:pPr>
        <w:spacing w:after="0" w:line="79" w:lineRule="exact"/>
        <w:rPr>
          <w:rFonts w:ascii="Arial" w:cs="Arial" w:eastAsia="Arial" w:hAnsi="Arial"/>
          <w:sz w:val="18"/>
          <w:szCs w:val="18"/>
          <w:color w:val="auto"/>
        </w:rPr>
      </w:pPr>
    </w:p>
    <w:p>
      <w:pPr>
        <w:ind w:left="4" w:right="240" w:firstLine="436"/>
        <w:spacing w:after="0" w:line="277" w:lineRule="auto"/>
        <w:tabs>
          <w:tab w:leader="none" w:pos="66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any Subsidiary that has Disposed of all or substantially all of its assets in accordance with </w:t>
      </w:r>
      <w:r>
        <w:rPr>
          <w:rFonts w:ascii="Arial" w:cs="Arial" w:eastAsia="Arial" w:hAnsi="Arial"/>
          <w:sz w:val="18"/>
          <w:szCs w:val="18"/>
          <w:u w:val="single" w:color="auto"/>
          <w:color w:val="auto"/>
        </w:rPr>
        <w:t>Section 9.4(b)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has substantially no assets may be dissolved;</w:t>
      </w:r>
    </w:p>
    <w:p>
      <w:pPr>
        <w:spacing w:after="0" w:line="62" w:lineRule="exact"/>
        <w:rPr>
          <w:rFonts w:ascii="Arial" w:cs="Arial" w:eastAsia="Arial" w:hAnsi="Arial"/>
          <w:sz w:val="18"/>
          <w:szCs w:val="18"/>
          <w:color w:val="auto"/>
        </w:rPr>
      </w:pPr>
    </w:p>
    <w:p>
      <w:pPr>
        <w:ind w:left="4" w:right="20" w:firstLine="436"/>
        <w:spacing w:after="0" w:line="263" w:lineRule="auto"/>
        <w:tabs>
          <w:tab w:leader="none" w:pos="69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Immaterial Subsidiaries may merge, amalgamate, dissolve, liquidate, consolidate with or into the Borrower or any Domestic Subsidiary, or Dispose of (whether in one transaction or in a series of transactions) all or substantially all of its assets (whether now owned or hereafter acquired) to or in favor of the Borrower or any Domestic Subsidiary;</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9.5(e)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Adapt US/Canada Integration; and</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PaxVax US Integration.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Dispositions</w:t>
      </w:r>
      <w:r>
        <w:rPr>
          <w:rFonts w:ascii="Arial" w:cs="Arial" w:eastAsia="Arial" w:hAnsi="Arial"/>
          <w:sz w:val="18"/>
          <w:szCs w:val="18"/>
          <w:color w:val="auto"/>
        </w:rPr>
        <w:t>. Make any Disposition, except:</w:t>
      </w:r>
    </w:p>
    <w:p>
      <w:pPr>
        <w:spacing w:after="0" w:line="117" w:lineRule="exact"/>
        <w:rPr>
          <w:sz w:val="20"/>
          <w:szCs w:val="20"/>
          <w:color w:val="auto"/>
        </w:rPr>
      </w:pPr>
    </w:p>
    <w:p>
      <w:pPr>
        <w:ind w:left="684" w:hanging="244"/>
        <w:spacing w:after="0"/>
        <w:tabs>
          <w:tab w:leader="none" w:pos="68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in the ordinary course of business;</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117" w:lineRule="exact"/>
        <w:rPr>
          <w:rFonts w:ascii="Arial" w:cs="Arial" w:eastAsia="Arial" w:hAnsi="Arial"/>
          <w:sz w:val="18"/>
          <w:szCs w:val="18"/>
          <w:color w:val="auto"/>
        </w:rPr>
      </w:pPr>
    </w:p>
    <w:p>
      <w:pPr>
        <w:ind w:left="4" w:right="420" w:firstLine="436"/>
        <w:spacing w:after="0" w:line="342" w:lineRule="auto"/>
        <w:tabs>
          <w:tab w:leader="none" w:pos="68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4"/>
          </w:cols>
          <w:pgMar w:left="436" w:top="490" w:right="459" w:bottom="1440" w:gutter="0" w:footer="0" w:header="0"/>
        </w:sectPr>
      </w:pPr>
    </w:p>
    <w:bookmarkStart w:id="178" w:name="page179"/>
    <w:bookmarkEnd w:id="178"/>
    <w:p>
      <w:pPr>
        <w:ind w:right="120" w:firstLine="436"/>
        <w:spacing w:after="0" w:line="277" w:lineRule="auto"/>
        <w:tabs>
          <w:tab w:leader="none" w:pos="695"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Dispositions of property by any Subsidiary to the Borrower or to a Wholly-Owned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of such property is a Guarantor, the transferee thereof must either be the Borrower or a Guarantor;</w:t>
      </w:r>
    </w:p>
    <w:p>
      <w:pPr>
        <w:spacing w:after="0" w:line="62" w:lineRule="exact"/>
        <w:rPr>
          <w:rFonts w:ascii="Arial" w:cs="Arial" w:eastAsia="Arial" w:hAnsi="Arial"/>
          <w:sz w:val="18"/>
          <w:szCs w:val="18"/>
          <w:color w:val="auto"/>
        </w:rPr>
      </w:pPr>
    </w:p>
    <w:p>
      <w:pPr>
        <w:ind w:right="500" w:firstLine="436"/>
        <w:spacing w:after="0" w:line="277" w:lineRule="auto"/>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9.4(h)</w:t>
      </w:r>
      <w:r>
        <w:rPr>
          <w:rFonts w:ascii="Arial" w:cs="Arial" w:eastAsia="Arial" w:hAnsi="Arial"/>
          <w:sz w:val="18"/>
          <w:szCs w:val="18"/>
          <w:color w:val="auto"/>
        </w:rPr>
        <w:t xml:space="preserve">) and any Disposition constituting a Restricted Payment permitted under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00" w:firstLine="436"/>
        <w:spacing w:after="0" w:line="277" w:lineRule="auto"/>
        <w:tabs>
          <w:tab w:leader="none" w:pos="66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non-exclusive licenses of IP Rights (other than any IP Rights related to BioThrax or AV7909) on customary terms consistent with the ordinary course of business in the biotechnology industry;</w:t>
      </w:r>
    </w:p>
    <w:p>
      <w:pPr>
        <w:spacing w:after="0" w:line="62" w:lineRule="exact"/>
        <w:rPr>
          <w:rFonts w:ascii="Arial" w:cs="Arial" w:eastAsia="Arial" w:hAnsi="Arial"/>
          <w:sz w:val="18"/>
          <w:szCs w:val="18"/>
          <w:color w:val="auto"/>
        </w:rPr>
      </w:pPr>
    </w:p>
    <w:p>
      <w:pPr>
        <w:ind w:firstLine="436"/>
        <w:spacing w:after="0" w:line="259" w:lineRule="auto"/>
        <w:tabs>
          <w:tab w:leader="none" w:pos="695" w:val="left"/>
        </w:tabs>
        <w:numPr>
          <w:ilvl w:val="0"/>
          <w:numId w:val="224"/>
        </w:numPr>
        <w:rPr>
          <w:rFonts w:ascii="Arial" w:cs="Arial" w:eastAsia="Arial" w:hAnsi="Arial"/>
          <w:sz w:val="18"/>
          <w:szCs w:val="18"/>
          <w:color w:val="auto"/>
        </w:rPr>
      </w:pPr>
      <w:r>
        <w:rPr>
          <w:rFonts w:ascii="Arial" w:cs="Arial" w:eastAsia="Arial" w:hAnsi="Arial"/>
          <w:sz w:val="18"/>
          <w:szCs w:val="18"/>
          <w:color w:val="FF0000"/>
          <w:strike w:val="1"/>
        </w:rPr>
        <w:t>other than during the Limited Waiver Period,</w:t>
      </w:r>
      <w:r>
        <w:rPr>
          <w:rFonts w:ascii="Arial" w:cs="Arial" w:eastAsia="Arial" w:hAnsi="Arial"/>
          <w:sz w:val="18"/>
          <w:szCs w:val="18"/>
          <w:color w:val="FF0000"/>
        </w:rPr>
        <w:t xml:space="preserve"> </w:t>
      </w:r>
      <w:r>
        <w:rPr>
          <w:rFonts w:ascii="Arial" w:cs="Arial" w:eastAsia="Arial" w:hAnsi="Arial"/>
          <w:sz w:val="18"/>
          <w:szCs w:val="18"/>
          <w:color w:val="000000"/>
        </w:rPr>
        <w:t>Dispositions (including, without limitation, Dispositions of IP Rights, other than IP Rights related</w:t>
      </w:r>
      <w:r>
        <w:rPr>
          <w:rFonts w:ascii="Arial" w:cs="Arial" w:eastAsia="Arial" w:hAnsi="Arial"/>
          <w:sz w:val="18"/>
          <w:szCs w:val="18"/>
          <w:color w:val="FF0000"/>
        </w:rPr>
        <w:t xml:space="preserve"> </w:t>
      </w:r>
      <w:r>
        <w:rPr>
          <w:rFonts w:ascii="Arial" w:cs="Arial" w:eastAsia="Arial" w:hAnsi="Arial"/>
          <w:sz w:val="18"/>
          <w:szCs w:val="18"/>
          <w:color w:val="000000"/>
        </w:rPr>
        <w:t xml:space="preserve">to BioThrax) by the Borrower and its Subsidiaries;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at the time of such Disposition, no Default or Event of Default shall exist or would result from such Disposition and (ii) the aggregate fair market value of all property Disposed of in reliance on this clause (g) in any fiscal year shall not exceed </w:t>
      </w:r>
      <w:r>
        <w:rPr>
          <w:rFonts w:ascii="Arial" w:cs="Arial" w:eastAsia="Arial" w:hAnsi="Arial"/>
          <w:sz w:val="18"/>
          <w:szCs w:val="18"/>
          <w:color w:val="FF0000"/>
          <w:strike w:val="1"/>
        </w:rPr>
        <w:t>the greater of</w:t>
      </w:r>
      <w:r>
        <w:rPr>
          <w:rFonts w:ascii="Arial" w:cs="Arial" w:eastAsia="Arial" w:hAnsi="Arial"/>
          <w:sz w:val="18"/>
          <w:szCs w:val="18"/>
          <w:color w:val="000000"/>
        </w:rPr>
        <w:t xml:space="preserve"> $5</w:t>
      </w:r>
      <w:r>
        <w:rPr>
          <w:rFonts w:ascii="Arial" w:cs="Arial" w:eastAsia="Arial" w:hAnsi="Arial"/>
          <w:sz w:val="18"/>
          <w:szCs w:val="18"/>
          <w:color w:val="FF0000"/>
          <w:strike w:val="1"/>
        </w:rPr>
        <w:t>0</w:t>
      </w:r>
      <w:r>
        <w:rPr>
          <w:rFonts w:ascii="Arial" w:cs="Arial" w:eastAsia="Arial" w:hAnsi="Arial"/>
          <w:sz w:val="18"/>
          <w:szCs w:val="18"/>
          <w:color w:val="000000"/>
        </w:rPr>
        <w:t xml:space="preserve">,000,000 </w:t>
      </w:r>
      <w:r>
        <w:rPr>
          <w:rFonts w:ascii="Arial" w:cs="Arial" w:eastAsia="Arial" w:hAnsi="Arial"/>
          <w:sz w:val="18"/>
          <w:szCs w:val="18"/>
          <w:color w:val="FF0000"/>
        </w:rPr>
        <w:t>and 5% of Consolidated Tangible Assets</w:t>
      </w:r>
      <w:r>
        <w:rPr>
          <w:rFonts w:ascii="Arial" w:cs="Arial" w:eastAsia="Arial" w:hAnsi="Arial"/>
          <w:sz w:val="18"/>
          <w:szCs w:val="18"/>
          <w:color w:val="000000"/>
        </w:rPr>
        <w:t>;</w:t>
      </w:r>
    </w:p>
    <w:p>
      <w:pPr>
        <w:spacing w:after="0" w:line="78" w:lineRule="exact"/>
        <w:rPr>
          <w:rFonts w:ascii="Arial" w:cs="Arial" w:eastAsia="Arial" w:hAnsi="Arial"/>
          <w:sz w:val="18"/>
          <w:szCs w:val="18"/>
          <w:color w:val="auto"/>
        </w:rPr>
      </w:pPr>
    </w:p>
    <w:p>
      <w:pPr>
        <w:ind w:right="140" w:firstLine="436"/>
        <w:spacing w:after="0" w:line="263" w:lineRule="auto"/>
        <w:tabs>
          <w:tab w:leader="none" w:pos="69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Dispositions of Investments in joint ventures (regardless of the form of legal entity) to the extent required by, or made pursuant to, customary buy/sell arrangements (including, without limitation, any puts, calls or deadlock buyouts) between the joint venture parties set forth in joint venture arrangements and similar binding arrangements;</w:t>
      </w:r>
    </w:p>
    <w:p>
      <w:pPr>
        <w:spacing w:after="0" w:line="75" w:lineRule="exact"/>
        <w:rPr>
          <w:rFonts w:ascii="Arial" w:cs="Arial" w:eastAsia="Arial" w:hAnsi="Arial"/>
          <w:sz w:val="18"/>
          <w:szCs w:val="18"/>
          <w:color w:val="auto"/>
        </w:rPr>
      </w:pPr>
    </w:p>
    <w:p>
      <w:pPr>
        <w:ind w:firstLine="436"/>
        <w:spacing w:after="0" w:line="286" w:lineRule="auto"/>
        <w:tabs>
          <w:tab w:leader="none" w:pos="65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Dispositions that gives rise to the receipt by the Borrower or any of its Subsidiaries of any casualty insurance proceeds or condemnation awards or that gives rise to a taking by a Governmental Authority in respect of any equipment, fixed assets or real property (including any improvements thereon) to replace, restore or repair, or compensate for the loss of, such equipment, fixed assets or real property;</w:t>
      </w:r>
    </w:p>
    <w:p>
      <w:pPr>
        <w:spacing w:after="0" w:line="57" w:lineRule="exact"/>
        <w:rPr>
          <w:rFonts w:ascii="Arial" w:cs="Arial" w:eastAsia="Arial" w:hAnsi="Arial"/>
          <w:sz w:val="17"/>
          <w:szCs w:val="17"/>
          <w:color w:val="auto"/>
        </w:rPr>
      </w:pPr>
    </w:p>
    <w:p>
      <w:pPr>
        <w:ind w:left="660" w:hanging="224"/>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issuance or sale of any Equity Interests of a Subsidiary of the Borrower to qualified directors if required by Applicable Law;</w:t>
      </w:r>
    </w:p>
    <w:p>
      <w:pPr>
        <w:spacing w:after="0" w:line="117" w:lineRule="exact"/>
        <w:rPr>
          <w:rFonts w:ascii="Arial" w:cs="Arial" w:eastAsia="Arial" w:hAnsi="Arial"/>
          <w:sz w:val="18"/>
          <w:szCs w:val="18"/>
          <w:color w:val="auto"/>
        </w:rPr>
      </w:pPr>
    </w:p>
    <w:p>
      <w:pPr>
        <w:ind w:right="380" w:firstLine="436"/>
        <w:spacing w:after="0" w:line="308" w:lineRule="auto"/>
        <w:tabs>
          <w:tab w:leader="none" w:pos="69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abandonment or other Disposition of Intellectual Property that is, in the reasonable judgment of the Borrower, no longer economically practical to maintain and not material to the conduct of the business of the Borrower or its Subsidiaries, taken as a whole;</w:t>
      </w:r>
    </w:p>
    <w:p>
      <w:pPr>
        <w:spacing w:after="0" w:line="38" w:lineRule="exact"/>
        <w:rPr>
          <w:rFonts w:ascii="Arial" w:cs="Arial" w:eastAsia="Arial" w:hAnsi="Arial"/>
          <w:sz w:val="17"/>
          <w:szCs w:val="17"/>
          <w:color w:val="auto"/>
        </w:rPr>
      </w:pPr>
    </w:p>
    <w:p>
      <w:pPr>
        <w:ind w:right="340" w:firstLine="436"/>
        <w:spacing w:after="0" w:line="277" w:lineRule="auto"/>
        <w:tabs>
          <w:tab w:leader="none" w:pos="65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Dispositions of accounts receivable (other than any account receivable arising under a Material Contract) in connection with the collection, compromise or settlement thereof in the ordinary course of business and not as part of a financing transaction;</w:t>
      </w:r>
    </w:p>
    <w:p>
      <w:pPr>
        <w:spacing w:after="0" w:line="62" w:lineRule="exact"/>
        <w:rPr>
          <w:rFonts w:ascii="Arial" w:cs="Arial" w:eastAsia="Arial" w:hAnsi="Arial"/>
          <w:sz w:val="18"/>
          <w:szCs w:val="18"/>
          <w:color w:val="auto"/>
        </w:rPr>
      </w:pPr>
    </w:p>
    <w:p>
      <w:pPr>
        <w:ind w:right="100" w:firstLine="436"/>
        <w:spacing w:after="0" w:line="277" w:lineRule="auto"/>
        <w:tabs>
          <w:tab w:leader="none" w:pos="74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leases, subleases, licenses or sublicenses with respect to any real or personal property (other than IP Rights) which do not materially interfere with the business of the Borrower or any of its Subsidiaries, taken as a whole, including leases of real property;</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unwinding of any Hedge Agreement;</w:t>
      </w:r>
    </w:p>
    <w:p>
      <w:pPr>
        <w:spacing w:after="0" w:line="117" w:lineRule="exact"/>
        <w:rPr>
          <w:rFonts w:ascii="Arial" w:cs="Arial" w:eastAsia="Arial" w:hAnsi="Arial"/>
          <w:sz w:val="18"/>
          <w:szCs w:val="18"/>
          <w:color w:val="auto"/>
        </w:rPr>
      </w:pPr>
    </w:p>
    <w:p>
      <w:pPr>
        <w:ind w:firstLine="436"/>
        <w:spacing w:after="0" w:line="263" w:lineRule="auto"/>
        <w:tabs>
          <w:tab w:leader="none" w:pos="69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sale of non-core assets acquired in connection with a Permitted Acquisition which, within six (6) months after the date of such Permitted Acquisition, are designated in writing to the Administrative Agent as being held for sale and not for the continued operation of the Borrower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-2968625</wp:posOffset>
            </wp:positionV>
            <wp:extent cx="18751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490" w:right="459" w:bottom="1440" w:gutter="0" w:footer="0" w:header="0"/>
        </w:sectPr>
      </w:pPr>
    </w:p>
    <w:bookmarkStart w:id="179" w:name="page180"/>
    <w:bookmarkEnd w:id="179"/>
    <w:p>
      <w:pPr>
        <w:ind w:right="180" w:firstLine="436"/>
        <w:spacing w:after="0" w:line="296" w:lineRule="auto"/>
        <w:tabs>
          <w:tab w:leader="none" w:pos="695" w:val="left"/>
        </w:tabs>
        <w:numPr>
          <w:ilvl w:val="0"/>
          <w:numId w:val="225"/>
        </w:numPr>
        <w:rPr>
          <w:rFonts w:ascii="Arial" w:cs="Arial" w:eastAsia="Arial" w:hAnsi="Arial"/>
          <w:sz w:val="16"/>
          <w:szCs w:val="16"/>
          <w:color w:val="FF0000"/>
          <w:strike w:val="1"/>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 the Borrower may assign all or part of its rights and/or obligations as “Buyer” under the Adapt Purchase Agreement or all or part of its rights or obligations under any Related Agreement (as defined in the Adapt Purchase Agreement), in each case, to a direct or indirect Wholly-Owned Domestic or Foreign Subsidiary of the Borrower and (ii) such Wholly-Owned Subsidiary may further assign such rights and/or obligations as “Buyer” under the Adapt Purchase Agreement or such rights or obligations under any such Related Agreement, in each case, to another direct or indirect Domestic or Foreign Wholly-Owned Subsidiary of the Borrower, in each case on or in connection with the Closing Date;</w:t>
      </w:r>
    </w:p>
    <w:p>
      <w:pPr>
        <w:spacing w:after="0" w:line="53" w:lineRule="exact"/>
        <w:rPr>
          <w:sz w:val="20"/>
          <w:szCs w:val="20"/>
          <w:color w:val="auto"/>
        </w:rPr>
      </w:pPr>
    </w:p>
    <w:p>
      <w:pPr>
        <w:ind w:left="700" w:hanging="264"/>
        <w:spacing w:after="0"/>
        <w:tabs>
          <w:tab w:leader="none" w:pos="700" w:val="left"/>
        </w:tabs>
        <w:numPr>
          <w:ilvl w:val="0"/>
          <w:numId w:val="226"/>
        </w:numPr>
        <w:rPr>
          <w:rFonts w:ascii="Arial" w:cs="Arial" w:eastAsia="Arial" w:hAnsi="Arial"/>
          <w:sz w:val="18"/>
          <w:szCs w:val="18"/>
          <w:u w:val="single" w:color="auto"/>
          <w:color w:val="0000FF"/>
        </w:rPr>
      </w:pPr>
      <w:r>
        <w:rPr>
          <w:rFonts w:ascii="Arial" w:cs="Arial" w:eastAsia="Arial" w:hAnsi="Arial"/>
          <w:sz w:val="18"/>
          <w:szCs w:val="18"/>
          <w:color w:val="FF0000"/>
          <w:strike w:val="1"/>
        </w:rPr>
        <w:t>(q)</w:t>
      </w:r>
      <w:r>
        <w:rPr>
          <w:rFonts w:ascii="Arial" w:cs="Arial" w:eastAsia="Arial" w:hAnsi="Arial"/>
          <w:sz w:val="18"/>
          <w:szCs w:val="18"/>
          <w:color w:val="FF0000"/>
        </w:rPr>
        <w:t xml:space="preserve"> </w:t>
      </w:r>
      <w:r>
        <w:rPr>
          <w:rFonts w:ascii="Arial" w:cs="Arial" w:eastAsia="Arial" w:hAnsi="Arial"/>
          <w:sz w:val="18"/>
          <w:szCs w:val="18"/>
          <w:color w:val="000000"/>
        </w:rPr>
        <w:t>the Adapt US/Canada Integration; and</w:t>
      </w:r>
    </w:p>
    <w:p>
      <w:pPr>
        <w:spacing w:after="0" w:line="117" w:lineRule="exact"/>
        <w:rPr>
          <w:rFonts w:ascii="Arial" w:cs="Arial" w:eastAsia="Arial" w:hAnsi="Arial"/>
          <w:sz w:val="18"/>
          <w:szCs w:val="18"/>
          <w:u w:val="single" w:color="auto"/>
          <w:color w:val="0000FF"/>
        </w:rPr>
      </w:pPr>
    </w:p>
    <w:p>
      <w:pPr>
        <w:ind w:left="700" w:hanging="264"/>
        <w:spacing w:after="0"/>
        <w:tabs>
          <w:tab w:leader="none" w:pos="700" w:val="left"/>
        </w:tabs>
        <w:numPr>
          <w:ilvl w:val="0"/>
          <w:numId w:val="226"/>
        </w:numPr>
        <w:rPr>
          <w:rFonts w:ascii="Arial" w:cs="Arial" w:eastAsia="Arial" w:hAnsi="Arial"/>
          <w:sz w:val="18"/>
          <w:szCs w:val="18"/>
          <w:u w:val="single" w:color="auto"/>
          <w:color w:val="0000FF"/>
        </w:rPr>
      </w:pPr>
      <w:r>
        <w:rPr>
          <w:rFonts w:ascii="Arial" w:cs="Arial" w:eastAsia="Arial" w:hAnsi="Arial"/>
          <w:sz w:val="18"/>
          <w:szCs w:val="18"/>
          <w:color w:val="FF0000"/>
          <w:strike w:val="1"/>
        </w:rPr>
        <w:t>(r)</w:t>
      </w:r>
      <w:r>
        <w:rPr>
          <w:rFonts w:ascii="Arial" w:cs="Arial" w:eastAsia="Arial" w:hAnsi="Arial"/>
          <w:sz w:val="18"/>
          <w:szCs w:val="18"/>
          <w:color w:val="FF0000"/>
        </w:rPr>
        <w:t xml:space="preserve"> </w:t>
      </w:r>
      <w:r>
        <w:rPr>
          <w:rFonts w:ascii="Arial" w:cs="Arial" w:eastAsia="Arial" w:hAnsi="Arial"/>
          <w:sz w:val="18"/>
          <w:szCs w:val="18"/>
          <w:color w:val="000000"/>
        </w:rPr>
        <w:t>the PaxVax US Integration;</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Disposition pursuant to this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(other than pursuant to sub</w:t>
      </w:r>
      <w:r>
        <w:rPr>
          <w:rFonts w:ascii="Arial" w:cs="Arial" w:eastAsia="Arial" w:hAnsi="Arial"/>
          <w:sz w:val="18"/>
          <w:szCs w:val="18"/>
          <w:color w:val="FF0000"/>
          <w:strike w:val="1"/>
        </w:rPr>
        <w:t>S</w:t>
      </w:r>
      <w:r>
        <w:rPr>
          <w:rFonts w:ascii="Arial" w:cs="Arial" w:eastAsia="Arial" w:hAnsi="Arial"/>
          <w:sz w:val="18"/>
          <w:szCs w:val="18"/>
          <w:u w:val="single" w:color="auto"/>
          <w:color w:val="0000FF"/>
        </w:rPr>
        <w:t>s</w:t>
      </w:r>
      <w:r>
        <w:rPr>
          <w:rFonts w:ascii="Arial" w:cs="Arial" w:eastAsia="Arial" w:hAnsi="Arial"/>
          <w:sz w:val="18"/>
          <w:szCs w:val="18"/>
          <w:color w:val="auto"/>
        </w:rPr>
        <w:t>ections (a), (d), (e), (h), (i), (j), (k), (l) and (n) above) shall be for fair market value (in the Borrower’s good faith determination).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Declare or make, directly or indirectly, any Restricted Payment, except that:</w:t>
      </w:r>
    </w:p>
    <w:p>
      <w:pPr>
        <w:spacing w:after="0" w:line="117" w:lineRule="exact"/>
        <w:rPr>
          <w:sz w:val="20"/>
          <w:szCs w:val="20"/>
          <w:color w:val="auto"/>
        </w:rPr>
      </w:pPr>
    </w:p>
    <w:p>
      <w:pPr>
        <w:ind w:right="360" w:firstLine="436"/>
        <w:spacing w:after="0" w:line="342" w:lineRule="auto"/>
        <w:tabs>
          <w:tab w:leader="none" w:pos="68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each Subsidiary may make Restricted Payments to the Borrower, the Guarantors and any other Person that owns an Equity Interest in such Subsidiary, ratably according to their respective holdings of the type of Equity Interest in respect of which such Restricted Payment is being made;</w:t>
      </w:r>
    </w:p>
    <w:p>
      <w:pPr>
        <w:spacing w:after="0" w:line="15" w:lineRule="exact"/>
        <w:rPr>
          <w:rFonts w:ascii="Arial" w:cs="Arial" w:eastAsia="Arial" w:hAnsi="Arial"/>
          <w:sz w:val="16"/>
          <w:szCs w:val="16"/>
          <w:color w:val="auto"/>
        </w:rPr>
      </w:pPr>
    </w:p>
    <w:p>
      <w:pPr>
        <w:ind w:firstLine="436"/>
        <w:spacing w:after="0" w:line="263" w:lineRule="auto"/>
        <w:tabs>
          <w:tab w:leader="none" w:pos="6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the common stock or other Qualified Equity Interests of such Person (including in connection with any stock split, combination or reclassification of common stock or other Qualified Equity Interests of such Person);</w:t>
      </w:r>
    </w:p>
    <w:p>
      <w:pPr>
        <w:spacing w:after="0" w:line="75" w:lineRule="exact"/>
        <w:rPr>
          <w:rFonts w:ascii="Arial" w:cs="Arial" w:eastAsia="Arial" w:hAnsi="Arial"/>
          <w:sz w:val="18"/>
          <w:szCs w:val="18"/>
          <w:color w:val="auto"/>
        </w:rPr>
      </w:pPr>
    </w:p>
    <w:p>
      <w:pPr>
        <w:ind w:right="80" w:firstLine="436"/>
        <w:spacing w:after="0" w:line="263" w:lineRule="auto"/>
        <w:tabs>
          <w:tab w:leader="none" w:pos="685" w:val="left"/>
        </w:tabs>
        <w:numPr>
          <w:ilvl w:val="0"/>
          <w:numId w:val="227"/>
        </w:numPr>
        <w:rPr>
          <w:rFonts w:ascii="Arial" w:cs="Arial" w:eastAsia="Arial" w:hAnsi="Arial"/>
          <w:sz w:val="18"/>
          <w:szCs w:val="18"/>
          <w:color w:val="auto"/>
        </w:rPr>
      </w:pPr>
      <w:r>
        <w:rPr>
          <w:rFonts w:ascii="Arial" w:cs="Arial" w:eastAsia="Arial" w:hAnsi="Arial"/>
          <w:sz w:val="18"/>
          <w:szCs w:val="18"/>
          <w:color w:val="FF0000"/>
          <w:strike w:val="1"/>
        </w:rPr>
        <w:t>other than during the Limited Waiver Period and</w:t>
      </w:r>
      <w:r>
        <w:rPr>
          <w:rFonts w:ascii="Arial" w:cs="Arial" w:eastAsia="Arial" w:hAnsi="Arial"/>
          <w:sz w:val="18"/>
          <w:szCs w:val="18"/>
          <w:color w:val="FF0000"/>
        </w:rPr>
        <w:t xml:space="preserve"> </w:t>
      </w:r>
      <w:r>
        <w:rPr>
          <w:rFonts w:ascii="Arial" w:cs="Arial" w:eastAsia="Arial" w:hAnsi="Arial"/>
          <w:sz w:val="18"/>
          <w:szCs w:val="18"/>
          <w:color w:val="000000"/>
        </w:rPr>
        <w:t>so long as no Default or Event of Default shall have occurred and be continuing or would</w:t>
      </w:r>
      <w:r>
        <w:rPr>
          <w:rFonts w:ascii="Arial" w:cs="Arial" w:eastAsia="Arial" w:hAnsi="Arial"/>
          <w:sz w:val="18"/>
          <w:szCs w:val="18"/>
          <w:color w:val="FF0000"/>
        </w:rPr>
        <w:t xml:space="preserve"> </w:t>
      </w:r>
      <w:r>
        <w:rPr>
          <w:rFonts w:ascii="Arial" w:cs="Arial" w:eastAsia="Arial" w:hAnsi="Arial"/>
          <w:sz w:val="18"/>
          <w:szCs w:val="18"/>
          <w:color w:val="000000"/>
        </w:rPr>
        <w:t>result therefrom, the Borrower may purchase, redeem or otherwise acquire its common Equity Interests issued by it with the proceeds received from the substantially concurrent issue of new shares of its common stock or other common Equity Interests;</w:t>
      </w:r>
    </w:p>
    <w:p>
      <w:pPr>
        <w:spacing w:after="0" w:line="75" w:lineRule="exact"/>
        <w:rPr>
          <w:rFonts w:ascii="Arial" w:cs="Arial" w:eastAsia="Arial" w:hAnsi="Arial"/>
          <w:sz w:val="18"/>
          <w:szCs w:val="18"/>
          <w:color w:val="auto"/>
        </w:rPr>
      </w:pPr>
    </w:p>
    <w:p>
      <w:pPr>
        <w:ind w:right="40" w:firstLine="436"/>
        <w:spacing w:after="0" w:line="257" w:lineRule="auto"/>
        <w:tabs>
          <w:tab w:leader="none" w:pos="695" w:val="left"/>
        </w:tabs>
        <w:numPr>
          <w:ilvl w:val="0"/>
          <w:numId w:val="227"/>
        </w:numPr>
        <w:rPr>
          <w:rFonts w:ascii="Arial" w:cs="Arial" w:eastAsia="Arial" w:hAnsi="Arial"/>
          <w:sz w:val="18"/>
          <w:szCs w:val="18"/>
          <w:color w:val="auto"/>
        </w:rPr>
      </w:pPr>
      <w:r>
        <w:rPr>
          <w:rFonts w:ascii="Arial" w:cs="Arial" w:eastAsia="Arial" w:hAnsi="Arial"/>
          <w:sz w:val="18"/>
          <w:szCs w:val="18"/>
          <w:color w:val="FF0000"/>
          <w:strike w:val="1"/>
        </w:rPr>
        <w:t>other than during the Limited Waiver Period and</w:t>
      </w:r>
      <w:r>
        <w:rPr>
          <w:rFonts w:ascii="Arial" w:cs="Arial" w:eastAsia="Arial" w:hAnsi="Arial"/>
          <w:sz w:val="18"/>
          <w:szCs w:val="18"/>
          <w:color w:val="FF0000"/>
        </w:rPr>
        <w:t xml:space="preserve"> </w:t>
      </w:r>
      <w:r>
        <w:rPr>
          <w:rFonts w:ascii="Arial" w:cs="Arial" w:eastAsia="Arial" w:hAnsi="Arial"/>
          <w:sz w:val="18"/>
          <w:szCs w:val="18"/>
          <w:color w:val="000000"/>
        </w:rPr>
        <w:t>so long as no Default or Event of Default shall have occurred and be continuing or would</w:t>
      </w:r>
      <w:r>
        <w:rPr>
          <w:rFonts w:ascii="Arial" w:cs="Arial" w:eastAsia="Arial" w:hAnsi="Arial"/>
          <w:sz w:val="18"/>
          <w:szCs w:val="18"/>
          <w:color w:val="FF0000"/>
        </w:rPr>
        <w:t xml:space="preserve"> </w:t>
      </w:r>
      <w:r>
        <w:rPr>
          <w:rFonts w:ascii="Arial" w:cs="Arial" w:eastAsia="Arial" w:hAnsi="Arial"/>
          <w:sz w:val="18"/>
          <w:szCs w:val="18"/>
          <w:color w:val="000000"/>
        </w:rPr>
        <w:t xml:space="preserve">result therefrom, the Borrower may make Restricted Payments (including, without limitation, any purchase, redemption or other acquisition of the Borrower’s common Equity Interests pursuant to stock purchase programs entered into by the Borrower from time to time);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aggregate amount of Restricted Payments made pursuant to this </w:t>
      </w:r>
      <w:r>
        <w:rPr>
          <w:rFonts w:ascii="Arial" w:cs="Arial" w:eastAsia="Arial" w:hAnsi="Arial"/>
          <w:sz w:val="18"/>
          <w:szCs w:val="18"/>
          <w:u w:val="single" w:color="auto"/>
          <w:color w:val="000000"/>
        </w:rPr>
        <w:t>Section 9.6(d)</w:t>
      </w:r>
      <w:r>
        <w:rPr>
          <w:rFonts w:ascii="Arial" w:cs="Arial" w:eastAsia="Arial" w:hAnsi="Arial"/>
          <w:sz w:val="18"/>
          <w:szCs w:val="18"/>
          <w:color w:val="000000"/>
        </w:rPr>
        <w:t xml:space="preserve"> shall not exceed </w:t>
      </w:r>
      <w:r>
        <w:rPr>
          <w:rFonts w:ascii="Arial" w:cs="Arial" w:eastAsia="Arial" w:hAnsi="Arial"/>
          <w:sz w:val="18"/>
          <w:szCs w:val="18"/>
          <w:color w:val="FF0000"/>
          <w:strike w:val="1"/>
        </w:rPr>
        <w:t>(x)</w:t>
      </w:r>
      <w:r>
        <w:rPr>
          <w:rFonts w:ascii="Arial" w:cs="Arial" w:eastAsia="Arial" w:hAnsi="Arial"/>
          <w:sz w:val="18"/>
          <w:szCs w:val="18"/>
          <w:color w:val="000000"/>
        </w:rPr>
        <w:t xml:space="preserve"> $1</w:t>
      </w:r>
      <w:r>
        <w:rPr>
          <w:rFonts w:ascii="Arial" w:cs="Arial" w:eastAsia="Arial" w:hAnsi="Arial"/>
          <w:sz w:val="18"/>
          <w:szCs w:val="18"/>
          <w:color w:val="FF0000"/>
          <w:strike w:val="1"/>
        </w:rPr>
        <w:t>00</w:t>
      </w:r>
      <w:r>
        <w:rPr>
          <w:rFonts w:ascii="Arial" w:cs="Arial" w:eastAsia="Arial" w:hAnsi="Arial"/>
          <w:sz w:val="18"/>
          <w:szCs w:val="18"/>
          <w:color w:val="000000"/>
        </w:rPr>
        <w:t xml:space="preserve">,000,000 per calendar year </w:t>
      </w:r>
      <w:r>
        <w:rPr>
          <w:rFonts w:ascii="Arial" w:cs="Arial" w:eastAsia="Arial" w:hAnsi="Arial"/>
          <w:sz w:val="18"/>
          <w:szCs w:val="18"/>
          <w:color w:val="FF0000"/>
        </w:rPr>
        <w:t>and (y) $25,000,000 during the</w:t>
      </w:r>
      <w:r>
        <w:rPr>
          <w:rFonts w:ascii="Arial" w:cs="Arial" w:eastAsia="Arial" w:hAnsi="Arial"/>
          <w:sz w:val="18"/>
          <w:szCs w:val="18"/>
          <w:color w:val="000000"/>
        </w:rPr>
        <w:t xml:space="preserve"> </w:t>
      </w:r>
      <w:r>
        <w:rPr>
          <w:rFonts w:ascii="Arial" w:cs="Arial" w:eastAsia="Arial" w:hAnsi="Arial"/>
          <w:sz w:val="18"/>
          <w:szCs w:val="18"/>
          <w:color w:val="FF0000"/>
          <w:strike w:val="1"/>
        </w:rPr>
        <w:t>Covenant Relief Period</w:t>
      </w:r>
      <w:r>
        <w:rPr>
          <w:rFonts w:ascii="Arial" w:cs="Arial" w:eastAsia="Arial" w:hAnsi="Arial"/>
          <w:sz w:val="18"/>
          <w:szCs w:val="18"/>
          <w:color w:val="000000"/>
        </w:rPr>
        <w:t>;</w:t>
      </w:r>
    </w:p>
    <w:p>
      <w:pPr>
        <w:spacing w:after="0" w:line="79" w:lineRule="exact"/>
        <w:rPr>
          <w:rFonts w:ascii="Arial" w:cs="Arial" w:eastAsia="Arial" w:hAnsi="Arial"/>
          <w:sz w:val="18"/>
          <w:szCs w:val="18"/>
          <w:color w:val="auto"/>
        </w:rPr>
      </w:pPr>
    </w:p>
    <w:p>
      <w:pPr>
        <w:ind w:right="560" w:firstLine="436"/>
        <w:spacing w:after="0" w:line="277" w:lineRule="auto"/>
        <w:tabs>
          <w:tab w:leader="none" w:pos="6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the avoidance of doubt, the Borrower may issue and sell its common Equity Interests or any warrants or options with respect thereto pursuant to any executive compensation or stock option plan;</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for the avoidance of doubt, the Borrower may issue and sell its Equity Interests to the extent constituting Qualified Equity Interests;</w:t>
      </w:r>
    </w:p>
    <w:p>
      <w:pPr>
        <w:spacing w:after="0" w:line="128" w:lineRule="exact"/>
        <w:rPr>
          <w:rFonts w:ascii="Arial" w:cs="Arial" w:eastAsia="Arial" w:hAnsi="Arial"/>
          <w:sz w:val="17"/>
          <w:szCs w:val="17"/>
          <w:color w:val="auto"/>
        </w:rPr>
      </w:pPr>
    </w:p>
    <w:p>
      <w:pPr>
        <w:jc w:val="both"/>
        <w:ind w:firstLine="436"/>
        <w:spacing w:after="0" w:line="286" w:lineRule="auto"/>
        <w:tabs>
          <w:tab w:leader="none" w:pos="695" w:val="left"/>
        </w:tabs>
        <w:numPr>
          <w:ilvl w:val="0"/>
          <w:numId w:val="227"/>
        </w:numPr>
        <w:rPr>
          <w:rFonts w:ascii="Arial" w:cs="Arial" w:eastAsia="Arial" w:hAnsi="Arial"/>
          <w:sz w:val="17"/>
          <w:szCs w:val="17"/>
          <w:color w:val="auto"/>
        </w:rPr>
      </w:pPr>
      <w:r>
        <w:rPr>
          <w:rFonts w:ascii="Arial" w:cs="Arial" w:eastAsia="Arial" w:hAnsi="Arial"/>
          <w:sz w:val="17"/>
          <w:szCs w:val="17"/>
          <w:color w:val="FF0000"/>
        </w:rPr>
        <w:t xml:space="preserve">to the extent constituting a Restricted Payment, the Borrower may make cash payments to any holder of the Convertible Senior Notes in lieu of </w:t>
      </w:r>
      <w:r>
        <w:rPr>
          <w:rFonts w:ascii="Arial" w:cs="Arial" w:eastAsia="Arial" w:hAnsi="Arial"/>
          <w:sz w:val="17"/>
          <w:szCs w:val="17"/>
          <w:color w:val="FF0000"/>
          <w:strike w:val="1"/>
        </w:rPr>
        <w:t>delivering fractional shares of Qualified Equity Interests of the Borrower to such holder in connection with a conversion of the Convertible Senior Notes into Equity Interests at the election of such holder pursuant to the terms of the Convertible Senior Notes Indenture;</w:t>
      </w:r>
      <w:r>
        <w:rPr>
          <w:rFonts w:ascii="Arial" w:cs="Arial" w:eastAsia="Arial" w:hAnsi="Arial"/>
          <w:sz w:val="17"/>
          <w:szCs w:val="17"/>
          <w:u w:val="single" w:color="auto"/>
          <w:color w:val="0000FF"/>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5512435</wp:posOffset>
            </wp:positionH>
            <wp:positionV relativeFrom="paragraph">
              <wp:posOffset>-1265555</wp:posOffset>
            </wp:positionV>
            <wp:extent cx="145034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450340"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-374015</wp:posOffset>
            </wp:positionV>
            <wp:extent cx="657796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577965" cy="8255"/>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490" w:right="459" w:bottom="1440" w:gutter="0" w:footer="0" w:header="0"/>
        </w:sectPr>
      </w:pPr>
    </w:p>
    <w:bookmarkStart w:id="180" w:name="page181"/>
    <w:bookmarkEnd w:id="180"/>
    <w:p>
      <w:pPr>
        <w:jc w:val="both"/>
        <w:ind w:right="220" w:firstLine="436"/>
        <w:spacing w:after="0" w:line="286" w:lineRule="auto"/>
        <w:tabs>
          <w:tab w:leader="none" w:pos="695" w:val="left"/>
        </w:tabs>
        <w:numPr>
          <w:ilvl w:val="0"/>
          <w:numId w:val="2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extent constituting a Restricted Payment, the Borrower may make cash payments in lieu of delivering fractional shares of stock of the Borrower in connection with (i) any dividend, split or combination of its stock or stock equivalents or any Permitted Acquisition (or similar permitted Investment) or (ii) the exercise of warrants, options or other securities convertible into or exchangeable for the stock of the Borrower;</w:t>
      </w:r>
    </w:p>
    <w:p>
      <w:pPr>
        <w:spacing w:after="0" w:line="57" w:lineRule="exact"/>
        <w:rPr>
          <w:rFonts w:ascii="Arial" w:cs="Arial" w:eastAsia="Arial" w:hAnsi="Arial"/>
          <w:sz w:val="17"/>
          <w:szCs w:val="17"/>
          <w:color w:val="auto"/>
        </w:rPr>
      </w:pPr>
    </w:p>
    <w:p>
      <w:pPr>
        <w:ind w:firstLine="436"/>
        <w:spacing w:after="0" w:line="254" w:lineRule="auto"/>
        <w:tabs>
          <w:tab w:leader="none" w:pos="6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so long as no Event of Default has occurred and is continuing or would result therefrom, the Borrower may repurchase its stock or stock equivalents held by any present or former officer, director or employee (or their respective Affiliates, estates or immediate family members) of the Borrower and its Subsidiaries, so long as such repurchase is pursuant to, and in accordance with the terms of, or pursuant to, management and/or employee stock plans, stock subscription agreements or shareholder agreements or any other management or employee benefit plans or agreements in an aggregate amount not to exceed $2,500,000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carry-over any unused amounts in any Fiscal Year to succeeding Fiscal Years; </w:t>
      </w:r>
      <w:r>
        <w:rPr>
          <w:rFonts w:ascii="Arial" w:cs="Arial" w:eastAsia="Arial" w:hAnsi="Arial"/>
          <w:sz w:val="18"/>
          <w:szCs w:val="18"/>
          <w:u w:val="single" w:color="auto"/>
          <w:color w:val="auto"/>
        </w:rPr>
        <w:t>provided further</w:t>
      </w:r>
      <w:r>
        <w:rPr>
          <w:rFonts w:ascii="Arial" w:cs="Arial" w:eastAsia="Arial" w:hAnsi="Arial"/>
          <w:sz w:val="18"/>
          <w:szCs w:val="18"/>
          <w:color w:val="auto"/>
        </w:rPr>
        <w:t>, after giving effect to any such amounts carried over, not than not more $5,000,000 of repurchases under this clause (i) may be made in any Fiscal Year;</w:t>
      </w:r>
    </w:p>
    <w:p>
      <w:pPr>
        <w:spacing w:after="0" w:line="86" w:lineRule="exact"/>
        <w:rPr>
          <w:rFonts w:ascii="Arial" w:cs="Arial" w:eastAsia="Arial" w:hAnsi="Arial"/>
          <w:sz w:val="18"/>
          <w:szCs w:val="18"/>
          <w:color w:val="auto"/>
        </w:rPr>
      </w:pPr>
    </w:p>
    <w:p>
      <w:pPr>
        <w:ind w:right="500" w:firstLine="436"/>
        <w:spacing w:after="0" w:line="277" w:lineRule="auto"/>
        <w:tabs>
          <w:tab w:leader="none" w:pos="6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the Borrower may convert any Indebtedness </w:t>
      </w:r>
      <w:r>
        <w:rPr>
          <w:rFonts w:ascii="Arial" w:cs="Arial" w:eastAsia="Arial" w:hAnsi="Arial"/>
          <w:sz w:val="18"/>
          <w:szCs w:val="18"/>
          <w:color w:val="FF0000"/>
          <w:strike w:val="1"/>
        </w:rPr>
        <w:t>(including the Convertible Senior Notes)</w:t>
      </w:r>
      <w:r>
        <w:rPr>
          <w:rFonts w:ascii="Arial" w:cs="Arial" w:eastAsia="Arial" w:hAnsi="Arial"/>
          <w:sz w:val="18"/>
          <w:szCs w:val="18"/>
          <w:color w:val="auto"/>
        </w:rPr>
        <w:t xml:space="preserve"> or other Equity Interests into common stock of the Borrower from time to time;</w:t>
      </w:r>
    </w:p>
    <w:p>
      <w:pPr>
        <w:spacing w:after="0" w:line="62" w:lineRule="exact"/>
        <w:rPr>
          <w:rFonts w:ascii="Arial" w:cs="Arial" w:eastAsia="Arial" w:hAnsi="Arial"/>
          <w:sz w:val="18"/>
          <w:szCs w:val="18"/>
          <w:color w:val="auto"/>
        </w:rPr>
      </w:pPr>
    </w:p>
    <w:p>
      <w:pPr>
        <w:ind w:right="40" w:firstLine="436"/>
        <w:spacing w:after="0" w:line="273" w:lineRule="auto"/>
        <w:tabs>
          <w:tab w:leader="none" w:pos="695" w:val="left"/>
        </w:tabs>
        <w:numPr>
          <w:ilvl w:val="0"/>
          <w:numId w:val="228"/>
        </w:numPr>
        <w:rPr>
          <w:rFonts w:ascii="Arial" w:cs="Arial" w:eastAsia="Arial" w:hAnsi="Arial"/>
          <w:sz w:val="17"/>
          <w:szCs w:val="17"/>
          <w:color w:val="FF0000"/>
          <w:strike w:val="1"/>
        </w:rPr>
      </w:pPr>
      <w:r>
        <w:rPr>
          <w:rFonts w:ascii="Arial" w:cs="Arial" w:eastAsia="Arial" w:hAnsi="Arial"/>
          <w:sz w:val="17"/>
          <w:szCs w:val="17"/>
          <w:color w:val="FF0000"/>
          <w:strike w:val="1"/>
        </w:rPr>
        <w:t xml:space="preserve">other than during the Limited Waiver Period, the Borrower may make additional Restricted Payments not otherwise permitted pursuant to this Section;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as determined on the date of declaration of any such Restricted Payment, immediately before and immediately after giving pro forma effect to the making of any such Restricted Payment and any Indebtedness incurred in connection therewith (i) no Default or Event of Default shall have occurred and be continuing and (ii) the Consolidated Net Leverage Ratio is less than 2.25 to 1.00 as of the last day of the most recently ended Measurement Period for which financial statements have been delivered pursuant to </w:t>
      </w:r>
      <w:r>
        <w:rPr>
          <w:rFonts w:ascii="Arial" w:cs="Arial" w:eastAsia="Arial" w:hAnsi="Arial"/>
          <w:sz w:val="17"/>
          <w:szCs w:val="17"/>
          <w:u w:val="single" w:color="auto"/>
          <w:color w:val="FF0000"/>
          <w:strike w:val="1"/>
        </w:rPr>
        <w:t>Section 8.1(a)</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(b)</w:t>
      </w:r>
      <w:r>
        <w:rPr>
          <w:rFonts w:ascii="Arial" w:cs="Arial" w:eastAsia="Arial" w:hAnsi="Arial"/>
          <w:sz w:val="17"/>
          <w:szCs w:val="17"/>
          <w:color w:val="FF0000"/>
          <w:strike w:val="1"/>
        </w:rPr>
        <w:t xml:space="preserve"> or </w:t>
      </w:r>
      <w:r>
        <w:rPr>
          <w:rFonts w:ascii="Arial" w:cs="Arial" w:eastAsia="Arial" w:hAnsi="Arial"/>
          <w:sz w:val="17"/>
          <w:szCs w:val="17"/>
          <w:u w:val="single" w:color="auto"/>
          <w:color w:val="FF0000"/>
          <w:strike w:val="1"/>
        </w:rPr>
        <w:t>(d)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further that any such Restricted Payment is made within ninety (90) days of the declaration thereof;</w:t>
      </w:r>
    </w:p>
    <w:p>
      <w:pPr>
        <w:spacing w:after="0" w:line="70" w:lineRule="exact"/>
        <w:rPr>
          <w:sz w:val="20"/>
          <w:szCs w:val="20"/>
          <w:color w:val="auto"/>
        </w:rPr>
      </w:pPr>
    </w:p>
    <w:p>
      <w:pPr>
        <w:ind w:left="700" w:hanging="264"/>
        <w:spacing w:after="0"/>
        <w:tabs>
          <w:tab w:leader="none" w:pos="700" w:val="left"/>
        </w:tabs>
        <w:numPr>
          <w:ilvl w:val="0"/>
          <w:numId w:val="22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660" w:hanging="224"/>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Adapt US/Canada Integration; and</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PaxVax US Integration.</w:t>
      </w:r>
    </w:p>
    <w:p>
      <w:pPr>
        <w:spacing w:after="0" w:line="225" w:lineRule="exact"/>
        <w:rPr>
          <w:sz w:val="20"/>
          <w:szCs w:val="20"/>
          <w:color w:val="auto"/>
        </w:rPr>
      </w:pPr>
    </w:p>
    <w:p>
      <w:pPr>
        <w:ind w:right="760" w:firstLine="440"/>
        <w:spacing w:after="0" w:line="308"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Change in Nature of Business</w:t>
      </w:r>
      <w:r>
        <w:rPr>
          <w:rFonts w:ascii="Arial" w:cs="Arial" w:eastAsia="Arial" w:hAnsi="Arial"/>
          <w:sz w:val="17"/>
          <w:szCs w:val="17"/>
          <w:color w:val="auto"/>
        </w:rPr>
        <w:t>. Engage in any material line of business substantially different from those lines of business conducted by the Borrower and its Subsidiaries on the date hereof or any business substantially related or incidental thereto.</w:t>
      </w:r>
    </w:p>
    <w:p>
      <w:pPr>
        <w:spacing w:after="0" w:line="14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Enter into any transaction of any kind with any Affiliate of the Borrower,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 provided that the foregoing restriction shall not apply to (a) transactions between or among the Credit Parties, (b) employment and severance arrangements between the Borrower or any Subsidiary and their respective officers and employees in the ordinary course of business and transactions pursuant to any management and/or employee stock plans, stock subscription agreements or shareholder agreements or any other management or employee benefit plans or agreements, (c) any transactions permitted under </w:t>
      </w:r>
      <w:r>
        <w:rPr>
          <w:rFonts w:ascii="Arial" w:cs="Arial" w:eastAsia="Arial" w:hAnsi="Arial"/>
          <w:sz w:val="16"/>
          <w:szCs w:val="16"/>
          <w:u w:val="single" w:color="auto"/>
          <w:color w:val="auto"/>
        </w:rPr>
        <w:t>Sections 9.2</w:t>
      </w:r>
      <w:r>
        <w:rPr>
          <w:rFonts w:ascii="Arial" w:cs="Arial" w:eastAsia="Arial" w:hAnsi="Arial"/>
          <w:sz w:val="16"/>
          <w:szCs w:val="16"/>
          <w:color w:val="auto"/>
        </w:rPr>
        <w:t xml:space="preserve">,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t>
      </w:r>
      <w:r>
        <w:rPr>
          <w:rFonts w:ascii="Arial" w:cs="Arial" w:eastAsia="Arial" w:hAnsi="Arial"/>
          <w:sz w:val="16"/>
          <w:szCs w:val="16"/>
          <w:u w:val="single" w:color="auto"/>
          <w:color w:val="auto"/>
        </w:rPr>
        <w:t>9.4</w:t>
      </w:r>
      <w:r>
        <w:rPr>
          <w:rFonts w:ascii="Arial" w:cs="Arial" w:eastAsia="Arial" w:hAnsi="Arial"/>
          <w:sz w:val="16"/>
          <w:szCs w:val="16"/>
          <w:color w:val="auto"/>
        </w:rPr>
        <w:t xml:space="preserve">, </w:t>
      </w:r>
      <w:r>
        <w:rPr>
          <w:rFonts w:ascii="Arial" w:cs="Arial" w:eastAsia="Arial" w:hAnsi="Arial"/>
          <w:sz w:val="16"/>
          <w:szCs w:val="16"/>
          <w:u w:val="single" w:color="auto"/>
          <w:color w:val="auto"/>
        </w:rPr>
        <w:t>9.5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9.6</w:t>
      </w:r>
      <w:r>
        <w:rPr>
          <w:rFonts w:ascii="Arial" w:cs="Arial" w:eastAsia="Arial" w:hAnsi="Arial"/>
          <w:sz w:val="16"/>
          <w:szCs w:val="16"/>
          <w:color w:val="auto"/>
        </w:rPr>
        <w:t xml:space="preserve"> of this Agreement, (d) any agreement between any Person and an Affiliate of such Person existing at the time such Person is acquired in connection with a Permitted Acquisition </w:t>
      </w:r>
      <w:r>
        <w:rPr>
          <w:rFonts w:ascii="Arial" w:cs="Arial" w:eastAsia="Arial" w:hAnsi="Arial"/>
          <w:sz w:val="16"/>
          <w:szCs w:val="16"/>
          <w:color w:val="FF0000"/>
          <w:strike w:val="1"/>
        </w:rPr>
        <w:t>(including the Adapt Acquisition and the</w:t>
      </w:r>
      <w:r>
        <w:rPr>
          <w:rFonts w:ascii="Arial" w:cs="Arial" w:eastAsia="Arial" w:hAnsi="Arial"/>
          <w:sz w:val="16"/>
          <w:szCs w:val="16"/>
          <w:color w:val="auto"/>
        </w:rPr>
        <w:t xml:space="preserve"> </w:t>
      </w:r>
      <w:r>
        <w:rPr>
          <w:rFonts w:ascii="Arial" w:cs="Arial" w:eastAsia="Arial" w:hAnsi="Arial"/>
          <w:sz w:val="16"/>
          <w:szCs w:val="16"/>
          <w:color w:val="FF0000"/>
          <w:strike w:val="1"/>
        </w:rPr>
        <w:t>PaxVax Acquisition)</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FF0000"/>
        </w:rPr>
        <w:t xml:space="preserve"> </w:t>
      </w:r>
      <w:r>
        <w:rPr>
          <w:rFonts w:ascii="Arial" w:cs="Arial" w:eastAsia="Arial" w:hAnsi="Arial"/>
          <w:sz w:val="16"/>
          <w:szCs w:val="16"/>
          <w:color w:val="000000"/>
        </w:rPr>
        <w:t>such agreement was not entered into in connection with such Permitted Acquisition, (e) any payment of director, officer</w:t>
      </w:r>
      <w:r>
        <w:rPr>
          <w:rFonts w:ascii="Arial" w:cs="Arial" w:eastAsia="Arial" w:hAnsi="Arial"/>
          <w:sz w:val="16"/>
          <w:szCs w:val="16"/>
          <w:color w:val="FF0000"/>
        </w:rPr>
        <w:t xml:space="preserve"> </w:t>
      </w:r>
      <w:r>
        <w:rPr>
          <w:rFonts w:ascii="Arial" w:cs="Arial" w:eastAsia="Arial" w:hAnsi="Arial"/>
          <w:sz w:val="16"/>
          <w:szCs w:val="16"/>
          <w:color w:val="000000"/>
        </w:rPr>
        <w:t xml:space="preserve">and employee compensation and other benefits and indemnification arrangements, (f) Adapt US/Canada Integration and (g) the PaxVax </w:t>
      </w:r>
      <w:r>
        <w:rPr>
          <w:rFonts w:ascii="Arial" w:cs="Arial" w:eastAsia="Arial" w:hAnsi="Arial"/>
          <w:sz w:val="16"/>
          <w:szCs w:val="16"/>
          <w:u w:val="single" w:color="auto"/>
          <w:color w:val="0000FF"/>
        </w:rPr>
        <w:t>US</w:t>
      </w:r>
      <w:r>
        <w:rPr>
          <w:rFonts w:ascii="Arial" w:cs="Arial" w:eastAsia="Arial" w:hAnsi="Arial"/>
          <w:sz w:val="16"/>
          <w:szCs w:val="16"/>
          <w:color w:val="000000"/>
        </w:rPr>
        <w:t xml:space="preserve"> Integration.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490" w:right="459" w:bottom="1440" w:gutter="0" w:footer="0" w:header="0"/>
        </w:sectPr>
      </w:pPr>
    </w:p>
    <w:bookmarkStart w:id="181" w:name="page182"/>
    <w:bookmarkEnd w:id="181"/>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9.9 </w:t>
      </w:r>
      <w:r>
        <w:rPr>
          <w:rFonts w:ascii="Arial" w:cs="Arial" w:eastAsia="Arial" w:hAnsi="Arial"/>
          <w:sz w:val="16"/>
          <w:szCs w:val="16"/>
          <w:u w:val="single" w:color="auto"/>
          <w:color w:val="auto"/>
        </w:rPr>
        <w:t>Burdensome Agreements</w:t>
      </w:r>
      <w:r>
        <w:rPr>
          <w:rFonts w:ascii="Arial" w:cs="Arial" w:eastAsia="Arial" w:hAnsi="Arial"/>
          <w:sz w:val="16"/>
          <w:szCs w:val="16"/>
          <w:color w:val="auto"/>
        </w:rPr>
        <w:t xml:space="preserve">. Enter into or permit to exist any Contractual Obligation (other than this Agreement or any other Loan Document) that (a) limits the ability of any Subsidiary to make any dividend or other distribution with respect to its capital stock or other Equity Interest or to make or pay loans or advances to the Borrower or any Subsidiary, (b) limits the ability of any Domestic Subsidiary to Guarantee the Secured Obligations, (c) limits the ability of the Borrower or any Domestic Subsidiary to create, incur, assume or suffer to exist Liens on property (including, without limitation, any IP Rights or real property owned by the Borrower or any Domestic Subsidiary) of such Person to secure the Secured Obligations or (d) requires the grant of a Lien to secure an obligation of the Borrower or any of its Subsidiaries if a Lien is granted to secure the Secured Obligations, in each case except for (i) any agreement in effect on the date hereof and set forth on </w:t>
      </w:r>
      <w:r>
        <w:rPr>
          <w:rFonts w:ascii="Arial" w:cs="Arial" w:eastAsia="Arial" w:hAnsi="Arial"/>
          <w:sz w:val="16"/>
          <w:szCs w:val="16"/>
          <w:u w:val="single" w:color="auto"/>
          <w:color w:val="auto"/>
        </w:rPr>
        <w:t>Schedule 9.9</w:t>
      </w:r>
      <w:r>
        <w:rPr>
          <w:rFonts w:ascii="Arial" w:cs="Arial" w:eastAsia="Arial" w:hAnsi="Arial"/>
          <w:sz w:val="16"/>
          <w:szCs w:val="16"/>
          <w:color w:val="auto"/>
        </w:rPr>
        <w:t xml:space="preserve"> (or any extensions or renewals of, or any refinancings, replacements, amendments or modifications thereof that do not expand the scope of the limitation in any material respect), (ii) any negative pledge incurred or provided in favor of any holder of Indebtedness permitted under </w:t>
      </w:r>
      <w:r>
        <w:rPr>
          <w:rFonts w:ascii="Arial" w:cs="Arial" w:eastAsia="Arial" w:hAnsi="Arial"/>
          <w:sz w:val="16"/>
          <w:szCs w:val="16"/>
          <w:u w:val="single" w:color="auto"/>
          <w:color w:val="auto"/>
        </w:rPr>
        <w:t>Section 9.3(f)</w:t>
      </w:r>
      <w:r>
        <w:rPr>
          <w:rFonts w:ascii="Arial" w:cs="Arial" w:eastAsia="Arial" w:hAnsi="Arial"/>
          <w:sz w:val="16"/>
          <w:szCs w:val="16"/>
          <w:color w:val="auto"/>
        </w:rPr>
        <w:t xml:space="preserve">, solely the extent any such negative pledge relates to the property financed by or subject of such Indebtedness, (iii) any agreement in effect at the time any Subsidiary becomes a Subsidiary of the Borrower, so long as such agreement was not entered into solely in contemplation of such Person becoming a Subsidiary of the Borrower, (iv) any agreement relating to the sale of a Subsidiary, which provides for customary restrictions or conditions pending such sale, provided that such restrictions and conditions apply only to the Subsidiary that is to be sold and such sale is permitted hereunder, (v) any customary restrictions and conditions in any agreement relating to any transaction or sale permitted under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pending the consummation of such transaction or sale,</w:t>
      </w:r>
    </w:p>
    <w:p>
      <w:pPr>
        <w:spacing w:after="0" w:line="1" w:lineRule="exact"/>
        <w:rPr>
          <w:sz w:val="20"/>
          <w:szCs w:val="20"/>
          <w:color w:val="auto"/>
        </w:rPr>
      </w:pPr>
    </w:p>
    <w:p>
      <w:pPr>
        <w:ind w:left="4" w:right="140" w:hanging="4"/>
        <w:spacing w:after="0" w:line="302" w:lineRule="auto"/>
        <w:tabs>
          <w:tab w:leader="none" w:pos="30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customary provisions in leases, licenses and other contracts restricting the assignment thereof, (vii) customary provisions in any joint venture agreement or similar agreements applicable to joint ventures to the extent permitted under this Agreement, (viii) restrictions on cash and other deposits imposed by customers under contracts entered into in the ordinary course of business or (ix) such limitations imposed by Applicable Law.</w:t>
      </w:r>
    </w:p>
    <w:p>
      <w:pPr>
        <w:spacing w:after="0" w:line="15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Use the proceeds of any </w:t>
      </w:r>
      <w:r>
        <w:rPr>
          <w:rFonts w:ascii="Arial" w:cs="Arial" w:eastAsia="Arial" w:hAnsi="Arial"/>
          <w:sz w:val="18"/>
          <w:szCs w:val="18"/>
          <w:color w:val="FF0000"/>
          <w:strike w:val="1"/>
        </w:rPr>
        <w:t>Credit</w:t>
      </w:r>
      <w:r>
        <w:rPr>
          <w:rFonts w:ascii="Arial" w:cs="Arial" w:eastAsia="Arial" w:hAnsi="Arial"/>
          <w:sz w:val="18"/>
          <w:szCs w:val="18"/>
          <w:color w:val="auto"/>
        </w:rPr>
        <w:t xml:space="preserve"> Extension </w:t>
      </w:r>
      <w:r>
        <w:rPr>
          <w:rFonts w:ascii="Arial" w:cs="Arial" w:eastAsia="Arial" w:hAnsi="Arial"/>
          <w:sz w:val="18"/>
          <w:szCs w:val="18"/>
          <w:color w:val="0000FF"/>
        </w:rPr>
        <w:t>of Credit</w:t>
      </w:r>
      <w:r>
        <w:rPr>
          <w:rFonts w:ascii="Arial" w:cs="Arial" w:eastAsia="Arial" w:hAnsi="Arial"/>
          <w:sz w:val="18"/>
          <w:szCs w:val="18"/>
          <w:color w:val="auto"/>
        </w:rPr>
        <w:t>, whether directly or indirectly, and whether immediately, incidentally or ultimately, to purchase or carry margin stock (within the meaning of Regulation U of the FRB) in violation of Applicable Law or to extend credit to others for the purpose of purchasing or carrying margin stock or to refund indebtedness originally incurred for such purpose in violation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-420370</wp:posOffset>
            </wp:positionV>
            <wp:extent cx="4368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-446405</wp:posOffset>
            </wp:positionV>
            <wp:extent cx="43815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38150" cy="8255"/>
                    </a:xfrm>
                    <a:prstGeom prst="rect">
                      <a:avLst/>
                    </a:prstGeom>
                    <a:noFill/>
                  </pic:spPr>
                </pic:pic>
              </a:graphicData>
            </a:graphic>
          </wp:anchor>
        </w:drawing>
      </w:r>
    </w:p>
    <w:p>
      <w:pPr>
        <w:spacing w:after="0" w:line="16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117" w:lineRule="exact"/>
        <w:rPr>
          <w:sz w:val="20"/>
          <w:szCs w:val="20"/>
          <w:color w:val="auto"/>
        </w:rPr>
      </w:pPr>
    </w:p>
    <w:p>
      <w:pPr>
        <w:ind w:left="4" w:right="80" w:firstLine="436"/>
        <w:spacing w:after="0" w:line="259" w:lineRule="auto"/>
        <w:tabs>
          <w:tab w:leader="none" w:pos="689"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Consolidated Debt Service Coverage Ratio</w:t>
      </w:r>
      <w:r>
        <w:rPr>
          <w:rFonts w:ascii="Arial" w:cs="Arial" w:eastAsia="Arial" w:hAnsi="Arial"/>
          <w:sz w:val="18"/>
          <w:szCs w:val="18"/>
          <w:color w:val="auto"/>
        </w:rPr>
        <w:t xml:space="preserve">. </w:t>
      </w:r>
      <w:r>
        <w:rPr>
          <w:rFonts w:ascii="Arial" w:cs="Arial" w:eastAsia="Arial" w:hAnsi="Arial"/>
          <w:sz w:val="18"/>
          <w:szCs w:val="18"/>
          <w:color w:val="FF0000"/>
          <w:strike w:val="1"/>
        </w:rPr>
        <w:t>Subject to the sentence below during the Covenant Relief Period</w:t>
      </w:r>
      <w:r>
        <w:rPr>
          <w:rFonts w:ascii="Arial" w:cs="Arial" w:eastAsia="Arial" w:hAnsi="Arial"/>
          <w:sz w:val="18"/>
          <w:szCs w:val="18"/>
          <w:u w:val="single" w:color="auto"/>
          <w:color w:val="0000FF"/>
        </w:rPr>
        <w:t>Commencing with the fiscal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quarter ending on March 31, 2024</w:t>
      </w:r>
      <w:r>
        <w:rPr>
          <w:rFonts w:ascii="Arial" w:cs="Arial" w:eastAsia="Arial" w:hAnsi="Arial"/>
          <w:sz w:val="18"/>
          <w:szCs w:val="18"/>
          <w:color w:val="000000"/>
        </w:rPr>
        <w:t>, permit the Consolidated Debt Service Coverage Ratio as of the last day of any Measurement Period of the Borrower</w:t>
      </w:r>
      <w:r>
        <w:rPr>
          <w:rFonts w:ascii="Arial" w:cs="Arial" w:eastAsia="Arial" w:hAnsi="Arial"/>
          <w:sz w:val="18"/>
          <w:szCs w:val="18"/>
          <w:color w:val="0000FF"/>
        </w:rPr>
        <w:t xml:space="preserve"> </w:t>
      </w:r>
      <w:r>
        <w:rPr>
          <w:rFonts w:ascii="Arial" w:cs="Arial" w:eastAsia="Arial" w:hAnsi="Arial"/>
          <w:sz w:val="18"/>
          <w:szCs w:val="18"/>
          <w:color w:val="000000"/>
        </w:rPr>
        <w:t xml:space="preserve">to be less than </w:t>
      </w:r>
      <w:r>
        <w:rPr>
          <w:rFonts w:ascii="Arial" w:cs="Arial" w:eastAsia="Arial" w:hAnsi="Arial"/>
          <w:sz w:val="18"/>
          <w:szCs w:val="18"/>
          <w:u w:val="single" w:color="auto"/>
          <w:color w:val="0000FF"/>
        </w:rPr>
        <w:t>(x) with respect to the fiscal quarters ending March 31, 2024, June 30, 2024, September 30, 2024 and December 31, 2024, 2.25 to 1.00</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and (y) with respect to each fiscal quarter ending thereafter,</w:t>
      </w:r>
      <w:r>
        <w:rPr>
          <w:rFonts w:ascii="Arial" w:cs="Arial" w:eastAsia="Arial" w:hAnsi="Arial"/>
          <w:sz w:val="18"/>
          <w:szCs w:val="18"/>
          <w:color w:val="0000FF"/>
        </w:rPr>
        <w:t xml:space="preserve"> </w:t>
      </w:r>
      <w:r>
        <w:rPr>
          <w:rFonts w:ascii="Arial" w:cs="Arial" w:eastAsia="Arial" w:hAnsi="Arial"/>
          <w:sz w:val="18"/>
          <w:szCs w:val="18"/>
          <w:color w:val="000000"/>
        </w:rPr>
        <w:t>2.50 to 1.00.</w:t>
      </w:r>
    </w:p>
    <w:p>
      <w:pPr>
        <w:spacing w:after="0" w:line="78" w:lineRule="exact"/>
        <w:rPr>
          <w:rFonts w:ascii="Arial" w:cs="Arial" w:eastAsia="Arial" w:hAnsi="Arial"/>
          <w:sz w:val="18"/>
          <w:szCs w:val="18"/>
          <w:color w:val="auto"/>
        </w:rPr>
      </w:pPr>
    </w:p>
    <w:p>
      <w:pPr>
        <w:ind w:left="4" w:right="40" w:firstLine="436"/>
        <w:spacing w:after="0" w:line="275" w:lineRule="auto"/>
        <w:tabs>
          <w:tab w:leader="none" w:pos="699" w:val="left"/>
        </w:tabs>
        <w:numPr>
          <w:ilvl w:val="0"/>
          <w:numId w:val="231"/>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Consolidated Net Leverage Ratio</w:t>
      </w:r>
      <w:r>
        <w:rPr>
          <w:rFonts w:ascii="Arial" w:cs="Arial" w:eastAsia="Arial" w:hAnsi="Arial"/>
          <w:sz w:val="17"/>
          <w:szCs w:val="17"/>
          <w:color w:val="FF0000"/>
          <w:strike w:val="1"/>
        </w:rPr>
        <w:t>. Permit the Consolidated Net Leverage Ratio as of the last day of any Measurement Period of the Borrower</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to be greater than 4.50 to 1.00. Notwithstanding the foregoing, in connection with any Permitted Acquisition after September 30, 2019 having aggregate consideration (including cash, Cash Equivalents and other deferred payment obligations) in excess of $75,000,000, the Borrower may, at its election, in connection with such Permitted Acquisition and upon prior written notice to the Administrative Agent, increase the required Consolidated Net Leverage Ratio pursuant to this Section to 5.00 to 1.00, which such increase shall be applicable (i) with respect to a</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84"/>
          </w:cols>
          <w:pgMar w:left="436" w:top="490" w:right="479" w:bottom="1440" w:gutter="0" w:footer="0" w:header="0"/>
        </w:sectPr>
      </w:pPr>
    </w:p>
    <w:bookmarkStart w:id="182" w:name="page183"/>
    <w:bookmarkEnd w:id="182"/>
    <w:p>
      <w:pPr>
        <w:ind w:left="4" w:right="20"/>
        <w:spacing w:after="0" w:line="286"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Permitted Acquisition that is not a Limited Condition Acquisition, for the fiscal quarter in which such Permitted Acquisition is consummated and the three (3) consecutive quarterly test periods thereafter or (ii) with respect to a Permitted Acquisition that is a Limited Condition Acquisition, for purposes of determining pro forma compliance with this Section 9.11(b) at the time definitive purchase agreement, merger agreement or other acquisition agreement governing the Permitted Acquisition is executed, for the fiscal quarter in which such Permitted Acquisition is consummated and for the three</w:t>
      </w:r>
    </w:p>
    <w:p>
      <w:pPr>
        <w:spacing w:after="0" w:line="1" w:lineRule="exact"/>
        <w:rPr>
          <w:sz w:val="20"/>
          <w:szCs w:val="20"/>
          <w:color w:val="auto"/>
        </w:rPr>
      </w:pPr>
    </w:p>
    <w:p>
      <w:pPr>
        <w:ind w:left="4" w:right="80" w:hanging="4"/>
        <w:spacing w:after="0" w:line="255" w:lineRule="auto"/>
        <w:tabs>
          <w:tab w:leader="none" w:pos="259" w:val="left"/>
        </w:tabs>
        <w:numPr>
          <w:ilvl w:val="0"/>
          <w:numId w:val="232"/>
        </w:numPr>
        <w:rPr>
          <w:rFonts w:ascii="Arial" w:cs="Arial" w:eastAsia="Arial" w:hAnsi="Arial"/>
          <w:sz w:val="18"/>
          <w:szCs w:val="18"/>
          <w:color w:val="FF0000"/>
          <w:strike w:val="1"/>
        </w:rPr>
      </w:pPr>
      <w:r>
        <w:rPr>
          <w:rFonts w:ascii="Arial" w:cs="Arial" w:eastAsia="Arial" w:hAnsi="Arial"/>
          <w:sz w:val="18"/>
          <w:szCs w:val="18"/>
          <w:color w:val="FF0000"/>
          <w:strike w:val="1"/>
        </w:rPr>
        <w:t>consecutive quarterly test periods after which such Permitted Acquisition is consummated (each, a “Leverage Ratio Increase”); provided that there shall be at least one full fiscal quarter following the cessation of each such Leverage Ratio Increase during which no Leverage Ratio Increase shall then be in effect.</w:t>
      </w:r>
    </w:p>
    <w:p>
      <w:pPr>
        <w:spacing w:after="0" w:line="19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FF0000"/>
          <w:strike w:val="1"/>
        </w:rPr>
        <w:t xml:space="preserve">Notwithstanding any of the foregoing, the maximum Consolidated Net Leverage Ratio permitted pursuant to </w:t>
      </w:r>
      <w:r>
        <w:rPr>
          <w:rFonts w:ascii="Arial" w:cs="Arial" w:eastAsia="Arial" w:hAnsi="Arial"/>
          <w:sz w:val="18"/>
          <w:szCs w:val="18"/>
          <w:u w:val="single" w:color="auto"/>
          <w:color w:val="FF0000"/>
          <w:strike w:val="1"/>
        </w:rPr>
        <w:t>Section 9.11(b)</w:t>
      </w:r>
      <w:r>
        <w:rPr>
          <w:rFonts w:ascii="Arial" w:cs="Arial" w:eastAsia="Arial" w:hAnsi="Arial"/>
          <w:sz w:val="18"/>
          <w:szCs w:val="18"/>
          <w:color w:val="FF0000"/>
          <w:strike w:val="1"/>
        </w:rPr>
        <w:t xml:space="preserve"> during the Covenant Relief Period as of the last day of the applicable Measurement Period of the Borrower shall be (x) 4.95 to 1.00 for the fiscal quarter ended June 30, 2019 and (y) 4.75 to 1.00 for the fiscal quarter ended September 30, 2019, after which the maximum Consolidated Net Leverage Ratio permitted pursuant to this </w:t>
      </w:r>
      <w:r>
        <w:rPr>
          <w:rFonts w:ascii="Arial" w:cs="Arial" w:eastAsia="Arial" w:hAnsi="Arial"/>
          <w:sz w:val="18"/>
          <w:szCs w:val="18"/>
          <w:u w:val="single" w:color="auto"/>
          <w:color w:val="FF0000"/>
          <w:strike w:val="1"/>
        </w:rPr>
        <w:t>Section 9.11(b)</w:t>
      </w:r>
      <w:r>
        <w:rPr>
          <w:rFonts w:ascii="Arial" w:cs="Arial" w:eastAsia="Arial" w:hAnsi="Arial"/>
          <w:sz w:val="18"/>
          <w:szCs w:val="18"/>
          <w:color w:val="FF0000"/>
          <w:strike w:val="1"/>
        </w:rPr>
        <w:t xml:space="preserve"> shall be subject to the levels set forth in the table above.</w:t>
      </w:r>
    </w:p>
    <w:p>
      <w:pPr>
        <w:spacing w:after="0" w:line="79" w:lineRule="exact"/>
        <w:rPr>
          <w:sz w:val="20"/>
          <w:szCs w:val="20"/>
          <w:color w:val="auto"/>
        </w:rPr>
      </w:pPr>
    </w:p>
    <w:p>
      <w:pPr>
        <w:ind w:left="4" w:right="200" w:firstLine="436"/>
        <w:spacing w:after="0" w:line="277" w:lineRule="auto"/>
        <w:tabs>
          <w:tab w:leader="none" w:pos="699" w:val="left"/>
        </w:tabs>
        <w:numPr>
          <w:ilvl w:val="0"/>
          <w:numId w:val="23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Consolidated Leverage Ratio. Commencing with the fiscal quarter ending on March 31, 2024, permit the Consolidated Leverage Ratio</w:t>
      </w:r>
      <w:r>
        <w:rPr>
          <w:rFonts w:ascii="Arial" w:cs="Arial" w:eastAsia="Arial" w:hAnsi="Arial"/>
          <w:sz w:val="18"/>
          <w:szCs w:val="18"/>
          <w:color w:val="0000FF"/>
        </w:rPr>
        <w:t xml:space="preserve"> </w:t>
      </w:r>
      <w:r>
        <w:rPr>
          <w:rFonts w:ascii="Arial" w:cs="Arial" w:eastAsia="Arial" w:hAnsi="Arial"/>
          <w:sz w:val="18"/>
          <w:szCs w:val="18"/>
          <w:color w:val="008000"/>
        </w:rPr>
        <w:t>as of</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 xml:space="preserve">the last day of </w:t>
      </w:r>
      <w:r>
        <w:rPr>
          <w:rFonts w:ascii="Arial" w:cs="Arial" w:eastAsia="Arial" w:hAnsi="Arial"/>
          <w:sz w:val="18"/>
          <w:szCs w:val="18"/>
          <w:u w:val="single" w:color="auto"/>
          <w:color w:val="0000FF"/>
        </w:rPr>
        <w:t>any Measurement Period of the Borrower to be greater than 4.50 to 1.00.</w:t>
      </w:r>
    </w:p>
    <w:p>
      <w:pPr>
        <w:spacing w:after="0" w:line="62" w:lineRule="exact"/>
        <w:rPr>
          <w:rFonts w:ascii="Arial" w:cs="Arial" w:eastAsia="Arial" w:hAnsi="Arial"/>
          <w:sz w:val="18"/>
          <w:szCs w:val="18"/>
          <w:u w:val="single" w:color="auto"/>
          <w:color w:val="0000FF"/>
        </w:rPr>
      </w:pPr>
    </w:p>
    <w:p>
      <w:pPr>
        <w:ind w:left="684" w:hanging="244"/>
        <w:spacing w:after="0"/>
        <w:tabs>
          <w:tab w:leader="none" w:pos="684" w:val="left"/>
        </w:tabs>
        <w:numPr>
          <w:ilvl w:val="0"/>
          <w:numId w:val="23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Consolidated EBITDA. Permit Consolidated EBITDA to be less than the amounts set forth below for the periods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6600825</wp:posOffset>
            </wp:positionH>
            <wp:positionV relativeFrom="paragraph">
              <wp:posOffset>-327660</wp:posOffset>
            </wp:positionV>
            <wp:extent cx="2400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-353060</wp:posOffset>
            </wp:positionV>
            <wp:extent cx="24765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47650" cy="8255"/>
                    </a:xfrm>
                    <a:prstGeom prst="rect">
                      <a:avLst/>
                    </a:prstGeom>
                    <a:noFill/>
                  </pic:spPr>
                </pic:pic>
              </a:graphicData>
            </a:graphic>
          </wp:anchor>
        </w:drawing>
      </w:r>
    </w:p>
    <w:p>
      <w:pPr>
        <w:spacing w:after="0" w:line="22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5740" w:type="dxa"/>
            <w:vAlign w:val="bottom"/>
            <w:gridSpan w:val="16"/>
          </w:tcPr>
          <w:p>
            <w:pPr>
              <w:spacing w:after="0"/>
              <w:rPr>
                <w:sz w:val="20"/>
                <w:szCs w:val="20"/>
                <w:color w:val="auto"/>
              </w:rPr>
            </w:pPr>
            <w:r>
              <w:rPr>
                <w:rFonts w:ascii="Arial" w:cs="Arial" w:eastAsia="Arial" w:hAnsi="Arial"/>
                <w:sz w:val="14"/>
                <w:szCs w:val="14"/>
                <w:b w:val="1"/>
                <w:bCs w:val="1"/>
                <w:color w:val="0000FF"/>
              </w:rPr>
              <w:t>Period Commencing on</w:t>
            </w:r>
          </w:p>
        </w:tc>
        <w:tc>
          <w:tcPr>
            <w:tcW w:w="1740" w:type="dxa"/>
            <w:vAlign w:val="bottom"/>
            <w:gridSpan w:val="9"/>
            <w:vMerge w:val="restart"/>
          </w:tcPr>
          <w:p>
            <w:pPr>
              <w:jc w:val="right"/>
              <w:ind w:right="274"/>
              <w:spacing w:after="0"/>
              <w:rPr>
                <w:sz w:val="20"/>
                <w:szCs w:val="20"/>
                <w:color w:val="auto"/>
              </w:rPr>
            </w:pPr>
            <w:r>
              <w:rPr>
                <w:rFonts w:ascii="Arial" w:cs="Arial" w:eastAsia="Arial" w:hAnsi="Arial"/>
                <w:sz w:val="14"/>
                <w:szCs w:val="14"/>
                <w:b w:val="1"/>
                <w:bCs w:val="1"/>
                <w:color w:val="0000FF"/>
                <w:w w:val="96"/>
              </w:rPr>
              <w:t>Cumulative Minimum</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740" w:type="dxa"/>
            <w:vAlign w:val="bottom"/>
            <w:gridSpan w:val="16"/>
          </w:tcPr>
          <w:p>
            <w:pPr>
              <w:spacing w:after="0" w:line="88" w:lineRule="exact"/>
              <w:rPr>
                <w:sz w:val="20"/>
                <w:szCs w:val="20"/>
                <w:color w:val="auto"/>
              </w:rPr>
            </w:pPr>
            <w:r>
              <w:rPr>
                <w:rFonts w:ascii="Arial" w:cs="Arial" w:eastAsia="Arial" w:hAnsi="Arial"/>
                <w:sz w:val="10"/>
                <w:szCs w:val="10"/>
                <w:b w:val="1"/>
                <w:bCs w:val="1"/>
                <w:color w:val="0000FF"/>
              </w:rPr>
              <w:t>January 1, 2023 and Ending</w:t>
            </w:r>
          </w:p>
        </w:tc>
        <w:tc>
          <w:tcPr>
            <w:tcW w:w="17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740" w:type="dxa"/>
            <w:vAlign w:val="bottom"/>
            <w:tcBorders>
              <w:top w:val="single" w:sz="8" w:color="0000FF"/>
              <w:bottom w:val="single" w:sz="8" w:color="auto"/>
            </w:tcBorders>
            <w:gridSpan w:val="13"/>
          </w:tcPr>
          <w:p>
            <w:pPr>
              <w:spacing w:after="0" w:line="68" w:lineRule="exact"/>
              <w:rPr>
                <w:sz w:val="20"/>
                <w:szCs w:val="20"/>
                <w:color w:val="auto"/>
              </w:rPr>
            </w:pPr>
            <w:r>
              <w:rPr>
                <w:rFonts w:ascii="Arial" w:cs="Arial" w:eastAsia="Arial" w:hAnsi="Arial"/>
                <w:sz w:val="7"/>
                <w:szCs w:val="7"/>
                <w:b w:val="1"/>
                <w:bCs w:val="1"/>
                <w:color w:val="0000FF"/>
              </w:rPr>
              <w:t>on the Dates Set Forth Below:</w:t>
            </w: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900" w:type="dxa"/>
            <w:vAlign w:val="bottom"/>
            <w:tcBorders>
              <w:bottom w:val="single" w:sz="8" w:color="CCEEFF"/>
            </w:tcBorders>
          </w:tcPr>
          <w:p>
            <w:pPr>
              <w:spacing w:after="0"/>
              <w:rPr>
                <w:sz w:val="10"/>
                <w:szCs w:val="10"/>
                <w:color w:val="auto"/>
              </w:rPr>
            </w:pPr>
          </w:p>
        </w:tc>
        <w:tc>
          <w:tcPr>
            <w:tcW w:w="20" w:type="dxa"/>
            <w:vAlign w:val="bottom"/>
            <w:tcBorders>
              <w:top w:val="single" w:sz="8" w:color="0000FF"/>
              <w:bottom w:val="single" w:sz="8" w:color="auto"/>
            </w:tcBorders>
          </w:tcPr>
          <w:p>
            <w:pPr>
              <w:spacing w:after="0"/>
              <w:rPr>
                <w:sz w:val="10"/>
                <w:szCs w:val="10"/>
                <w:color w:val="auto"/>
              </w:rPr>
            </w:pPr>
          </w:p>
        </w:tc>
        <w:tc>
          <w:tcPr>
            <w:tcW w:w="380" w:type="dxa"/>
            <w:vAlign w:val="bottom"/>
            <w:tcBorders>
              <w:top w:val="single" w:sz="8" w:color="0000FF"/>
              <w:bottom w:val="single" w:sz="8" w:color="auto"/>
            </w:tcBorders>
          </w:tcPr>
          <w:p>
            <w:pPr>
              <w:spacing w:after="0"/>
              <w:rPr>
                <w:sz w:val="10"/>
                <w:szCs w:val="10"/>
                <w:color w:val="auto"/>
              </w:rPr>
            </w:pPr>
          </w:p>
        </w:tc>
        <w:tc>
          <w:tcPr>
            <w:tcW w:w="20" w:type="dxa"/>
            <w:vAlign w:val="bottom"/>
            <w:tcBorders>
              <w:top w:val="single" w:sz="8" w:color="0000FF"/>
              <w:bottom w:val="single" w:sz="8" w:color="auto"/>
            </w:tcBorders>
          </w:tcPr>
          <w:p>
            <w:pPr>
              <w:spacing w:after="0"/>
              <w:rPr>
                <w:sz w:val="10"/>
                <w:szCs w:val="10"/>
                <w:color w:val="auto"/>
              </w:rPr>
            </w:pPr>
          </w:p>
        </w:tc>
        <w:tc>
          <w:tcPr>
            <w:tcW w:w="980" w:type="dxa"/>
            <w:vAlign w:val="bottom"/>
            <w:tcBorders>
              <w:top w:val="single" w:sz="8" w:color="0000FF"/>
              <w:bottom w:val="single" w:sz="8" w:color="auto"/>
            </w:tcBorders>
            <w:gridSpan w:val="5"/>
          </w:tcPr>
          <w:p>
            <w:pPr>
              <w:spacing w:after="0" w:line="69" w:lineRule="exact"/>
              <w:rPr>
                <w:sz w:val="20"/>
                <w:szCs w:val="20"/>
                <w:color w:val="auto"/>
              </w:rPr>
            </w:pPr>
            <w:r>
              <w:rPr>
                <w:rFonts w:ascii="Arial" w:cs="Arial" w:eastAsia="Arial" w:hAnsi="Arial"/>
                <w:sz w:val="7"/>
                <w:szCs w:val="7"/>
                <w:b w:val="1"/>
                <w:bCs w:val="1"/>
                <w:color w:val="0000FF"/>
              </w:rPr>
              <w:t>EBITDA</w:t>
            </w:r>
          </w:p>
        </w:tc>
        <w:tc>
          <w:tcPr>
            <w:tcW w:w="3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1040" w:type="dxa"/>
            <w:vAlign w:val="bottom"/>
            <w:tcBorders>
              <w:top w:val="single" w:sz="8" w:color="CCEEFF"/>
            </w:tcBorders>
            <w:gridSpan w:val="3"/>
            <w:shd w:val="clear" w:color="auto" w:fill="CCEEFF"/>
          </w:tcPr>
          <w:p>
            <w:pPr>
              <w:spacing w:after="0" w:line="122" w:lineRule="exact"/>
              <w:rPr>
                <w:sz w:val="20"/>
                <w:szCs w:val="20"/>
                <w:color w:val="auto"/>
              </w:rPr>
            </w:pPr>
            <w:r>
              <w:rPr>
                <w:rFonts w:ascii="Arial" w:cs="Arial" w:eastAsia="Arial" w:hAnsi="Arial"/>
                <w:sz w:val="13"/>
                <w:szCs w:val="13"/>
                <w:color w:val="0000FF"/>
              </w:rPr>
              <w:t>April 30, 2023</w:t>
            </w:r>
          </w:p>
        </w:tc>
        <w:tc>
          <w:tcPr>
            <w:tcW w:w="760" w:type="dxa"/>
            <w:vAlign w:val="bottom"/>
            <w:tcBorders>
              <w:top w:val="single" w:sz="8" w:color="CCEEFF"/>
            </w:tcBorders>
            <w:gridSpan w:val="10"/>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CCEEFF"/>
            </w:tcBorders>
            <w:gridSpan w:val="3"/>
            <w:shd w:val="clear" w:color="auto" w:fill="CCEEFF"/>
          </w:tcPr>
          <w:p>
            <w:pPr>
              <w:jc w:val="right"/>
              <w:spacing w:after="0" w:line="122" w:lineRule="exact"/>
              <w:rPr>
                <w:sz w:val="20"/>
                <w:szCs w:val="20"/>
                <w:color w:val="auto"/>
              </w:rPr>
            </w:pPr>
            <w:r>
              <w:rPr>
                <w:rFonts w:ascii="Arial" w:cs="Arial" w:eastAsia="Arial" w:hAnsi="Arial"/>
                <w:sz w:val="13"/>
                <w:szCs w:val="13"/>
                <w:color w:val="0000FF"/>
              </w:rPr>
              <w:t>[</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spacing w:after="0" w:line="116" w:lineRule="exact"/>
              <w:rPr>
                <w:sz w:val="20"/>
                <w:szCs w:val="20"/>
                <w:color w:val="auto"/>
              </w:rPr>
            </w:pPr>
            <w:r>
              <w:rPr>
                <w:rFonts w:ascii="Arial" w:cs="Arial" w:eastAsia="Arial" w:hAnsi="Arial"/>
                <w:sz w:val="13"/>
                <w:szCs w:val="13"/>
                <w:color w:val="0000FF"/>
              </w:rPr>
              <w:t>***]</w:t>
            </w:r>
          </w:p>
        </w:tc>
        <w:tc>
          <w:tcPr>
            <w:tcW w:w="0" w:type="dxa"/>
            <w:vAlign w:val="bottom"/>
          </w:tcPr>
          <w:p>
            <w:pPr>
              <w:spacing w:after="0"/>
              <w:rPr>
                <w:sz w:val="1"/>
                <w:szCs w:val="1"/>
                <w:color w:val="auto"/>
              </w:rPr>
            </w:pPr>
          </w:p>
        </w:tc>
      </w:tr>
      <w:tr>
        <w:trPr>
          <w:trHeight w:val="150"/>
        </w:trPr>
        <w:tc>
          <w:tcPr>
            <w:tcW w:w="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gridSpan w:val="3"/>
          </w:tcPr>
          <w:p>
            <w:pPr>
              <w:spacing w:after="0" w:line="150" w:lineRule="exact"/>
              <w:rPr>
                <w:sz w:val="20"/>
                <w:szCs w:val="20"/>
                <w:color w:val="auto"/>
              </w:rPr>
            </w:pPr>
            <w:r>
              <w:rPr>
                <w:rFonts w:ascii="Arial" w:cs="Arial" w:eastAsia="Arial" w:hAnsi="Arial"/>
                <w:sz w:val="17"/>
                <w:szCs w:val="17"/>
                <w:color w:val="0000FF"/>
                <w:w w:val="98"/>
              </w:rPr>
              <w:t>May 31, 2023</w:t>
            </w:r>
          </w:p>
        </w:tc>
        <w:tc>
          <w:tcPr>
            <w:tcW w:w="4680" w:type="dxa"/>
            <w:vAlign w:val="bottom"/>
            <w:tcBorders>
              <w:top w:val="single" w:sz="8" w:color="CCEEFF"/>
            </w:tcBorders>
            <w:gridSpan w:val="12"/>
          </w:tcPr>
          <w:p>
            <w:pPr>
              <w:spacing w:after="0"/>
              <w:rPr>
                <w:sz w:val="13"/>
                <w:szCs w:val="13"/>
                <w:color w:val="auto"/>
              </w:rPr>
            </w:pPr>
          </w:p>
        </w:tc>
        <w:tc>
          <w:tcPr>
            <w:tcW w:w="1320" w:type="dxa"/>
            <w:vAlign w:val="bottom"/>
            <w:tcBorders>
              <w:top w:val="single" w:sz="8" w:color="CCEEFF"/>
            </w:tcBorders>
            <w:gridSpan w:val="6"/>
          </w:tcPr>
          <w:p>
            <w:pPr>
              <w:spacing w:after="0"/>
              <w:rPr>
                <w:sz w:val="13"/>
                <w:szCs w:val="13"/>
                <w:color w:val="auto"/>
              </w:rPr>
            </w:pPr>
          </w:p>
        </w:tc>
        <w:tc>
          <w:tcPr>
            <w:tcW w:w="80" w:type="dxa"/>
            <w:vAlign w:val="bottom"/>
            <w:tcBorders>
              <w:top w:val="single" w:sz="8" w:color="0000FF"/>
            </w:tcBorders>
            <w:gridSpan w:val="2"/>
          </w:tcPr>
          <w:p>
            <w:pPr>
              <w:jc w:val="right"/>
              <w:ind w:right="20"/>
              <w:spacing w:after="0" w:line="150" w:lineRule="exact"/>
              <w:rPr>
                <w:sz w:val="20"/>
                <w:szCs w:val="20"/>
                <w:color w:val="auto"/>
              </w:rPr>
            </w:pPr>
            <w:r>
              <w:rPr>
                <w:rFonts w:ascii="Arial" w:cs="Arial" w:eastAsia="Arial" w:hAnsi="Arial"/>
                <w:sz w:val="17"/>
                <w:szCs w:val="17"/>
                <w:color w:val="0000FF"/>
                <w:w w:val="83"/>
              </w:rPr>
              <w:t>[</w:t>
            </w:r>
          </w:p>
        </w:tc>
        <w:tc>
          <w:tcPr>
            <w:tcW w:w="340" w:type="dxa"/>
            <w:vAlign w:val="bottom"/>
            <w:tcBorders>
              <w:top w:val="single" w:sz="8" w:color="CCEEFF"/>
            </w:tcBorders>
          </w:tcPr>
          <w:p>
            <w:pPr>
              <w:jc w:val="right"/>
              <w:spacing w:after="0" w:line="150" w:lineRule="exact"/>
              <w:rPr>
                <w:sz w:val="20"/>
                <w:szCs w:val="20"/>
                <w:color w:val="auto"/>
              </w:rPr>
            </w:pPr>
            <w:r>
              <w:rPr>
                <w:rFonts w:ascii="Arial" w:cs="Arial" w:eastAsia="Arial" w:hAnsi="Arial"/>
                <w:sz w:val="17"/>
                <w:szCs w:val="17"/>
                <w:color w:val="0000FF"/>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FF"/>
            </w:tcBorders>
          </w:tcPr>
          <w:p>
            <w:pPr>
              <w:spacing w:after="0"/>
              <w:rPr>
                <w:sz w:val="17"/>
                <w:szCs w:val="17"/>
                <w:color w:val="auto"/>
              </w:rPr>
            </w:pPr>
          </w:p>
        </w:tc>
        <w:tc>
          <w:tcPr>
            <w:tcW w:w="980" w:type="dxa"/>
            <w:vAlign w:val="bottom"/>
            <w:tcBorders>
              <w:bottom w:val="single" w:sz="8" w:color="0000FF"/>
            </w:tcBorders>
            <w:gridSpan w:val="2"/>
            <w:shd w:val="clear" w:color="auto" w:fill="CCEEFF"/>
          </w:tcPr>
          <w:p>
            <w:pPr>
              <w:spacing w:after="0" w:line="156" w:lineRule="exact"/>
              <w:rPr>
                <w:sz w:val="20"/>
                <w:szCs w:val="20"/>
                <w:color w:val="auto"/>
              </w:rPr>
            </w:pPr>
            <w:r>
              <w:rPr>
                <w:rFonts w:ascii="Arial" w:cs="Arial" w:eastAsia="Arial" w:hAnsi="Arial"/>
                <w:sz w:val="18"/>
                <w:szCs w:val="18"/>
                <w:color w:val="0000FF"/>
                <w:w w:val="84"/>
              </w:rPr>
              <w:t>June 30, 2023</w:t>
            </w: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CCEEFF"/>
            </w:tcBorders>
            <w:gridSpan w:val="6"/>
            <w:shd w:val="clear" w:color="auto" w:fill="CCEEFF"/>
          </w:tcPr>
          <w:p>
            <w:pPr>
              <w:spacing w:after="0"/>
              <w:rPr>
                <w:sz w:val="17"/>
                <w:szCs w:val="17"/>
                <w:color w:val="auto"/>
              </w:rPr>
            </w:pPr>
          </w:p>
        </w:tc>
        <w:tc>
          <w:tcPr>
            <w:tcW w:w="1320" w:type="dxa"/>
            <w:vAlign w:val="bottom"/>
            <w:tcBorders>
              <w:bottom w:val="single" w:sz="8" w:color="CCEEFF"/>
            </w:tcBorders>
            <w:gridSpan w:val="6"/>
            <w:shd w:val="clear" w:color="auto" w:fill="CCEEFF"/>
          </w:tcPr>
          <w:p>
            <w:pPr>
              <w:spacing w:after="0"/>
              <w:rPr>
                <w:sz w:val="17"/>
                <w:szCs w:val="17"/>
                <w:color w:val="auto"/>
              </w:rPr>
            </w:pPr>
          </w:p>
        </w:tc>
        <w:tc>
          <w:tcPr>
            <w:tcW w:w="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u w:val="single" w:color="auto"/>
                <w:color w:val="0000FF"/>
                <w:w w:val="78"/>
              </w:rPr>
              <w:t>[</w:t>
            </w: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gridSpan w:val="2"/>
          </w:tcPr>
          <w:p>
            <w:pPr>
              <w:spacing w:after="0" w:line="156" w:lineRule="exact"/>
              <w:rPr>
                <w:sz w:val="20"/>
                <w:szCs w:val="20"/>
                <w:color w:val="auto"/>
              </w:rPr>
            </w:pPr>
            <w:r>
              <w:rPr>
                <w:rFonts w:ascii="Arial" w:cs="Arial" w:eastAsia="Arial" w:hAnsi="Arial"/>
                <w:sz w:val="18"/>
                <w:szCs w:val="18"/>
                <w:color w:val="0000FF"/>
                <w:w w:val="89"/>
              </w:rPr>
              <w:t>July 31, 2023</w:t>
            </w:r>
          </w:p>
        </w:tc>
        <w:tc>
          <w:tcPr>
            <w:tcW w:w="2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gridSpan w:val="6"/>
          </w:tcPr>
          <w:p>
            <w:pPr>
              <w:spacing w:after="0"/>
              <w:rPr>
                <w:sz w:val="13"/>
                <w:szCs w:val="13"/>
                <w:color w:val="auto"/>
              </w:rPr>
            </w:pPr>
          </w:p>
        </w:tc>
        <w:tc>
          <w:tcPr>
            <w:tcW w:w="1740" w:type="dxa"/>
            <w:vAlign w:val="bottom"/>
            <w:gridSpan w:val="9"/>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FF"/>
            </w:tcBorders>
          </w:tcPr>
          <w:p>
            <w:pPr>
              <w:spacing w:after="0"/>
              <w:rPr>
                <w:sz w:val="15"/>
                <w:szCs w:val="15"/>
                <w:color w:val="auto"/>
              </w:rPr>
            </w:pPr>
          </w:p>
        </w:tc>
        <w:tc>
          <w:tcPr>
            <w:tcW w:w="1180" w:type="dxa"/>
            <w:vAlign w:val="bottom"/>
            <w:tcBorders>
              <w:bottom w:val="single" w:sz="8" w:color="0000FF"/>
            </w:tcBorders>
            <w:gridSpan w:val="4"/>
            <w:shd w:val="clear" w:color="auto" w:fill="CCEEFF"/>
          </w:tcPr>
          <w:p>
            <w:pPr>
              <w:spacing w:after="0" w:line="156" w:lineRule="exact"/>
              <w:rPr>
                <w:sz w:val="20"/>
                <w:szCs w:val="20"/>
                <w:color w:val="auto"/>
              </w:rPr>
            </w:pPr>
            <w:r>
              <w:rPr>
                <w:rFonts w:ascii="Arial" w:cs="Arial" w:eastAsia="Arial" w:hAnsi="Arial"/>
                <w:sz w:val="18"/>
                <w:szCs w:val="18"/>
                <w:color w:val="0000FF"/>
                <w:w w:val="88"/>
              </w:rPr>
              <w:t>August 31, 2023</w:t>
            </w:r>
          </w:p>
        </w:tc>
        <w:tc>
          <w:tcPr>
            <w:tcW w:w="4540" w:type="dxa"/>
            <w:vAlign w:val="bottom"/>
            <w:tcBorders>
              <w:bottom w:val="single" w:sz="8" w:color="CCEEFF"/>
            </w:tcBorders>
            <w:gridSpan w:val="11"/>
            <w:shd w:val="clear" w:color="auto" w:fill="CCEEFF"/>
          </w:tcPr>
          <w:p>
            <w:pPr>
              <w:spacing w:after="0"/>
              <w:rPr>
                <w:sz w:val="15"/>
                <w:szCs w:val="15"/>
                <w:color w:val="auto"/>
              </w:rPr>
            </w:pPr>
          </w:p>
        </w:tc>
        <w:tc>
          <w:tcPr>
            <w:tcW w:w="1320" w:type="dxa"/>
            <w:vAlign w:val="bottom"/>
            <w:tcBorders>
              <w:bottom w:val="single" w:sz="8" w:color="CCEEFF"/>
            </w:tcBorders>
            <w:gridSpan w:val="6"/>
            <w:shd w:val="clear" w:color="auto" w:fill="CCEEFF"/>
          </w:tcPr>
          <w:p>
            <w:pPr>
              <w:spacing w:after="0"/>
              <w:rPr>
                <w:sz w:val="15"/>
                <w:szCs w:val="15"/>
                <w:color w:val="auto"/>
              </w:rPr>
            </w:pPr>
          </w:p>
        </w:tc>
        <w:tc>
          <w:tcPr>
            <w:tcW w:w="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8"/>
              </w:rPr>
              <w:t>[</w:t>
            </w: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320" w:type="dxa"/>
            <w:vAlign w:val="bottom"/>
            <w:gridSpan w:val="6"/>
            <w:vMerge w:val="restart"/>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40" w:type="dxa"/>
            <w:vAlign w:val="bottom"/>
            <w:vMerge w:val="restart"/>
          </w:tcPr>
          <w:p>
            <w:pPr>
              <w:jc w:val="right"/>
              <w:spacing w:after="0" w:line="176" w:lineRule="exact"/>
              <w:rPr>
                <w:sz w:val="20"/>
                <w:szCs w:val="20"/>
                <w:color w:val="auto"/>
              </w:rPr>
            </w:pPr>
            <w:r>
              <w:rPr>
                <w:rFonts w:ascii="Arial" w:cs="Arial" w:eastAsia="Arial" w:hAnsi="Arial"/>
                <w:sz w:val="18"/>
                <w:szCs w:val="18"/>
                <w:color w:val="0000FF"/>
              </w:rPr>
              <w:t>***]</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20" w:type="dxa"/>
            <w:vAlign w:val="bottom"/>
            <w:gridSpan w:val="15"/>
          </w:tcPr>
          <w:p>
            <w:pPr>
              <w:spacing w:after="0" w:line="156" w:lineRule="exact"/>
              <w:rPr>
                <w:sz w:val="20"/>
                <w:szCs w:val="20"/>
                <w:color w:val="auto"/>
              </w:rPr>
            </w:pPr>
            <w:r>
              <w:rPr>
                <w:rFonts w:ascii="Arial" w:cs="Arial" w:eastAsia="Arial" w:hAnsi="Arial"/>
                <w:sz w:val="18"/>
                <w:szCs w:val="18"/>
                <w:color w:val="0000FF"/>
              </w:rPr>
              <w:t>September 30, 2023</w:t>
            </w:r>
          </w:p>
        </w:tc>
        <w:tc>
          <w:tcPr>
            <w:tcW w:w="1320" w:type="dxa"/>
            <w:vAlign w:val="bottom"/>
            <w:gridSpan w:val="6"/>
            <w:vMerge w:val="continue"/>
          </w:tcPr>
          <w:p>
            <w:pPr>
              <w:spacing w:after="0"/>
              <w:rPr>
                <w:sz w:val="13"/>
                <w:szCs w:val="13"/>
                <w:color w:val="auto"/>
              </w:rPr>
            </w:pPr>
          </w:p>
        </w:tc>
        <w:tc>
          <w:tcPr>
            <w:tcW w:w="80" w:type="dxa"/>
            <w:vAlign w:val="bottom"/>
            <w:gridSpan w:val="2"/>
          </w:tcPr>
          <w:p>
            <w:pPr>
              <w:jc w:val="right"/>
              <w:ind w:right="20"/>
              <w:spacing w:after="0" w:line="156" w:lineRule="exact"/>
              <w:rPr>
                <w:sz w:val="20"/>
                <w:szCs w:val="20"/>
                <w:color w:val="auto"/>
              </w:rPr>
            </w:pPr>
            <w:r>
              <w:rPr>
                <w:rFonts w:ascii="Arial" w:cs="Arial" w:eastAsia="Arial" w:hAnsi="Arial"/>
                <w:sz w:val="18"/>
                <w:szCs w:val="18"/>
                <w:color w:val="0000FF"/>
                <w:w w:val="78"/>
              </w:rPr>
              <w:t>[</w:t>
            </w: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FF"/>
            </w:tcBorders>
          </w:tcPr>
          <w:p>
            <w:pPr>
              <w:spacing w:after="0"/>
              <w:rPr>
                <w:sz w:val="15"/>
                <w:szCs w:val="15"/>
                <w:color w:val="auto"/>
              </w:rPr>
            </w:pPr>
          </w:p>
        </w:tc>
        <w:tc>
          <w:tcPr>
            <w:tcW w:w="1240" w:type="dxa"/>
            <w:vAlign w:val="bottom"/>
            <w:tcBorders>
              <w:bottom w:val="single" w:sz="8" w:color="0000FF"/>
              <w:right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0000FF"/>
                <w:w w:val="86"/>
              </w:rPr>
              <w:t>October 31, 2023</w:t>
            </w:r>
          </w:p>
        </w:tc>
        <w:tc>
          <w:tcPr>
            <w:tcW w:w="200" w:type="dxa"/>
            <w:vAlign w:val="bottom"/>
            <w:tcBorders>
              <w:bottom w:val="single" w:sz="8" w:color="CCEEFF"/>
            </w:tcBorders>
            <w:gridSpan w:val="5"/>
            <w:shd w:val="clear" w:color="auto" w:fill="CCEEFF"/>
          </w:tcPr>
          <w:p>
            <w:pPr>
              <w:spacing w:after="0"/>
              <w:rPr>
                <w:sz w:val="15"/>
                <w:szCs w:val="15"/>
                <w:color w:val="auto"/>
              </w:rPr>
            </w:pPr>
          </w:p>
        </w:tc>
        <w:tc>
          <w:tcPr>
            <w:tcW w:w="4280" w:type="dxa"/>
            <w:vAlign w:val="bottom"/>
            <w:tcBorders>
              <w:bottom w:val="single" w:sz="8" w:color="CCEEFF"/>
            </w:tcBorders>
            <w:gridSpan w:val="5"/>
            <w:shd w:val="clear" w:color="auto" w:fill="CCEEFF"/>
          </w:tcPr>
          <w:p>
            <w:pPr>
              <w:spacing w:after="0"/>
              <w:rPr>
                <w:sz w:val="15"/>
                <w:szCs w:val="15"/>
                <w:color w:val="auto"/>
              </w:rPr>
            </w:pPr>
          </w:p>
        </w:tc>
        <w:tc>
          <w:tcPr>
            <w:tcW w:w="1320" w:type="dxa"/>
            <w:vAlign w:val="bottom"/>
            <w:tcBorders>
              <w:bottom w:val="single" w:sz="8" w:color="CCEEFF"/>
            </w:tcBorders>
            <w:gridSpan w:val="6"/>
            <w:shd w:val="clear" w:color="auto" w:fill="CCEEFF"/>
          </w:tcPr>
          <w:p>
            <w:pPr>
              <w:spacing w:after="0"/>
              <w:rPr>
                <w:sz w:val="15"/>
                <w:szCs w:val="15"/>
                <w:color w:val="auto"/>
              </w:rPr>
            </w:pPr>
          </w:p>
        </w:tc>
        <w:tc>
          <w:tcPr>
            <w:tcW w:w="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8"/>
              </w:rPr>
              <w:t>[</w:t>
            </w: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320" w:type="dxa"/>
            <w:vAlign w:val="bottom"/>
            <w:gridSpan w:val="6"/>
            <w:vMerge w:val="restart"/>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40" w:type="dxa"/>
            <w:vAlign w:val="bottom"/>
            <w:vMerge w:val="restart"/>
          </w:tcPr>
          <w:p>
            <w:pPr>
              <w:jc w:val="right"/>
              <w:spacing w:after="0" w:line="176" w:lineRule="exact"/>
              <w:rPr>
                <w:sz w:val="20"/>
                <w:szCs w:val="20"/>
                <w:color w:val="auto"/>
              </w:rPr>
            </w:pPr>
            <w:r>
              <w:rPr>
                <w:rFonts w:ascii="Arial" w:cs="Arial" w:eastAsia="Arial" w:hAnsi="Arial"/>
                <w:sz w:val="18"/>
                <w:szCs w:val="18"/>
                <w:color w:val="0000FF"/>
              </w:rPr>
              <w:t>***]</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gridSpan w:val="15"/>
          </w:tcPr>
          <w:p>
            <w:pPr>
              <w:spacing w:after="0" w:line="156" w:lineRule="exact"/>
              <w:rPr>
                <w:sz w:val="20"/>
                <w:szCs w:val="20"/>
                <w:color w:val="auto"/>
              </w:rPr>
            </w:pPr>
            <w:r>
              <w:rPr>
                <w:rFonts w:ascii="Arial" w:cs="Arial" w:eastAsia="Arial" w:hAnsi="Arial"/>
                <w:sz w:val="18"/>
                <w:szCs w:val="18"/>
                <w:color w:val="0000FF"/>
              </w:rPr>
              <w:t>November 30, 2023</w:t>
            </w:r>
          </w:p>
        </w:tc>
        <w:tc>
          <w:tcPr>
            <w:tcW w:w="1320" w:type="dxa"/>
            <w:vAlign w:val="bottom"/>
            <w:gridSpan w:val="6"/>
            <w:vMerge w:val="continue"/>
          </w:tcPr>
          <w:p>
            <w:pPr>
              <w:spacing w:after="0"/>
              <w:rPr>
                <w:sz w:val="13"/>
                <w:szCs w:val="13"/>
                <w:color w:val="auto"/>
              </w:rPr>
            </w:pPr>
          </w:p>
        </w:tc>
        <w:tc>
          <w:tcPr>
            <w:tcW w:w="80" w:type="dxa"/>
            <w:vAlign w:val="bottom"/>
            <w:gridSpan w:val="2"/>
          </w:tcPr>
          <w:p>
            <w:pPr>
              <w:jc w:val="right"/>
              <w:ind w:right="20"/>
              <w:spacing w:after="0" w:line="156" w:lineRule="exact"/>
              <w:rPr>
                <w:sz w:val="20"/>
                <w:szCs w:val="20"/>
                <w:color w:val="auto"/>
              </w:rPr>
            </w:pPr>
            <w:r>
              <w:rPr>
                <w:rFonts w:ascii="Arial" w:cs="Arial" w:eastAsia="Arial" w:hAnsi="Arial"/>
                <w:sz w:val="18"/>
                <w:szCs w:val="18"/>
                <w:u w:val="single" w:color="auto"/>
                <w:color w:val="0000FF"/>
                <w:w w:val="78"/>
              </w:rPr>
              <w:t>[</w:t>
            </w: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gridSpan w:val="8"/>
            <w:shd w:val="clear" w:color="auto" w:fill="CCEEFF"/>
          </w:tcPr>
          <w:p>
            <w:pPr>
              <w:spacing w:after="0" w:line="156" w:lineRule="exact"/>
              <w:rPr>
                <w:sz w:val="20"/>
                <w:szCs w:val="20"/>
                <w:color w:val="auto"/>
              </w:rPr>
            </w:pPr>
            <w:r>
              <w:rPr>
                <w:rFonts w:ascii="Arial" w:cs="Arial" w:eastAsia="Arial" w:hAnsi="Arial"/>
                <w:sz w:val="18"/>
                <w:szCs w:val="18"/>
                <w:color w:val="0000FF"/>
                <w:w w:val="87"/>
              </w:rPr>
              <w:t>December 31, 2023</w:t>
            </w:r>
          </w:p>
        </w:tc>
        <w:tc>
          <w:tcPr>
            <w:tcW w:w="20" w:type="dxa"/>
            <w:vAlign w:val="bottom"/>
            <w:shd w:val="clear" w:color="auto" w:fill="CCEEFF"/>
          </w:tcPr>
          <w:p>
            <w:pPr>
              <w:spacing w:after="0"/>
              <w:rPr>
                <w:sz w:val="13"/>
                <w:szCs w:val="13"/>
                <w:color w:val="auto"/>
              </w:rPr>
            </w:pPr>
          </w:p>
        </w:tc>
        <w:tc>
          <w:tcPr>
            <w:tcW w:w="4300" w:type="dxa"/>
            <w:vAlign w:val="bottom"/>
            <w:gridSpan w:val="6"/>
            <w:shd w:val="clear" w:color="auto" w:fill="CCEEFF"/>
          </w:tcPr>
          <w:p>
            <w:pPr>
              <w:spacing w:after="0"/>
              <w:rPr>
                <w:sz w:val="13"/>
                <w:szCs w:val="13"/>
                <w:color w:val="auto"/>
              </w:rPr>
            </w:pPr>
          </w:p>
        </w:tc>
        <w:tc>
          <w:tcPr>
            <w:tcW w:w="1740" w:type="dxa"/>
            <w:vAlign w:val="bottom"/>
            <w:gridSpan w:val="9"/>
            <w:shd w:val="clear" w:color="auto" w:fill="CCEEFF"/>
          </w:tcPr>
          <w:p>
            <w:pPr>
              <w:jc w:val="right"/>
              <w:spacing w:after="0" w:line="156" w:lineRule="exact"/>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80" w:type="dxa"/>
            <w:vAlign w:val="bottom"/>
            <w:gridSpan w:val="7"/>
          </w:tcPr>
          <w:p>
            <w:pPr>
              <w:spacing w:after="0" w:line="156" w:lineRule="exact"/>
              <w:rPr>
                <w:sz w:val="20"/>
                <w:szCs w:val="20"/>
                <w:color w:val="auto"/>
              </w:rPr>
            </w:pPr>
            <w:r>
              <w:rPr>
                <w:rFonts w:ascii="Arial" w:cs="Arial" w:eastAsia="Arial" w:hAnsi="Arial"/>
                <w:sz w:val="18"/>
                <w:szCs w:val="18"/>
                <w:color w:val="0000FF"/>
                <w:w w:val="97"/>
              </w:rPr>
              <w:t>January 31, 2024</w:t>
            </w:r>
          </w:p>
        </w:tc>
        <w:tc>
          <w:tcPr>
            <w:tcW w:w="20" w:type="dxa"/>
            <w:vAlign w:val="bottom"/>
          </w:tcPr>
          <w:p>
            <w:pPr>
              <w:spacing w:after="0"/>
              <w:rPr>
                <w:sz w:val="13"/>
                <w:szCs w:val="13"/>
                <w:color w:val="auto"/>
              </w:rPr>
            </w:pPr>
          </w:p>
        </w:tc>
        <w:tc>
          <w:tcPr>
            <w:tcW w:w="4320" w:type="dxa"/>
            <w:vAlign w:val="bottom"/>
            <w:gridSpan w:val="7"/>
          </w:tcPr>
          <w:p>
            <w:pPr>
              <w:spacing w:after="0"/>
              <w:rPr>
                <w:sz w:val="13"/>
                <w:szCs w:val="13"/>
                <w:color w:val="auto"/>
              </w:rPr>
            </w:pPr>
          </w:p>
        </w:tc>
        <w:tc>
          <w:tcPr>
            <w:tcW w:w="1740" w:type="dxa"/>
            <w:vAlign w:val="bottom"/>
            <w:gridSpan w:val="9"/>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FF"/>
            </w:tcBorders>
          </w:tcPr>
          <w:p>
            <w:pPr>
              <w:spacing w:after="0"/>
              <w:rPr>
                <w:sz w:val="17"/>
                <w:szCs w:val="17"/>
                <w:color w:val="auto"/>
              </w:rPr>
            </w:pPr>
          </w:p>
        </w:tc>
        <w:tc>
          <w:tcPr>
            <w:tcW w:w="1240" w:type="dxa"/>
            <w:vAlign w:val="bottom"/>
            <w:tcBorders>
              <w:bottom w:val="single" w:sz="8" w:color="0000FF"/>
              <w:right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0000FF"/>
                <w:w w:val="81"/>
              </w:rPr>
              <w:t>February 29, 2024</w:t>
            </w:r>
          </w:p>
        </w:tc>
        <w:tc>
          <w:tcPr>
            <w:tcW w:w="60" w:type="dxa"/>
            <w:vAlign w:val="bottom"/>
            <w:tcBorders>
              <w:bottom w:val="single" w:sz="8" w:color="0000FF"/>
            </w:tcBorders>
            <w:shd w:val="clear" w:color="auto" w:fill="CCEEFF"/>
          </w:tcPr>
          <w:p>
            <w:pPr>
              <w:spacing w:after="0"/>
              <w:rPr>
                <w:sz w:val="17"/>
                <w:szCs w:val="17"/>
                <w:color w:val="auto"/>
              </w:rPr>
            </w:pPr>
          </w:p>
        </w:tc>
        <w:tc>
          <w:tcPr>
            <w:tcW w:w="4420" w:type="dxa"/>
            <w:vAlign w:val="bottom"/>
            <w:tcBorders>
              <w:bottom w:val="single" w:sz="8" w:color="CCEEFF"/>
            </w:tcBorders>
            <w:gridSpan w:val="9"/>
            <w:shd w:val="clear" w:color="auto" w:fill="CCEEFF"/>
          </w:tcPr>
          <w:p>
            <w:pPr>
              <w:spacing w:after="0"/>
              <w:rPr>
                <w:sz w:val="17"/>
                <w:szCs w:val="17"/>
                <w:color w:val="auto"/>
              </w:rPr>
            </w:pPr>
          </w:p>
        </w:tc>
        <w:tc>
          <w:tcPr>
            <w:tcW w:w="1320" w:type="dxa"/>
            <w:vAlign w:val="bottom"/>
            <w:tcBorders>
              <w:bottom w:val="single" w:sz="8" w:color="CCEEFF"/>
            </w:tcBorders>
            <w:gridSpan w:val="6"/>
            <w:shd w:val="clear" w:color="auto" w:fill="CCEEFF"/>
          </w:tcPr>
          <w:p>
            <w:pPr>
              <w:spacing w:after="0"/>
              <w:rPr>
                <w:sz w:val="17"/>
                <w:szCs w:val="17"/>
                <w:color w:val="auto"/>
              </w:rPr>
            </w:pPr>
          </w:p>
        </w:tc>
        <w:tc>
          <w:tcPr>
            <w:tcW w:w="80" w:type="dxa"/>
            <w:vAlign w:val="bottom"/>
            <w:tcBorders>
              <w:bottom w:val="single" w:sz="8" w:color="0000FF"/>
            </w:tcBorders>
            <w:gridSpan w:val="2"/>
            <w:shd w:val="clear" w:color="auto" w:fill="CCEEFF"/>
          </w:tcPr>
          <w:p>
            <w:pPr>
              <w:jc w:val="right"/>
              <w:ind w:right="20"/>
              <w:spacing w:after="0" w:line="156" w:lineRule="exact"/>
              <w:rPr>
                <w:sz w:val="20"/>
                <w:szCs w:val="20"/>
                <w:color w:val="auto"/>
              </w:rPr>
            </w:pPr>
            <w:r>
              <w:rPr>
                <w:rFonts w:ascii="Arial" w:cs="Arial" w:eastAsia="Arial" w:hAnsi="Arial"/>
                <w:sz w:val="18"/>
                <w:szCs w:val="18"/>
                <w:color w:val="0000FF"/>
                <w:w w:val="78"/>
              </w:rPr>
              <w:t>[</w:t>
            </w:r>
          </w:p>
        </w:tc>
        <w:tc>
          <w:tcPr>
            <w:tcW w:w="3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 w:right="240" w:firstLine="436"/>
        <w:spacing w:after="0" w:line="277" w:lineRule="auto"/>
        <w:tabs>
          <w:tab w:leader="none" w:pos="699" w:val="left"/>
        </w:tabs>
        <w:numPr>
          <w:ilvl w:val="0"/>
          <w:numId w:val="23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Maximum Capital Expenditures. Permit cumulative Capital Expenditures (excluding any customer rebates or reimbursements) to be greater than the amounts set forth below for the periods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5405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293179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1840" w:type="dxa"/>
            <w:vAlign w:val="bottom"/>
            <w:gridSpan w:val="15"/>
          </w:tcPr>
          <w:p>
            <w:pPr>
              <w:spacing w:after="0"/>
              <w:rPr>
                <w:sz w:val="20"/>
                <w:szCs w:val="20"/>
                <w:color w:val="auto"/>
              </w:rPr>
            </w:pPr>
            <w:r>
              <w:rPr>
                <w:rFonts w:ascii="Arial" w:cs="Arial" w:eastAsia="Arial" w:hAnsi="Arial"/>
                <w:sz w:val="14"/>
                <w:szCs w:val="14"/>
                <w:b w:val="1"/>
                <w:bCs w:val="1"/>
                <w:color w:val="0000FF"/>
              </w:rPr>
              <w:t>Period Commencing on</w:t>
            </w: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0000FF"/>
            </w:tcBorders>
          </w:tcPr>
          <w:p>
            <w:pPr>
              <w:spacing w:after="0"/>
              <w:rPr>
                <w:sz w:val="11"/>
                <w:szCs w:val="11"/>
                <w:color w:val="auto"/>
              </w:rPr>
            </w:pPr>
          </w:p>
        </w:tc>
        <w:tc>
          <w:tcPr>
            <w:tcW w:w="1440" w:type="dxa"/>
            <w:vAlign w:val="bottom"/>
            <w:tcBorders>
              <w:top w:val="single" w:sz="8" w:color="0000FF"/>
            </w:tcBorders>
            <w:gridSpan w:val="11"/>
          </w:tcPr>
          <w:p>
            <w:pPr>
              <w:spacing w:after="0" w:line="115" w:lineRule="exact"/>
              <w:rPr>
                <w:sz w:val="20"/>
                <w:szCs w:val="20"/>
                <w:color w:val="auto"/>
              </w:rPr>
            </w:pPr>
            <w:r>
              <w:rPr>
                <w:rFonts w:ascii="Arial" w:cs="Arial" w:eastAsia="Arial" w:hAnsi="Arial"/>
                <w:sz w:val="13"/>
                <w:szCs w:val="13"/>
                <w:b w:val="1"/>
                <w:bCs w:val="1"/>
                <w:color w:val="0000FF"/>
                <w:strike w:val="1"/>
                <w:w w:val="98"/>
              </w:rPr>
              <w:t xml:space="preserve">January 1, 2023 and </w:t>
            </w:r>
            <w:r>
              <w:rPr>
                <w:rFonts w:ascii="Arial" w:cs="Arial" w:eastAsia="Arial" w:hAnsi="Arial"/>
                <w:sz w:val="13"/>
                <w:szCs w:val="13"/>
                <w:b w:val="1"/>
                <w:bCs w:val="1"/>
                <w:u w:val="single" w:color="auto"/>
                <w:color w:val="0000FF"/>
                <w:strike w:val="1"/>
                <w:w w:val="98"/>
              </w:rPr>
              <w:t>En</w:t>
            </w:r>
          </w:p>
        </w:tc>
        <w:tc>
          <w:tcPr>
            <w:tcW w:w="380" w:type="dxa"/>
            <w:vAlign w:val="bottom"/>
            <w:gridSpan w:val="3"/>
          </w:tcPr>
          <w:p>
            <w:pPr>
              <w:spacing w:after="0" w:line="109" w:lineRule="exact"/>
              <w:rPr>
                <w:sz w:val="20"/>
                <w:szCs w:val="20"/>
                <w:color w:val="auto"/>
              </w:rPr>
            </w:pPr>
            <w:r>
              <w:rPr>
                <w:rFonts w:ascii="Arial" w:cs="Arial" w:eastAsia="Arial" w:hAnsi="Arial"/>
                <w:sz w:val="12"/>
                <w:szCs w:val="12"/>
                <w:b w:val="1"/>
                <w:bCs w:val="1"/>
                <w:color w:val="0000FF"/>
              </w:rPr>
              <w:t>ding</w:t>
            </w:r>
          </w:p>
        </w:tc>
        <w:tc>
          <w:tcPr>
            <w:tcW w:w="4060" w:type="dxa"/>
            <w:vAlign w:val="bottom"/>
          </w:tcPr>
          <w:p>
            <w:pPr>
              <w:spacing w:after="0"/>
              <w:rPr>
                <w:sz w:val="11"/>
                <w:szCs w:val="11"/>
                <w:color w:val="auto"/>
              </w:rPr>
            </w:pPr>
          </w:p>
        </w:tc>
        <w:tc>
          <w:tcPr>
            <w:tcW w:w="1580" w:type="dxa"/>
            <w:vAlign w:val="bottom"/>
            <w:gridSpan w:val="6"/>
          </w:tcPr>
          <w:p>
            <w:pPr>
              <w:jc w:val="right"/>
              <w:ind w:right="274"/>
              <w:spacing w:after="0" w:line="109" w:lineRule="exact"/>
              <w:rPr>
                <w:sz w:val="20"/>
                <w:szCs w:val="20"/>
                <w:color w:val="auto"/>
              </w:rPr>
            </w:pPr>
            <w:r>
              <w:rPr>
                <w:rFonts w:ascii="Arial" w:cs="Arial" w:eastAsia="Arial" w:hAnsi="Arial"/>
                <w:sz w:val="12"/>
                <w:szCs w:val="12"/>
                <w:b w:val="1"/>
                <w:bCs w:val="1"/>
                <w:color w:val="0000FF"/>
              </w:rPr>
              <w:t>Cumulative Capital</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20" w:type="dxa"/>
            <w:vAlign w:val="bottom"/>
            <w:gridSpan w:val="14"/>
            <w:vMerge w:val="restart"/>
          </w:tcPr>
          <w:p>
            <w:pPr>
              <w:spacing w:after="0" w:line="95" w:lineRule="exact"/>
              <w:rPr>
                <w:sz w:val="20"/>
                <w:szCs w:val="20"/>
                <w:color w:val="auto"/>
              </w:rPr>
            </w:pPr>
            <w:r>
              <w:rPr>
                <w:rFonts w:ascii="Arial" w:cs="Arial" w:eastAsia="Arial" w:hAnsi="Arial"/>
                <w:sz w:val="11"/>
                <w:szCs w:val="11"/>
                <w:b w:val="1"/>
                <w:bCs w:val="1"/>
                <w:color w:val="0000FF"/>
                <w:strike w:val="1"/>
              </w:rPr>
              <w:t>on the Dates Set Forth</w:t>
            </w:r>
            <w:r>
              <w:rPr>
                <w:rFonts w:ascii="Arial" w:cs="Arial" w:eastAsia="Arial" w:hAnsi="Arial"/>
                <w:sz w:val="11"/>
                <w:szCs w:val="11"/>
                <w:b w:val="1"/>
                <w:bCs w:val="1"/>
                <w:color w:val="0000FF"/>
              </w:rPr>
              <w:t xml:space="preserve"> </w:t>
            </w:r>
            <w:r>
              <w:rPr>
                <w:rFonts w:ascii="Arial" w:cs="Arial" w:eastAsia="Arial" w:hAnsi="Arial"/>
                <w:sz w:val="11"/>
                <w:szCs w:val="11"/>
                <w:b w:val="1"/>
                <w:bCs w:val="1"/>
                <w:u w:val="single" w:color="auto"/>
                <w:color w:val="0000FF"/>
                <w:strike w:val="1"/>
              </w:rPr>
              <w:t>Belo</w:t>
            </w:r>
            <w:r>
              <w:rPr>
                <w:rFonts w:ascii="Arial" w:cs="Arial" w:eastAsia="Arial" w:hAnsi="Arial"/>
                <w:sz w:val="11"/>
                <w:szCs w:val="11"/>
                <w:b w:val="1"/>
                <w:bCs w:val="1"/>
                <w:color w:val="0000FF"/>
              </w:rPr>
              <w:t>w:</w:t>
            </w:r>
          </w:p>
        </w:tc>
        <w:tc>
          <w:tcPr>
            <w:tcW w:w="406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1820" w:type="dxa"/>
            <w:vAlign w:val="bottom"/>
            <w:gridSpan w:val="14"/>
            <w:vMerge w:val="continue"/>
          </w:tcPr>
          <w:p>
            <w:pPr>
              <w:spacing w:after="0"/>
              <w:rPr>
                <w:sz w:val="10"/>
                <w:szCs w:val="10"/>
                <w:color w:val="auto"/>
              </w:rPr>
            </w:pPr>
          </w:p>
        </w:tc>
        <w:tc>
          <w:tcPr>
            <w:tcW w:w="4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4"/>
          </w:tcPr>
          <w:p>
            <w:pPr>
              <w:jc w:val="right"/>
              <w:ind w:right="111"/>
              <w:spacing w:after="0" w:line="69" w:lineRule="exact"/>
              <w:rPr>
                <w:sz w:val="20"/>
                <w:szCs w:val="20"/>
                <w:color w:val="auto"/>
              </w:rPr>
            </w:pPr>
            <w:r>
              <w:rPr>
                <w:rFonts w:ascii="Arial" w:cs="Arial" w:eastAsia="Arial" w:hAnsi="Arial"/>
                <w:sz w:val="7"/>
                <w:szCs w:val="7"/>
                <w:b w:val="1"/>
                <w:bCs w:val="1"/>
                <w:color w:val="0000FF"/>
              </w:rPr>
              <w:t>Expenditures</w:t>
            </w: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13"/>
            <w:shd w:val="clear" w:color="auto" w:fill="CCEEFF"/>
          </w:tcPr>
          <w:p>
            <w:pPr>
              <w:spacing w:after="0" w:line="129" w:lineRule="exact"/>
              <w:rPr>
                <w:sz w:val="20"/>
                <w:szCs w:val="20"/>
                <w:color w:val="auto"/>
              </w:rPr>
            </w:pPr>
            <w:r>
              <w:rPr>
                <w:rFonts w:ascii="Arial" w:cs="Arial" w:eastAsia="Arial" w:hAnsi="Arial"/>
                <w:sz w:val="13"/>
                <w:szCs w:val="13"/>
                <w:color w:val="0000FF"/>
              </w:rPr>
              <w:t>April 30, 2023</w:t>
            </w:r>
          </w:p>
        </w:tc>
        <w:tc>
          <w:tcPr>
            <w:tcW w:w="20" w:type="dxa"/>
            <w:vAlign w:val="bottom"/>
            <w:tcBorders>
              <w:top w:val="single" w:sz="8" w:color="0000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gridSpan w:val="3"/>
            <w:shd w:val="clear" w:color="auto" w:fill="CCEEFF"/>
          </w:tcPr>
          <w:p>
            <w:pPr>
              <w:jc w:val="right"/>
              <w:spacing w:after="0" w:line="122" w:lineRule="exact"/>
              <w:rPr>
                <w:sz w:val="20"/>
                <w:szCs w:val="20"/>
                <w:color w:val="auto"/>
              </w:rPr>
            </w:pPr>
            <w:r>
              <w:rPr>
                <w:rFonts w:ascii="Arial" w:cs="Arial" w:eastAsia="Arial" w:hAnsi="Arial"/>
                <w:sz w:val="13"/>
                <w:szCs w:val="13"/>
                <w:color w:val="0000FF"/>
              </w:rPr>
              <w:t>[</w:t>
            </w:r>
          </w:p>
        </w:tc>
        <w:tc>
          <w:tcPr>
            <w:tcW w:w="360" w:type="dxa"/>
            <w:vAlign w:val="bottom"/>
            <w:tcBorders>
              <w:top w:val="single" w:sz="8" w:color="CCEEFF"/>
            </w:tcBorders>
            <w:shd w:val="clear" w:color="auto" w:fill="CCEEFF"/>
          </w:tcPr>
          <w:p>
            <w:pPr>
              <w:jc w:val="right"/>
              <w:spacing w:after="0" w:line="116" w:lineRule="exact"/>
              <w:rPr>
                <w:sz w:val="20"/>
                <w:szCs w:val="20"/>
                <w:color w:val="auto"/>
              </w:rPr>
            </w:pPr>
            <w:r>
              <w:rPr>
                <w:rFonts w:ascii="Arial" w:cs="Arial" w:eastAsia="Arial" w:hAnsi="Arial"/>
                <w:sz w:val="13"/>
                <w:szCs w:val="13"/>
                <w:color w:val="0000FF"/>
              </w:rPr>
              <w:t>***]</w:t>
            </w:r>
          </w:p>
        </w:tc>
        <w:tc>
          <w:tcPr>
            <w:tcW w:w="0" w:type="dxa"/>
            <w:vAlign w:val="bottom"/>
          </w:tcPr>
          <w:p>
            <w:pPr>
              <w:spacing w:after="0"/>
              <w:rPr>
                <w:sz w:val="1"/>
                <w:szCs w:val="1"/>
                <w:color w:val="auto"/>
              </w:rPr>
            </w:pPr>
          </w:p>
        </w:tc>
      </w:tr>
      <w:tr>
        <w:trPr>
          <w:trHeight w:val="150"/>
        </w:trPr>
        <w:tc>
          <w:tcPr>
            <w:tcW w:w="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gridSpan w:val="3"/>
          </w:tcPr>
          <w:p>
            <w:pPr>
              <w:spacing w:after="0" w:line="150" w:lineRule="exact"/>
              <w:rPr>
                <w:sz w:val="20"/>
                <w:szCs w:val="20"/>
                <w:color w:val="auto"/>
              </w:rPr>
            </w:pPr>
            <w:r>
              <w:rPr>
                <w:rFonts w:ascii="Arial" w:cs="Arial" w:eastAsia="Arial" w:hAnsi="Arial"/>
                <w:sz w:val="17"/>
                <w:szCs w:val="17"/>
                <w:color w:val="0000FF"/>
                <w:w w:val="98"/>
              </w:rPr>
              <w:t>May 31, 2023</w:t>
            </w:r>
          </w:p>
        </w:tc>
        <w:tc>
          <w:tcPr>
            <w:tcW w:w="1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gridSpan w:val="4"/>
          </w:tcPr>
          <w:p>
            <w:pPr>
              <w:spacing w:after="0"/>
              <w:rPr>
                <w:sz w:val="13"/>
                <w:szCs w:val="13"/>
                <w:color w:val="auto"/>
              </w:rPr>
            </w:pPr>
          </w:p>
        </w:tc>
        <w:tc>
          <w:tcPr>
            <w:tcW w:w="5220" w:type="dxa"/>
            <w:vAlign w:val="bottom"/>
            <w:tcBorders>
              <w:top w:val="single" w:sz="8" w:color="CCEEFF"/>
            </w:tcBorders>
            <w:gridSpan w:val="5"/>
          </w:tcPr>
          <w:p>
            <w:pPr>
              <w:spacing w:after="0"/>
              <w:rPr>
                <w:sz w:val="13"/>
                <w:szCs w:val="13"/>
                <w:color w:val="auto"/>
              </w:rPr>
            </w:pPr>
          </w:p>
        </w:tc>
        <w:tc>
          <w:tcPr>
            <w:tcW w:w="60" w:type="dxa"/>
            <w:vAlign w:val="bottom"/>
            <w:tcBorders>
              <w:top w:val="single" w:sz="8" w:color="0000FF"/>
            </w:tcBorders>
          </w:tcPr>
          <w:p>
            <w:pPr>
              <w:jc w:val="right"/>
              <w:spacing w:after="0" w:line="150" w:lineRule="exact"/>
              <w:rPr>
                <w:sz w:val="20"/>
                <w:szCs w:val="20"/>
                <w:color w:val="auto"/>
              </w:rPr>
            </w:pPr>
            <w:r>
              <w:rPr>
                <w:rFonts w:ascii="Arial" w:cs="Arial" w:eastAsia="Arial" w:hAnsi="Arial"/>
                <w:sz w:val="17"/>
                <w:szCs w:val="17"/>
                <w:u w:val="single" w:color="auto"/>
                <w:color w:val="0000FF"/>
                <w:w w:val="83"/>
              </w:rPr>
              <w:t>[</w:t>
            </w:r>
          </w:p>
        </w:tc>
        <w:tc>
          <w:tcPr>
            <w:tcW w:w="360" w:type="dxa"/>
            <w:vAlign w:val="bottom"/>
            <w:tcBorders>
              <w:top w:val="single" w:sz="8" w:color="CCEEFF"/>
            </w:tcBorders>
          </w:tcPr>
          <w:p>
            <w:pPr>
              <w:jc w:val="right"/>
              <w:spacing w:after="0" w:line="150" w:lineRule="exact"/>
              <w:rPr>
                <w:sz w:val="20"/>
                <w:szCs w:val="20"/>
                <w:color w:val="auto"/>
              </w:rPr>
            </w:pPr>
            <w:r>
              <w:rPr>
                <w:rFonts w:ascii="Arial" w:cs="Arial" w:eastAsia="Arial" w:hAnsi="Arial"/>
                <w:sz w:val="17"/>
                <w:szCs w:val="17"/>
                <w:color w:val="0000FF"/>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0000FF"/>
                <w:w w:val="84"/>
              </w:rPr>
              <w:t>June 30, 2023</w:t>
            </w:r>
          </w:p>
        </w:tc>
        <w:tc>
          <w:tcPr>
            <w:tcW w:w="20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4"/>
            <w:shd w:val="clear" w:color="auto" w:fill="CCEEFF"/>
          </w:tcPr>
          <w:p>
            <w:pPr>
              <w:spacing w:after="0"/>
              <w:rPr>
                <w:sz w:val="17"/>
                <w:szCs w:val="17"/>
                <w:color w:val="auto"/>
              </w:rPr>
            </w:pPr>
          </w:p>
        </w:tc>
        <w:tc>
          <w:tcPr>
            <w:tcW w:w="5640" w:type="dxa"/>
            <w:vAlign w:val="bottom"/>
            <w:gridSpan w:val="7"/>
            <w:shd w:val="clear" w:color="auto" w:fill="CCEEFF"/>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155"/>
        </w:trPr>
        <w:tc>
          <w:tcPr>
            <w:tcW w:w="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9"/>
              </w:rPr>
              <w:t>July 31, 2023</w:t>
            </w:r>
          </w:p>
        </w:tc>
        <w:tc>
          <w:tcPr>
            <w:tcW w:w="200" w:type="dxa"/>
            <w:vAlign w:val="bottom"/>
            <w:tcBorders>
              <w:top w:val="single" w:sz="8" w:color="CCEEFF"/>
            </w:tcBorders>
            <w:gridSpan w:val="2"/>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gridSpan w:val="4"/>
          </w:tcPr>
          <w:p>
            <w:pPr>
              <w:spacing w:after="0"/>
              <w:rPr>
                <w:sz w:val="13"/>
                <w:szCs w:val="13"/>
                <w:color w:val="auto"/>
              </w:rPr>
            </w:pPr>
          </w:p>
        </w:tc>
        <w:tc>
          <w:tcPr>
            <w:tcW w:w="5220" w:type="dxa"/>
            <w:vAlign w:val="bottom"/>
            <w:tcBorders>
              <w:top w:val="single" w:sz="8" w:color="CCEEFF"/>
            </w:tcBorders>
            <w:gridSpan w:val="5"/>
          </w:tcPr>
          <w:p>
            <w:pPr>
              <w:spacing w:after="0"/>
              <w:rPr>
                <w:sz w:val="13"/>
                <w:szCs w:val="13"/>
                <w:color w:val="auto"/>
              </w:rPr>
            </w:pPr>
          </w:p>
        </w:tc>
        <w:tc>
          <w:tcPr>
            <w:tcW w:w="60" w:type="dxa"/>
            <w:vAlign w:val="bottom"/>
            <w:tcBorders>
              <w:top w:val="single" w:sz="8" w:color="0000FF"/>
            </w:tcBorders>
          </w:tcPr>
          <w:p>
            <w:pPr>
              <w:jc w:val="right"/>
              <w:spacing w:after="0" w:line="156" w:lineRule="exact"/>
              <w:rPr>
                <w:sz w:val="20"/>
                <w:szCs w:val="20"/>
                <w:color w:val="auto"/>
              </w:rPr>
            </w:pPr>
            <w:r>
              <w:rPr>
                <w:rFonts w:ascii="Arial" w:cs="Arial" w:eastAsia="Arial" w:hAnsi="Arial"/>
                <w:sz w:val="18"/>
                <w:szCs w:val="18"/>
                <w:color w:val="0000FF"/>
                <w:w w:val="78"/>
              </w:rPr>
              <w:t>[</w:t>
            </w:r>
          </w:p>
        </w:tc>
        <w:tc>
          <w:tcPr>
            <w:tcW w:w="36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FF"/>
            </w:tcBorders>
          </w:tcPr>
          <w:p>
            <w:pPr>
              <w:spacing w:after="0"/>
              <w:rPr>
                <w:sz w:val="17"/>
                <w:szCs w:val="17"/>
                <w:color w:val="auto"/>
              </w:rPr>
            </w:pPr>
          </w:p>
        </w:tc>
        <w:tc>
          <w:tcPr>
            <w:tcW w:w="1180" w:type="dxa"/>
            <w:vAlign w:val="bottom"/>
            <w:tcBorders>
              <w:bottom w:val="single" w:sz="8" w:color="0000FF"/>
            </w:tcBorders>
            <w:gridSpan w:val="4"/>
            <w:shd w:val="clear" w:color="auto" w:fill="CCEEFF"/>
          </w:tcPr>
          <w:p>
            <w:pPr>
              <w:spacing w:after="0" w:line="156" w:lineRule="exact"/>
              <w:rPr>
                <w:sz w:val="20"/>
                <w:szCs w:val="20"/>
                <w:color w:val="auto"/>
              </w:rPr>
            </w:pPr>
            <w:r>
              <w:rPr>
                <w:rFonts w:ascii="Arial" w:cs="Arial" w:eastAsia="Arial" w:hAnsi="Arial"/>
                <w:sz w:val="18"/>
                <w:szCs w:val="18"/>
                <w:color w:val="0000FF"/>
                <w:w w:val="88"/>
              </w:rPr>
              <w:t>August 31, 2023</w:t>
            </w:r>
          </w:p>
        </w:tc>
        <w:tc>
          <w:tcPr>
            <w:tcW w:w="640" w:type="dxa"/>
            <w:vAlign w:val="bottom"/>
            <w:tcBorders>
              <w:bottom w:val="single" w:sz="8" w:color="CCEEFF"/>
            </w:tcBorders>
            <w:gridSpan w:val="10"/>
            <w:shd w:val="clear" w:color="auto" w:fill="CCEEFF"/>
          </w:tcPr>
          <w:p>
            <w:pPr>
              <w:spacing w:after="0"/>
              <w:rPr>
                <w:sz w:val="17"/>
                <w:szCs w:val="17"/>
                <w:color w:val="auto"/>
              </w:rPr>
            </w:pPr>
          </w:p>
        </w:tc>
        <w:tc>
          <w:tcPr>
            <w:tcW w:w="5220" w:type="dxa"/>
            <w:vAlign w:val="bottom"/>
            <w:tcBorders>
              <w:bottom w:val="single" w:sz="8" w:color="CCEEFF"/>
            </w:tcBorders>
            <w:gridSpan w:val="5"/>
            <w:shd w:val="clear" w:color="auto" w:fill="CCEEFF"/>
          </w:tcPr>
          <w:p>
            <w:pPr>
              <w:spacing w:after="0"/>
              <w:rPr>
                <w:sz w:val="17"/>
                <w:szCs w:val="17"/>
                <w:color w:val="auto"/>
              </w:rPr>
            </w:pPr>
          </w:p>
        </w:tc>
        <w:tc>
          <w:tcPr>
            <w:tcW w:w="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u w:val="single" w:color="auto"/>
                <w:color w:val="0000FF"/>
                <w:w w:val="78"/>
              </w:rPr>
              <w:t>[</w:t>
            </w:r>
          </w:p>
        </w:tc>
        <w:tc>
          <w:tcPr>
            <w:tcW w:w="3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gridSpan w:val="14"/>
          </w:tcPr>
          <w:p>
            <w:pPr>
              <w:spacing w:after="0" w:line="156" w:lineRule="exact"/>
              <w:rPr>
                <w:sz w:val="20"/>
                <w:szCs w:val="20"/>
                <w:color w:val="auto"/>
              </w:rPr>
            </w:pPr>
            <w:r>
              <w:rPr>
                <w:rFonts w:ascii="Arial" w:cs="Arial" w:eastAsia="Arial" w:hAnsi="Arial"/>
                <w:sz w:val="18"/>
                <w:szCs w:val="18"/>
                <w:color w:val="0000FF"/>
              </w:rPr>
              <w:t>September 30, 2023</w:t>
            </w:r>
          </w:p>
        </w:tc>
        <w:tc>
          <w:tcPr>
            <w:tcW w:w="5640" w:type="dxa"/>
            <w:vAlign w:val="bottom"/>
            <w:gridSpan w:val="7"/>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FF"/>
            </w:tcBorders>
          </w:tcPr>
          <w:p>
            <w:pPr>
              <w:spacing w:after="0"/>
              <w:rPr>
                <w:sz w:val="17"/>
                <w:szCs w:val="17"/>
                <w:color w:val="auto"/>
              </w:rPr>
            </w:pPr>
          </w:p>
        </w:tc>
        <w:tc>
          <w:tcPr>
            <w:tcW w:w="1240" w:type="dxa"/>
            <w:vAlign w:val="bottom"/>
            <w:tcBorders>
              <w:bottom w:val="single" w:sz="8" w:color="0000FF"/>
            </w:tcBorders>
            <w:gridSpan w:val="6"/>
            <w:shd w:val="clear" w:color="auto" w:fill="CCEEFF"/>
          </w:tcPr>
          <w:p>
            <w:pPr>
              <w:spacing w:after="0" w:line="156" w:lineRule="exact"/>
              <w:rPr>
                <w:sz w:val="20"/>
                <w:szCs w:val="20"/>
                <w:color w:val="auto"/>
              </w:rPr>
            </w:pPr>
            <w:r>
              <w:rPr>
                <w:rFonts w:ascii="Arial" w:cs="Arial" w:eastAsia="Arial" w:hAnsi="Arial"/>
                <w:sz w:val="18"/>
                <w:szCs w:val="18"/>
                <w:color w:val="0000FF"/>
                <w:w w:val="87"/>
              </w:rPr>
              <w:t>October 31, 2023</w:t>
            </w:r>
          </w:p>
        </w:tc>
        <w:tc>
          <w:tcPr>
            <w:tcW w:w="200" w:type="dxa"/>
            <w:vAlign w:val="bottom"/>
            <w:tcBorders>
              <w:bottom w:val="single" w:sz="8" w:color="CCEEFF"/>
            </w:tcBorders>
            <w:gridSpan w:val="5"/>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spacing w:after="0"/>
              <w:rPr>
                <w:sz w:val="17"/>
                <w:szCs w:val="17"/>
                <w:color w:val="auto"/>
              </w:rPr>
            </w:pPr>
          </w:p>
        </w:tc>
        <w:tc>
          <w:tcPr>
            <w:tcW w:w="5220" w:type="dxa"/>
            <w:vAlign w:val="bottom"/>
            <w:tcBorders>
              <w:bottom w:val="single" w:sz="8" w:color="CCEEFF"/>
            </w:tcBorders>
            <w:gridSpan w:val="5"/>
            <w:shd w:val="clear" w:color="auto" w:fill="CCEEFF"/>
          </w:tcPr>
          <w:p>
            <w:pPr>
              <w:spacing w:after="0"/>
              <w:rPr>
                <w:sz w:val="17"/>
                <w:szCs w:val="17"/>
                <w:color w:val="auto"/>
              </w:rPr>
            </w:pPr>
          </w:p>
        </w:tc>
        <w:tc>
          <w:tcPr>
            <w:tcW w:w="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u w:val="single" w:color="auto"/>
                <w:color w:val="0000FF"/>
                <w:w w:val="78"/>
              </w:rPr>
              <w:t>[</w:t>
            </w:r>
          </w:p>
        </w:tc>
        <w:tc>
          <w:tcPr>
            <w:tcW w:w="3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20" w:type="dxa"/>
            <w:vAlign w:val="bottom"/>
            <w:gridSpan w:val="14"/>
          </w:tcPr>
          <w:p>
            <w:pPr>
              <w:spacing w:after="0" w:line="156" w:lineRule="exact"/>
              <w:rPr>
                <w:sz w:val="20"/>
                <w:szCs w:val="20"/>
                <w:color w:val="auto"/>
              </w:rPr>
            </w:pPr>
            <w:r>
              <w:rPr>
                <w:rFonts w:ascii="Arial" w:cs="Arial" w:eastAsia="Arial" w:hAnsi="Arial"/>
                <w:sz w:val="18"/>
                <w:szCs w:val="18"/>
                <w:color w:val="0000FF"/>
              </w:rPr>
              <w:t>November 30, 2023</w:t>
            </w:r>
          </w:p>
        </w:tc>
        <w:tc>
          <w:tcPr>
            <w:tcW w:w="5640" w:type="dxa"/>
            <w:vAlign w:val="bottom"/>
            <w:gridSpan w:val="7"/>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10"/>
            <w:shd w:val="clear" w:color="auto" w:fill="CCEEFF"/>
          </w:tcPr>
          <w:p>
            <w:pPr>
              <w:spacing w:after="0" w:line="156" w:lineRule="exact"/>
              <w:rPr>
                <w:sz w:val="20"/>
                <w:szCs w:val="20"/>
                <w:color w:val="auto"/>
              </w:rPr>
            </w:pPr>
            <w:r>
              <w:rPr>
                <w:rFonts w:ascii="Arial" w:cs="Arial" w:eastAsia="Arial" w:hAnsi="Arial"/>
                <w:sz w:val="18"/>
                <w:szCs w:val="18"/>
                <w:color w:val="0000FF"/>
                <w:w w:val="88"/>
              </w:rPr>
              <w:t>December 31, 2023</w:t>
            </w:r>
          </w:p>
        </w:tc>
        <w:tc>
          <w:tcPr>
            <w:tcW w:w="400" w:type="dxa"/>
            <w:vAlign w:val="bottom"/>
            <w:gridSpan w:val="4"/>
            <w:shd w:val="clear" w:color="auto" w:fill="CCEEFF"/>
          </w:tcPr>
          <w:p>
            <w:pPr>
              <w:spacing w:after="0"/>
              <w:rPr>
                <w:sz w:val="17"/>
                <w:szCs w:val="17"/>
                <w:color w:val="auto"/>
              </w:rPr>
            </w:pPr>
          </w:p>
        </w:tc>
        <w:tc>
          <w:tcPr>
            <w:tcW w:w="5220" w:type="dxa"/>
            <w:vAlign w:val="bottom"/>
            <w:gridSpan w:val="5"/>
            <w:shd w:val="clear" w:color="auto" w:fill="CCEEFF"/>
          </w:tcPr>
          <w:p>
            <w:pPr>
              <w:spacing w:after="0"/>
              <w:rPr>
                <w:sz w:val="17"/>
                <w:szCs w:val="17"/>
                <w:color w:val="auto"/>
              </w:rPr>
            </w:pPr>
          </w:p>
        </w:tc>
        <w:tc>
          <w:tcPr>
            <w:tcW w:w="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0000FF"/>
                <w:w w:val="78"/>
              </w:rPr>
              <w:t>[</w:t>
            </w:r>
          </w:p>
        </w:tc>
        <w:tc>
          <w:tcPr>
            <w:tcW w:w="3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155"/>
        </w:trPr>
        <w:tc>
          <w:tcPr>
            <w:tcW w:w="2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7"/>
              </w:rPr>
              <w:t>January 31, 2024</w:t>
            </w: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CCEEFF"/>
            </w:tcBorders>
            <w:gridSpan w:val="5"/>
          </w:tcPr>
          <w:p>
            <w:pPr>
              <w:spacing w:after="0"/>
              <w:rPr>
                <w:sz w:val="13"/>
                <w:szCs w:val="13"/>
                <w:color w:val="auto"/>
              </w:rPr>
            </w:pPr>
          </w:p>
        </w:tc>
        <w:tc>
          <w:tcPr>
            <w:tcW w:w="5220" w:type="dxa"/>
            <w:vAlign w:val="bottom"/>
            <w:tcBorders>
              <w:top w:val="single" w:sz="8" w:color="CCEEFF"/>
            </w:tcBorders>
            <w:gridSpan w:val="5"/>
          </w:tcPr>
          <w:p>
            <w:pPr>
              <w:spacing w:after="0"/>
              <w:rPr>
                <w:sz w:val="13"/>
                <w:szCs w:val="13"/>
                <w:color w:val="auto"/>
              </w:rPr>
            </w:pPr>
          </w:p>
        </w:tc>
        <w:tc>
          <w:tcPr>
            <w:tcW w:w="60" w:type="dxa"/>
            <w:vAlign w:val="bottom"/>
            <w:tcBorders>
              <w:top w:val="single" w:sz="8" w:color="0000FF"/>
            </w:tcBorders>
          </w:tcPr>
          <w:p>
            <w:pPr>
              <w:jc w:val="right"/>
              <w:spacing w:after="0" w:line="156" w:lineRule="exact"/>
              <w:rPr>
                <w:sz w:val="20"/>
                <w:szCs w:val="20"/>
                <w:color w:val="auto"/>
              </w:rPr>
            </w:pPr>
            <w:r>
              <w:rPr>
                <w:rFonts w:ascii="Arial" w:cs="Arial" w:eastAsia="Arial" w:hAnsi="Arial"/>
                <w:sz w:val="18"/>
                <w:szCs w:val="18"/>
                <w:u w:val="single" w:color="auto"/>
                <w:color w:val="0000FF"/>
                <w:w w:val="78"/>
              </w:rPr>
              <w:t>[</w:t>
            </w:r>
          </w:p>
        </w:tc>
        <w:tc>
          <w:tcPr>
            <w:tcW w:w="36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0000FF"/>
                <w:w w:val="81"/>
              </w:rPr>
              <w:t>February 29, 2024</w:t>
            </w:r>
          </w:p>
        </w:tc>
        <w:tc>
          <w:tcPr>
            <w:tcW w:w="80" w:type="dxa"/>
            <w:vAlign w:val="bottom"/>
            <w:gridSpan w:val="2"/>
            <w:shd w:val="clear" w:color="auto" w:fill="CCEEFF"/>
          </w:tcPr>
          <w:p>
            <w:pPr>
              <w:spacing w:after="0"/>
              <w:rPr>
                <w:sz w:val="17"/>
                <w:szCs w:val="17"/>
                <w:color w:val="auto"/>
              </w:rPr>
            </w:pPr>
          </w:p>
        </w:tc>
        <w:tc>
          <w:tcPr>
            <w:tcW w:w="520" w:type="dxa"/>
            <w:vAlign w:val="bottom"/>
            <w:gridSpan w:val="7"/>
            <w:shd w:val="clear" w:color="auto" w:fill="CCEEFF"/>
          </w:tcPr>
          <w:p>
            <w:pPr>
              <w:spacing w:after="0"/>
              <w:rPr>
                <w:sz w:val="17"/>
                <w:szCs w:val="17"/>
                <w:color w:val="auto"/>
              </w:rPr>
            </w:pPr>
          </w:p>
        </w:tc>
        <w:tc>
          <w:tcPr>
            <w:tcW w:w="5640" w:type="dxa"/>
            <w:vAlign w:val="bottom"/>
            <w:gridSpan w:val="7"/>
            <w:shd w:val="clear" w:color="auto" w:fill="CCEEFF"/>
          </w:tcPr>
          <w:p>
            <w:pPr>
              <w:jc w:val="right"/>
              <w:spacing w:after="0" w:line="156" w:lineRule="exact"/>
              <w:rPr>
                <w:sz w:val="20"/>
                <w:szCs w:val="20"/>
                <w:color w:val="auto"/>
              </w:rPr>
            </w:pPr>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318"/>
        </w:trPr>
        <w:tc>
          <w:tcPr>
            <w:tcW w:w="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60" w:type="dxa"/>
            <w:vAlign w:val="bottom"/>
            <w:tcBorders>
              <w:top w:val="single" w:sz="8" w:color="CCEEFF"/>
            </w:tcBorders>
          </w:tcPr>
          <w:p>
            <w:pPr>
              <w:jc w:val="right"/>
              <w:ind w:right="1930"/>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490" w:right="479" w:bottom="1440" w:gutter="0" w:footer="0" w:header="0"/>
        </w:sectPr>
      </w:pPr>
    </w:p>
    <w:bookmarkStart w:id="183" w:name="page184"/>
    <w:bookmarkEnd w:id="183"/>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 Minimum Liquidity. Permit Liquidity as of the last of any calendar month to be less than $75,000,000.</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Amendments to Organization</w:t>
      </w:r>
      <w:r>
        <w:rPr>
          <w:rFonts w:ascii="Arial" w:cs="Arial" w:eastAsia="Arial" w:hAnsi="Arial"/>
          <w:sz w:val="18"/>
          <w:szCs w:val="18"/>
          <w:u w:val="single" w:color="auto"/>
          <w:color w:val="FF0000"/>
          <w:strike w:val="1"/>
        </w:rPr>
        <w: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xml:space="preserve"> </w:t>
      </w:r>
      <w:r>
        <w:rPr>
          <w:rFonts w:ascii="Arial" w:cs="Arial" w:eastAsia="Arial" w:hAnsi="Arial"/>
          <w:sz w:val="18"/>
          <w:szCs w:val="18"/>
          <w:color w:val="FF0000"/>
        </w:rPr>
        <w:t>and Adapt Purchase Agreement</w:t>
      </w:r>
      <w:r>
        <w:rPr>
          <w:rFonts w:ascii="Arial" w:cs="Arial" w:eastAsia="Arial" w:hAnsi="Arial"/>
          <w:sz w:val="18"/>
          <w:szCs w:val="18"/>
          <w:color w:val="auto"/>
        </w:rPr>
        <w:t xml:space="preserve">. Amend </w:t>
      </w:r>
      <w:r>
        <w:rPr>
          <w:rFonts w:ascii="Arial" w:cs="Arial" w:eastAsia="Arial" w:hAnsi="Arial"/>
          <w:sz w:val="18"/>
          <w:szCs w:val="18"/>
          <w:color w:val="FF0000"/>
          <w:strike w:val="1"/>
        </w:rPr>
        <w:t>(a)</w:t>
      </w:r>
      <w:r>
        <w:rPr>
          <w:rFonts w:ascii="Arial" w:cs="Arial" w:eastAsia="Arial" w:hAnsi="Arial"/>
          <w:sz w:val="18"/>
          <w:szCs w:val="18"/>
          <w:color w:val="auto"/>
        </w:rPr>
        <w:t xml:space="preserve"> any of its Organization Documents in a manner materially adverse to the interests of the Lenders </w:t>
      </w:r>
      <w:r>
        <w:rPr>
          <w:rFonts w:ascii="Arial" w:cs="Arial" w:eastAsia="Arial" w:hAnsi="Arial"/>
          <w:sz w:val="18"/>
          <w:szCs w:val="18"/>
          <w:color w:val="FF0000"/>
        </w:rPr>
        <w:t>or (b) the Adapt Purchase Agreement, other than any such amendments that are not materially</w:t>
      </w:r>
      <w:r>
        <w:rPr>
          <w:rFonts w:ascii="Arial" w:cs="Arial" w:eastAsia="Arial" w:hAnsi="Arial"/>
          <w:sz w:val="18"/>
          <w:szCs w:val="18"/>
          <w:color w:val="auto"/>
        </w:rPr>
        <w:t xml:space="preserve"> </w:t>
      </w:r>
      <w:r>
        <w:rPr>
          <w:rFonts w:ascii="Arial" w:cs="Arial" w:eastAsia="Arial" w:hAnsi="Arial"/>
          <w:sz w:val="18"/>
          <w:szCs w:val="18"/>
          <w:color w:val="FF0000"/>
          <w:strike w:val="1"/>
        </w:rPr>
        <w:t>adverse to the interests of the Administrative Agent or the Lenders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-311150</wp:posOffset>
            </wp:positionV>
            <wp:extent cx="14662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466215" cy="825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-362585</wp:posOffset>
            </wp:positionV>
            <wp:extent cx="14662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466215" cy="825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-225425</wp:posOffset>
            </wp:positionV>
            <wp:extent cx="43148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314825" cy="8255"/>
                    </a:xfrm>
                    <a:prstGeom prst="rect">
                      <a:avLst/>
                    </a:prstGeom>
                    <a:noFill/>
                  </pic:spPr>
                </pic:pic>
              </a:graphicData>
            </a:graphic>
          </wp:anchor>
        </w:drawing>
      </w:r>
    </w:p>
    <w:p>
      <w:pPr>
        <w:spacing w:after="0" w:line="16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Accounting Changes</w:t>
      </w:r>
      <w:r>
        <w:rPr>
          <w:rFonts w:ascii="Arial" w:cs="Arial" w:eastAsia="Arial" w:hAnsi="Arial"/>
          <w:sz w:val="18"/>
          <w:szCs w:val="18"/>
          <w:color w:val="auto"/>
        </w:rPr>
        <w:t>. Make any change in (a) accounting policies or reporting practices, except as required or permitted by GAAP or the SEC, or (b) fiscal year.</w:t>
      </w:r>
    </w:p>
    <w:p>
      <w:pPr>
        <w:spacing w:after="0" w:line="170"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Payments, Etc. of Indebtedness</w:t>
      </w:r>
      <w:r>
        <w:rPr>
          <w:rFonts w:ascii="Arial" w:cs="Arial" w:eastAsia="Arial" w:hAnsi="Arial"/>
          <w:sz w:val="18"/>
          <w:szCs w:val="18"/>
          <w:color w:val="auto"/>
        </w:rPr>
        <w:t xml:space="preserve">. Prepay, redeem, purchase, defease or otherwise satisfy prior to the scheduled maturity thereof in any manner, or make any payment in violation of any subordination terms of, any Subordinated Indebtedness permitted under </w:t>
      </w:r>
      <w:r>
        <w:rPr>
          <w:rFonts w:ascii="Arial" w:cs="Arial" w:eastAsia="Arial" w:hAnsi="Arial"/>
          <w:sz w:val="18"/>
          <w:szCs w:val="18"/>
          <w:u w:val="single" w:color="auto"/>
          <w:color w:val="auto"/>
        </w:rPr>
        <w:t>Sections 9.3(h)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9.3(d)</w:t>
      </w:r>
      <w:r>
        <w:rPr>
          <w:rFonts w:ascii="Arial" w:cs="Arial" w:eastAsia="Arial" w:hAnsi="Arial"/>
          <w:sz w:val="18"/>
          <w:szCs w:val="18"/>
          <w:color w:val="auto"/>
        </w:rPr>
        <w:t xml:space="preserve"> (to the extent constituting Guarantees of Indebtedness under </w:t>
      </w:r>
      <w:r>
        <w:rPr>
          <w:rFonts w:ascii="Arial" w:cs="Arial" w:eastAsia="Arial" w:hAnsi="Arial"/>
          <w:sz w:val="18"/>
          <w:szCs w:val="18"/>
          <w:u w:val="single" w:color="auto"/>
          <w:color w:val="auto"/>
        </w:rPr>
        <w:t>Section 9.3(h)</w:t>
      </w:r>
      <w:r>
        <w:rPr>
          <w:rFonts w:ascii="Arial" w:cs="Arial" w:eastAsia="Arial" w:hAnsi="Arial"/>
          <w:sz w:val="18"/>
          <w:szCs w:val="18"/>
          <w:color w:val="auto"/>
        </w:rPr>
        <w:t>)</w:t>
      </w:r>
      <w:r>
        <w:rPr>
          <w:rFonts w:ascii="Arial" w:cs="Arial" w:eastAsia="Arial" w:hAnsi="Arial"/>
          <w:sz w:val="18"/>
          <w:szCs w:val="18"/>
          <w:color w:val="FF0000"/>
          <w:strike w:val="1"/>
        </w:rPr>
        <w:t>, the Convertible Senior Notes</w:t>
      </w:r>
      <w:r>
        <w:rPr>
          <w:rFonts w:ascii="Arial" w:cs="Arial" w:eastAsia="Arial" w:hAnsi="Arial"/>
          <w:sz w:val="18"/>
          <w:szCs w:val="18"/>
          <w:color w:val="auto"/>
        </w:rPr>
        <w:t xml:space="preserve"> or the 2028 Senior Notes (such Indebtedness, “</w:t>
      </w:r>
      <w:r>
        <w:rPr>
          <w:rFonts w:ascii="Arial" w:cs="Arial" w:eastAsia="Arial" w:hAnsi="Arial"/>
          <w:sz w:val="18"/>
          <w:szCs w:val="18"/>
          <w:u w:val="single" w:color="auto"/>
          <w:color w:val="auto"/>
        </w:rPr>
        <w:t>Subject Indebtedness</w:t>
      </w:r>
      <w:r>
        <w:rPr>
          <w:rFonts w:ascii="Arial" w:cs="Arial" w:eastAsia="Arial" w:hAnsi="Arial"/>
          <w:sz w:val="18"/>
          <w:szCs w:val="18"/>
          <w:color w:val="auto"/>
        </w:rPr>
        <w:t>”), except:</w:t>
      </w:r>
    </w:p>
    <w:p>
      <w:pPr>
        <w:spacing w:after="0" w:line="79" w:lineRule="exact"/>
        <w:rPr>
          <w:sz w:val="20"/>
          <w:szCs w:val="20"/>
          <w:color w:val="auto"/>
        </w:rPr>
      </w:pPr>
    </w:p>
    <w:p>
      <w:pPr>
        <w:ind w:left="680" w:hanging="244"/>
        <w:spacing w:after="0"/>
        <w:tabs>
          <w:tab w:leader="none" w:pos="680" w:val="left"/>
        </w:tabs>
        <w:numPr>
          <w:ilvl w:val="0"/>
          <w:numId w:val="23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700" w:hanging="264"/>
        <w:spacing w:after="0"/>
        <w:tabs>
          <w:tab w:leader="none" w:pos="700" w:val="left"/>
        </w:tabs>
        <w:numPr>
          <w:ilvl w:val="0"/>
          <w:numId w:val="235"/>
        </w:numPr>
        <w:rPr>
          <w:rFonts w:ascii="Arial" w:cs="Arial" w:eastAsia="Arial" w:hAnsi="Arial"/>
          <w:sz w:val="18"/>
          <w:szCs w:val="18"/>
          <w:u w:val="single" w:color="auto"/>
          <w:color w:val="0000FF"/>
        </w:rPr>
      </w:pPr>
      <w:r>
        <w:rPr>
          <w:rFonts w:ascii="Arial" w:cs="Arial" w:eastAsia="Arial" w:hAnsi="Arial"/>
          <w:sz w:val="18"/>
          <w:szCs w:val="18"/>
          <w:u w:val="single" w:color="auto"/>
          <w:color w:val="008000"/>
        </w:rPr>
        <w:t>the Borrower may make payments permitted under Section 9.6(g);</w:t>
      </w:r>
    </w:p>
    <w:p>
      <w:pPr>
        <w:spacing w:after="0" w:line="117" w:lineRule="exact"/>
        <w:rPr>
          <w:rFonts w:ascii="Arial" w:cs="Arial" w:eastAsia="Arial" w:hAnsi="Arial"/>
          <w:sz w:val="18"/>
          <w:szCs w:val="18"/>
          <w:u w:val="single" w:color="auto"/>
          <w:color w:val="0000FF"/>
        </w:rPr>
      </w:pPr>
    </w:p>
    <w:p>
      <w:pPr>
        <w:ind w:right="60" w:firstLine="436"/>
        <w:spacing w:after="0" w:line="277" w:lineRule="auto"/>
        <w:tabs>
          <w:tab w:leader="none" w:pos="685" w:val="left"/>
        </w:tabs>
        <w:numPr>
          <w:ilvl w:val="0"/>
          <w:numId w:val="235"/>
        </w:numPr>
        <w:rPr>
          <w:rFonts w:ascii="Arial" w:cs="Arial" w:eastAsia="Arial" w:hAnsi="Arial"/>
          <w:sz w:val="18"/>
          <w:szCs w:val="18"/>
          <w:u w:val="single" w:color="auto"/>
          <w:color w:val="0000FF"/>
        </w:rPr>
      </w:pPr>
      <w:r>
        <w:rPr>
          <w:rFonts w:ascii="Arial" w:cs="Arial" w:eastAsia="Arial" w:hAnsi="Arial"/>
          <w:sz w:val="18"/>
          <w:szCs w:val="18"/>
          <w:color w:val="FF0000"/>
          <w:strike w:val="1"/>
        </w:rPr>
        <w:t>(a)</w:t>
      </w:r>
      <w:r>
        <w:rPr>
          <w:rFonts w:ascii="Arial" w:cs="Arial" w:eastAsia="Arial" w:hAnsi="Arial"/>
          <w:sz w:val="18"/>
          <w:szCs w:val="18"/>
          <w:color w:val="FF0000"/>
        </w:rPr>
        <w:t xml:space="preserve"> </w:t>
      </w:r>
      <w:r>
        <w:rPr>
          <w:rFonts w:ascii="Arial" w:cs="Arial" w:eastAsia="Arial" w:hAnsi="Arial"/>
          <w:sz w:val="18"/>
          <w:szCs w:val="18"/>
          <w:color w:val="000000"/>
        </w:rPr>
        <w:t>the Borrower may deliver Qualified Equity Interests of the Borrower to any holder of the</w:t>
      </w:r>
      <w:r>
        <w:rPr>
          <w:rFonts w:ascii="Arial" w:cs="Arial" w:eastAsia="Arial" w:hAnsi="Arial"/>
          <w:sz w:val="18"/>
          <w:szCs w:val="18"/>
          <w:color w:val="FF0000"/>
        </w:rPr>
        <w:t xml:space="preserve"> </w:t>
      </w:r>
      <w:r>
        <w:rPr>
          <w:rFonts w:ascii="Arial" w:cs="Arial" w:eastAsia="Arial" w:hAnsi="Arial"/>
          <w:sz w:val="18"/>
          <w:szCs w:val="18"/>
          <w:color w:val="FF0000"/>
          <w:strike w:val="1"/>
        </w:rPr>
        <w:t>Convertible</w:t>
      </w:r>
      <w:r>
        <w:rPr>
          <w:rFonts w:ascii="Arial" w:cs="Arial" w:eastAsia="Arial" w:hAnsi="Arial"/>
          <w:sz w:val="18"/>
          <w:szCs w:val="18"/>
          <w:u w:val="single" w:color="auto"/>
          <w:color w:val="0000FF"/>
        </w:rPr>
        <w:t>2028</w:t>
      </w:r>
      <w:r>
        <w:rPr>
          <w:rFonts w:ascii="Arial" w:cs="Arial" w:eastAsia="Arial" w:hAnsi="Arial"/>
          <w:sz w:val="18"/>
          <w:szCs w:val="18"/>
          <w:color w:val="FF0000"/>
        </w:rPr>
        <w:t xml:space="preserve"> </w:t>
      </w:r>
      <w:r>
        <w:rPr>
          <w:rFonts w:ascii="Arial" w:cs="Arial" w:eastAsia="Arial" w:hAnsi="Arial"/>
          <w:sz w:val="18"/>
          <w:szCs w:val="18"/>
          <w:color w:val="000000"/>
        </w:rPr>
        <w:t>Senior Notes in connection with</w:t>
      </w:r>
      <w:r>
        <w:rPr>
          <w:rFonts w:ascii="Arial" w:cs="Arial" w:eastAsia="Arial" w:hAnsi="Arial"/>
          <w:sz w:val="18"/>
          <w:szCs w:val="18"/>
          <w:color w:val="FF0000"/>
        </w:rPr>
        <w:t xml:space="preserve"> </w:t>
      </w:r>
      <w:r>
        <w:rPr>
          <w:rFonts w:ascii="Arial" w:cs="Arial" w:eastAsia="Arial" w:hAnsi="Arial"/>
          <w:sz w:val="18"/>
          <w:szCs w:val="18"/>
          <w:color w:val="000000"/>
        </w:rPr>
        <w:t xml:space="preserve">a conversion of such Indebtedness into Equity Interests </w:t>
      </w:r>
      <w:r>
        <w:rPr>
          <w:rFonts w:ascii="Arial" w:cs="Arial" w:eastAsia="Arial" w:hAnsi="Arial"/>
          <w:sz w:val="18"/>
          <w:szCs w:val="18"/>
          <w:color w:val="FF0000"/>
          <w:strike w:val="1"/>
        </w:rPr>
        <w:t>at</w:t>
      </w:r>
      <w:r>
        <w:rPr>
          <w:rFonts w:ascii="Arial" w:cs="Arial" w:eastAsia="Arial" w:hAnsi="Arial"/>
          <w:sz w:val="18"/>
          <w:szCs w:val="18"/>
          <w:u w:val="single" w:color="auto"/>
          <w:color w:val="0000FF"/>
        </w:rPr>
        <w:t>of</w:t>
      </w:r>
      <w:r>
        <w:rPr>
          <w:rFonts w:ascii="Arial" w:cs="Arial" w:eastAsia="Arial" w:hAnsi="Arial"/>
          <w:sz w:val="18"/>
          <w:szCs w:val="18"/>
          <w:color w:val="000000"/>
        </w:rPr>
        <w:t xml:space="preserve"> the </w:t>
      </w:r>
      <w:r>
        <w:rPr>
          <w:rFonts w:ascii="Arial" w:cs="Arial" w:eastAsia="Arial" w:hAnsi="Arial"/>
          <w:sz w:val="18"/>
          <w:szCs w:val="18"/>
          <w:color w:val="FF0000"/>
          <w:strike w:val="1"/>
        </w:rPr>
        <w:t>election of such holder</w:t>
      </w:r>
      <w:r>
        <w:rPr>
          <w:rFonts w:ascii="Arial" w:cs="Arial" w:eastAsia="Arial" w:hAnsi="Arial"/>
          <w:sz w:val="18"/>
          <w:szCs w:val="18"/>
          <w:u w:val="single" w:color="auto"/>
          <w:color w:val="0000FF"/>
        </w:rPr>
        <w:t>Borrower</w:t>
      </w:r>
      <w:r>
        <w:rPr>
          <w:rFonts w:ascii="Arial" w:cs="Arial" w:eastAsia="Arial" w:hAnsi="Arial"/>
          <w:sz w:val="18"/>
          <w:szCs w:val="18"/>
          <w:color w:val="000000"/>
        </w:rPr>
        <w:t>;</w:t>
      </w:r>
    </w:p>
    <w:p>
      <w:pPr>
        <w:spacing w:after="0" w:line="62" w:lineRule="exact"/>
        <w:rPr>
          <w:sz w:val="20"/>
          <w:szCs w:val="20"/>
          <w:color w:val="auto"/>
        </w:rPr>
      </w:pPr>
    </w:p>
    <w:p>
      <w:pPr>
        <w:ind w:left="700" w:hanging="264"/>
        <w:spacing w:after="0"/>
        <w:tabs>
          <w:tab w:leader="none" w:pos="700" w:val="left"/>
        </w:tabs>
        <w:numPr>
          <w:ilvl w:val="0"/>
          <w:numId w:val="236"/>
        </w:numPr>
        <w:rPr>
          <w:rFonts w:ascii="Arial" w:cs="Arial" w:eastAsia="Arial" w:hAnsi="Arial"/>
          <w:sz w:val="18"/>
          <w:szCs w:val="18"/>
          <w:color w:val="FF0000"/>
          <w:strike w:val="1"/>
        </w:rPr>
      </w:pPr>
      <w:r>
        <w:rPr>
          <w:rFonts w:ascii="Arial" w:cs="Arial" w:eastAsia="Arial" w:hAnsi="Arial"/>
          <w:sz w:val="18"/>
          <w:szCs w:val="18"/>
          <w:color w:val="008000"/>
          <w:strike w:val="1"/>
        </w:rPr>
        <w:t xml:space="preserve">the Borrower may make payments permitted under </w:t>
      </w:r>
      <w:r>
        <w:rPr>
          <w:rFonts w:ascii="Arial" w:cs="Arial" w:eastAsia="Arial" w:hAnsi="Arial"/>
          <w:sz w:val="18"/>
          <w:szCs w:val="18"/>
          <w:u w:val="single" w:color="auto"/>
          <w:color w:val="008000"/>
          <w:strike w:val="1"/>
        </w:rPr>
        <w:t>Section 9.6(g)</w:t>
      </w:r>
      <w:r>
        <w:rPr>
          <w:rFonts w:ascii="Arial" w:cs="Arial" w:eastAsia="Arial" w:hAnsi="Arial"/>
          <w:sz w:val="18"/>
          <w:szCs w:val="18"/>
          <w:color w:val="008000"/>
          <w:strike w:val="1"/>
        </w:rPr>
        <w:t>;</w:t>
      </w:r>
    </w:p>
    <w:p>
      <w:pPr>
        <w:spacing w:after="0" w:line="117" w:lineRule="exact"/>
        <w:rPr>
          <w:rFonts w:ascii="Arial" w:cs="Arial" w:eastAsia="Arial" w:hAnsi="Arial"/>
          <w:sz w:val="18"/>
          <w:szCs w:val="18"/>
          <w:color w:val="FF0000"/>
          <w:strike w:val="1"/>
        </w:rPr>
      </w:pPr>
    </w:p>
    <w:p>
      <w:pPr>
        <w:jc w:val="both"/>
        <w:ind w:right="180" w:firstLine="436"/>
        <w:spacing w:after="0" w:line="259" w:lineRule="auto"/>
        <w:tabs>
          <w:tab w:leader="none" w:pos="685" w:val="left"/>
        </w:tabs>
        <w:numPr>
          <w:ilvl w:val="0"/>
          <w:numId w:val="23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other than during the Limited Waiver Period, the Borrower may make payments, redemptions, purchases or defeasances of the Convertible Senior Notes and the 2028 Senior Notes so long as no Default or Event of Default shall have occurred and be continuing or would result therefrom; </w:t>
      </w:r>
      <w:r>
        <w:rPr>
          <w:rFonts w:ascii="Arial" w:cs="Arial" w:eastAsia="Arial" w:hAnsi="Arial"/>
          <w:sz w:val="18"/>
          <w:szCs w:val="18"/>
          <w:u w:val="single" w:color="auto"/>
          <w:color w:val="FF0000"/>
          <w:strike w:val="1"/>
        </w:rPr>
        <w:t xml:space="preserve">provided </w:t>
      </w:r>
      <w:r>
        <w:rPr>
          <w:rFonts w:ascii="Arial" w:cs="Arial" w:eastAsia="Arial" w:hAnsi="Arial"/>
          <w:sz w:val="18"/>
          <w:szCs w:val="18"/>
          <w:color w:val="FF0000"/>
          <w:strike w:val="1"/>
        </w:rPr>
        <w:t>that with respect to the 2028 Senior Notes such determination may be made at the time of the delivery of a notice thereof under the indenture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governing the 2028 Senior Notes;</w:t>
      </w:r>
    </w:p>
    <w:p>
      <w:pPr>
        <w:spacing w:after="0" w:line="78" w:lineRule="exact"/>
        <w:rPr>
          <w:rFonts w:ascii="Arial" w:cs="Arial" w:eastAsia="Arial" w:hAnsi="Arial"/>
          <w:sz w:val="18"/>
          <w:szCs w:val="18"/>
          <w:color w:val="FF0000"/>
          <w:strike w:val="1"/>
        </w:rPr>
      </w:pPr>
    </w:p>
    <w:p>
      <w:pPr>
        <w:ind w:firstLine="436"/>
        <w:spacing w:after="0" w:line="277"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Borrower and its Subsidiaries may make scheduled payments of interest, expenses and indemnities in respect of Subordinated Indebtedness to the extent not prohibited by any subordination provisions applicable thereto;</w:t>
      </w:r>
    </w:p>
    <w:p>
      <w:pPr>
        <w:spacing w:after="0" w:line="62" w:lineRule="exact"/>
        <w:rPr>
          <w:rFonts w:ascii="Arial" w:cs="Arial" w:eastAsia="Arial" w:hAnsi="Arial"/>
          <w:sz w:val="18"/>
          <w:szCs w:val="18"/>
          <w:color w:val="auto"/>
        </w:rPr>
      </w:pPr>
    </w:p>
    <w:p>
      <w:pPr>
        <w:ind w:right="140" w:firstLine="436"/>
        <w:spacing w:after="0" w:line="277" w:lineRule="auto"/>
        <w:tabs>
          <w:tab w:leader="none" w:pos="68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Borrower and any of its Subsidiaries may make any payments of any Subject Indebtedness in connection with any refinancing, refunding, renewals or extensions thereof permitted under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0"/>
          </w:cols>
          <w:pgMar w:left="440" w:top="490" w:right="459" w:bottom="1440" w:gutter="0" w:footer="0" w:header="0"/>
        </w:sectPr>
      </w:pPr>
    </w:p>
    <w:bookmarkStart w:id="184" w:name="page185"/>
    <w:bookmarkEnd w:id="184"/>
    <w:p>
      <w:pPr>
        <w:ind w:left="4" w:right="160" w:firstLine="436"/>
        <w:spacing w:after="0" w:line="275" w:lineRule="auto"/>
        <w:tabs>
          <w:tab w:leader="none" w:pos="669" w:val="left"/>
        </w:tabs>
        <w:numPr>
          <w:ilvl w:val="0"/>
          <w:numId w:val="237"/>
        </w:numPr>
        <w:rPr>
          <w:rFonts w:ascii="Arial" w:cs="Arial" w:eastAsia="Arial" w:hAnsi="Arial"/>
          <w:sz w:val="17"/>
          <w:szCs w:val="17"/>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other than during the Limited Waiver Period,</w:t>
      </w:r>
      <w:r>
        <w:rPr>
          <w:rFonts w:ascii="Arial" w:cs="Arial" w:eastAsia="Arial" w:hAnsi="Arial"/>
          <w:sz w:val="17"/>
          <w:szCs w:val="17"/>
          <w:color w:val="FF0000"/>
        </w:rPr>
        <w:t xml:space="preserve"> </w:t>
      </w:r>
      <w:r>
        <w:rPr>
          <w:rFonts w:ascii="Arial" w:cs="Arial" w:eastAsia="Arial" w:hAnsi="Arial"/>
          <w:sz w:val="17"/>
          <w:szCs w:val="17"/>
          <w:color w:val="000000"/>
        </w:rPr>
        <w:t>the Borrower</w:t>
      </w:r>
      <w:r>
        <w:rPr>
          <w:rFonts w:ascii="Arial" w:cs="Arial" w:eastAsia="Arial" w:hAnsi="Arial"/>
          <w:sz w:val="17"/>
          <w:szCs w:val="17"/>
          <w:color w:val="FF0000"/>
        </w:rPr>
        <w:t xml:space="preserve"> </w:t>
      </w:r>
      <w:r>
        <w:rPr>
          <w:rFonts w:ascii="Arial" w:cs="Arial" w:eastAsia="Arial" w:hAnsi="Arial"/>
          <w:sz w:val="17"/>
          <w:szCs w:val="17"/>
          <w:color w:val="FF0000"/>
          <w:strike w:val="1"/>
        </w:rPr>
        <w:t>may make payments, redemptions, purchases or defeasances of any Subject</w:t>
      </w:r>
      <w:r>
        <w:rPr>
          <w:rFonts w:ascii="Arial" w:cs="Arial" w:eastAsia="Arial" w:hAnsi="Arial"/>
          <w:sz w:val="17"/>
          <w:szCs w:val="17"/>
          <w:color w:val="FF0000"/>
        </w:rPr>
        <w:t xml:space="preserve"> </w:t>
      </w:r>
      <w:r>
        <w:rPr>
          <w:rFonts w:ascii="Arial" w:cs="Arial" w:eastAsia="Arial" w:hAnsi="Arial"/>
          <w:sz w:val="17"/>
          <w:szCs w:val="17"/>
          <w:color w:val="FF0000"/>
          <w:strike w:val="1"/>
        </w:rPr>
        <w:t xml:space="preserve">Indebtedness so long as (i) no Default or Event of Default shall then exist or will occur after giving effect to any payment in respect of such payment, redemption, purchase or defeasance and (ii) the Consolidated Net Leverage Ratio is less than 2.25 to 1.00 as of the last day of the most recently ended Measurement Period for which financial statements have been delivered pursuant to </w:t>
      </w:r>
      <w:r>
        <w:rPr>
          <w:rFonts w:ascii="Arial" w:cs="Arial" w:eastAsia="Arial" w:hAnsi="Arial"/>
          <w:sz w:val="17"/>
          <w:szCs w:val="17"/>
          <w:u w:val="single" w:color="auto"/>
          <w:color w:val="FF0000"/>
          <w:strike w:val="1"/>
        </w:rPr>
        <w:t>Section 8.1(a)</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(b)</w:t>
      </w:r>
      <w:r>
        <w:rPr>
          <w:rFonts w:ascii="Arial" w:cs="Arial" w:eastAsia="Arial" w:hAnsi="Arial"/>
          <w:sz w:val="17"/>
          <w:szCs w:val="17"/>
          <w:color w:val="FF0000"/>
          <w:strike w:val="1"/>
        </w:rPr>
        <w:t xml:space="preserve"> or </w:t>
      </w:r>
      <w:r>
        <w:rPr>
          <w:rFonts w:ascii="Arial" w:cs="Arial" w:eastAsia="Arial" w:hAnsi="Arial"/>
          <w:sz w:val="17"/>
          <w:szCs w:val="17"/>
          <w:u w:val="single" w:color="auto"/>
          <w:color w:val="FF0000"/>
          <w:strike w:val="1"/>
        </w:rPr>
        <w:t>(d)</w:t>
      </w:r>
      <w:r>
        <w:rPr>
          <w:rFonts w:ascii="Arial" w:cs="Arial" w:eastAsia="Arial" w:hAnsi="Arial"/>
          <w:sz w:val="17"/>
          <w:szCs w:val="17"/>
          <w:color w:val="FF0000"/>
          <w:strike w:val="1"/>
        </w:rPr>
        <w:t>;</w:t>
      </w:r>
      <w:r>
        <w:rPr>
          <w:rFonts w:ascii="Arial" w:cs="Arial" w:eastAsia="Arial" w:hAnsi="Arial"/>
          <w:sz w:val="17"/>
          <w:szCs w:val="17"/>
          <w:u w:val="single" w:color="auto"/>
          <w:color w:val="0000FF"/>
          <w:strike w:val="1"/>
        </w:rPr>
        <w:t>and its Subsidiaries may make scheduled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payments of interest in respect of the Junior Capital Raise solely to the extent permitted under Section 8.20;</w:t>
      </w:r>
    </w:p>
    <w:p>
      <w:pPr>
        <w:spacing w:after="0" w:line="68" w:lineRule="exact"/>
        <w:rPr>
          <w:rFonts w:ascii="Arial" w:cs="Arial" w:eastAsia="Arial" w:hAnsi="Arial"/>
          <w:sz w:val="17"/>
          <w:szCs w:val="17"/>
          <w:color w:val="auto"/>
        </w:rPr>
      </w:pPr>
    </w:p>
    <w:p>
      <w:pPr>
        <w:ind w:left="4" w:right="360" w:firstLine="436"/>
        <w:spacing w:after="0" w:line="277" w:lineRule="auto"/>
        <w:tabs>
          <w:tab w:leader="none" w:pos="69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Borrower and its Subsidiaries may make scheduled payments of interest and payments of expenses and indemnities with respect to the 2028 Senior Notes; and</w:t>
      </w:r>
    </w:p>
    <w:p>
      <w:pPr>
        <w:spacing w:after="0" w:line="62" w:lineRule="exact"/>
        <w:rPr>
          <w:rFonts w:ascii="Arial" w:cs="Arial" w:eastAsia="Arial" w:hAnsi="Arial"/>
          <w:sz w:val="18"/>
          <w:szCs w:val="18"/>
          <w:color w:val="auto"/>
        </w:rPr>
      </w:pPr>
    </w:p>
    <w:p>
      <w:pPr>
        <w:jc w:val="both"/>
        <w:ind w:left="4" w:right="260" w:firstLine="436"/>
        <w:spacing w:after="0" w:line="263" w:lineRule="auto"/>
        <w:tabs>
          <w:tab w:leader="none" w:pos="69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Borrower and any of its Subsidiaries may make any payments of any Subject Indebtedness in the minimum amount necessary to ensure that such Subject Indebtedness shall not constitute an “applicable high yield discount obligation” within the meaning of Section 163(i) of the Code or any successor provision.</w:t>
      </w:r>
    </w:p>
    <w:p>
      <w:pPr>
        <w:spacing w:after="0" w:line="18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Amendments, Etc. of Indebtedness</w:t>
      </w:r>
      <w:r>
        <w:rPr>
          <w:rFonts w:ascii="Arial" w:cs="Arial" w:eastAsia="Arial" w:hAnsi="Arial"/>
          <w:sz w:val="18"/>
          <w:szCs w:val="18"/>
          <w:color w:val="auto"/>
        </w:rPr>
        <w:t>. Amend, modify or change in any manner any term or condition of any Subject Indebtedness in any manner materially adverse to the interest of the Administrative Agent and the Lenders.</w:t>
      </w:r>
    </w:p>
    <w:p>
      <w:pPr>
        <w:spacing w:after="0" w:line="170"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Use of Proceeds</w:t>
      </w:r>
      <w:r>
        <w:rPr>
          <w:rFonts w:ascii="Arial" w:cs="Arial" w:eastAsia="Arial" w:hAnsi="Arial"/>
          <w:sz w:val="16"/>
          <w:szCs w:val="16"/>
          <w:color w:val="auto"/>
        </w:rPr>
        <w:t>. Directly or indirectly, use the proceeds of any Extension of Credit (a) in furtherance of an offer, payment, promise to pay, or authorization of the payment or giving of money, or anything else of value, to any Person in violation of any Anti-Corruption Laws,</w:t>
      </w:r>
    </w:p>
    <w:p>
      <w:pPr>
        <w:jc w:val="both"/>
        <w:ind w:left="4" w:right="340" w:hanging="4"/>
        <w:spacing w:after="0" w:line="281" w:lineRule="auto"/>
        <w:tabs>
          <w:tab w:leader="none" w:pos="25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for the purpose of funding, financing or facilitating any activities, business or transaction of or with any Sanctioned Person, or in any Sanctioned Country, except, in each case, to the extent licensed or otherwise approved or not prohibited by the applicable authority imposing such Sanctions, or</w:t>
      </w:r>
    </w:p>
    <w:p>
      <w:pPr>
        <w:spacing w:after="0" w:line="1" w:lineRule="exact"/>
        <w:rPr>
          <w:rFonts w:ascii="Arial" w:cs="Arial" w:eastAsia="Arial" w:hAnsi="Arial"/>
          <w:sz w:val="16"/>
          <w:szCs w:val="16"/>
          <w:color w:val="auto"/>
        </w:rPr>
      </w:pPr>
    </w:p>
    <w:p>
      <w:pPr>
        <w:ind w:left="244" w:hanging="244"/>
        <w:spacing w:after="0"/>
        <w:tabs>
          <w:tab w:leader="none" w:pos="24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any manner that would result in the violation of any Sanctions applicable to any party hereto.</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DEFAULT AND REMEDIES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shall constitute an Event of Default:</w:t>
      </w:r>
    </w:p>
    <w:p>
      <w:pPr>
        <w:spacing w:after="0" w:line="117" w:lineRule="exact"/>
        <w:rPr>
          <w:sz w:val="20"/>
          <w:szCs w:val="20"/>
          <w:color w:val="auto"/>
        </w:rPr>
      </w:pPr>
    </w:p>
    <w:p>
      <w:pPr>
        <w:jc w:val="both"/>
        <w:ind w:left="4" w:firstLine="436"/>
        <w:spacing w:after="0" w:line="259" w:lineRule="auto"/>
        <w:tabs>
          <w:tab w:leader="none" w:pos="689"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Credit Party fails to pay (i) when and as required to be paid herein, any amount of principal of any Loan or any L/C Obligation or deposit any funds as Cash Collateral in respect of L/C Obligations, or (ii) within five (5) Business Days after the same becomes due, any interest on any Loan or on any L/C Obligation, any fee due hereunder or any other amount payable hereunder or under any other Loan Document (excluding any fee in an amount of less than $2,000); or</w:t>
      </w:r>
    </w:p>
    <w:p>
      <w:pPr>
        <w:spacing w:after="0" w:line="78" w:lineRule="exact"/>
        <w:rPr>
          <w:rFonts w:ascii="Arial" w:cs="Arial" w:eastAsia="Arial" w:hAnsi="Arial"/>
          <w:sz w:val="18"/>
          <w:szCs w:val="18"/>
          <w:color w:val="auto"/>
        </w:rPr>
      </w:pPr>
    </w:p>
    <w:p>
      <w:pPr>
        <w:ind w:left="4" w:firstLine="436"/>
        <w:spacing w:after="0" w:line="296" w:lineRule="auto"/>
        <w:tabs>
          <w:tab w:leader="none" w:pos="699"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0000FF"/>
        </w:rPr>
        <w:t>Specific Covenants</w:t>
      </w:r>
      <w:r>
        <w:rPr>
          <w:rFonts w:ascii="Arial" w:cs="Arial" w:eastAsia="Arial" w:hAnsi="Arial"/>
          <w:sz w:val="16"/>
          <w:szCs w:val="16"/>
          <w:color w:val="000000"/>
        </w:rPr>
        <w:t>. The Borrower or any other Credit Party fails to perform or observe any term, covenant or agreement contained in any of</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8.2(a)</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8.3(a)</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8.5(a)</w:t>
      </w:r>
      <w:r>
        <w:rPr>
          <w:rFonts w:ascii="Arial" w:cs="Arial" w:eastAsia="Arial" w:hAnsi="Arial"/>
          <w:sz w:val="16"/>
          <w:szCs w:val="16"/>
          <w:color w:val="000000"/>
        </w:rPr>
        <w:t xml:space="preserve"> (with respect to the Credit Parties only), </w:t>
      </w:r>
      <w:r>
        <w:rPr>
          <w:rFonts w:ascii="Arial" w:cs="Arial" w:eastAsia="Arial" w:hAnsi="Arial"/>
          <w:sz w:val="16"/>
          <w:szCs w:val="16"/>
          <w:u w:val="single" w:color="auto"/>
          <w:color w:val="000000"/>
        </w:rPr>
        <w:t>8.10</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8.11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8.12</w:t>
      </w:r>
      <w:r>
        <w:rPr>
          <w:rFonts w:ascii="Arial" w:cs="Arial" w:eastAsia="Arial" w:hAnsi="Arial"/>
          <w:sz w:val="16"/>
          <w:szCs w:val="16"/>
          <w:color w:val="000000"/>
        </w:rPr>
        <w:t xml:space="preserve"> </w:t>
      </w:r>
      <w:r>
        <w:rPr>
          <w:rFonts w:ascii="Arial" w:cs="Arial" w:eastAsia="Arial" w:hAnsi="Arial"/>
          <w:sz w:val="16"/>
          <w:szCs w:val="16"/>
          <w:color w:val="FF0000"/>
        </w:rPr>
        <w:t>or</w:t>
      </w:r>
      <w:r>
        <w:rPr>
          <w:rFonts w:ascii="Arial" w:cs="Arial" w:eastAsia="Arial" w:hAnsi="Arial"/>
          <w:sz w:val="16"/>
          <w:szCs w:val="16"/>
          <w:u w:val="single" w:color="auto"/>
          <w:color w:val="0000FF"/>
        </w:rPr>
        <w:t>, 8.18 , 8.19, 8.20 or 8.21</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Article IX</w:t>
      </w:r>
      <w:r>
        <w:rPr>
          <w:rFonts w:ascii="Arial" w:cs="Arial" w:eastAsia="Arial" w:hAnsi="Arial"/>
          <w:sz w:val="16"/>
          <w:szCs w:val="16"/>
          <w:color w:val="000000"/>
        </w:rPr>
        <w:t xml:space="preserve">; </w:t>
      </w:r>
      <w:r>
        <w:rPr>
          <w:rFonts w:ascii="Arial" w:cs="Arial" w:eastAsia="Arial" w:hAnsi="Arial"/>
          <w:sz w:val="16"/>
          <w:szCs w:val="16"/>
          <w:color w:val="FF0000"/>
          <w:strike w:val="1"/>
        </w:rPr>
        <w:t>or</w:t>
      </w:r>
      <w:r>
        <w:rPr>
          <w:rFonts w:ascii="Arial" w:cs="Arial" w:eastAsia="Arial" w:hAnsi="Arial"/>
          <w:sz w:val="16"/>
          <w:szCs w:val="16"/>
          <w:u w:val="single" w:color="auto"/>
          <w:color w:val="0000FF"/>
        </w:rPr>
        <w:t>provided that,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notwithstanding anything to the contrary contained herein, with respect to the first two (2) occasions that a violation of Section 9.11(c) may occur during the period from the Fourth Amendment Effective Date through February 29, 2024, any such violation shall not constitute an Event of Default hereunder unless the Borrower fails to comply with such covenant for the Measurement Period immediately following such test period as well; or</w:t>
      </w:r>
    </w:p>
    <w:p>
      <w:pPr>
        <w:spacing w:after="0" w:line="53" w:lineRule="exact"/>
        <w:rPr>
          <w:rFonts w:ascii="Arial" w:cs="Arial" w:eastAsia="Arial" w:hAnsi="Arial"/>
          <w:sz w:val="16"/>
          <w:szCs w:val="16"/>
          <w:color w:val="auto"/>
        </w:rPr>
      </w:pPr>
    </w:p>
    <w:p>
      <w:pPr>
        <w:ind w:left="4" w:right="240" w:firstLine="436"/>
        <w:spacing w:after="0" w:line="342" w:lineRule="auto"/>
        <w:tabs>
          <w:tab w:leader="none" w:pos="689"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Other Defaults</w:t>
      </w:r>
      <w:r>
        <w:rPr>
          <w:rFonts w:ascii="Arial" w:cs="Arial" w:eastAsia="Arial" w:hAnsi="Arial"/>
          <w:sz w:val="16"/>
          <w:szCs w:val="16"/>
          <w:color w:val="auto"/>
        </w:rPr>
        <w:t>. Any Credit Party fails to perform or observe any other covenant or agreement (not specified in sub</w:t>
      </w:r>
      <w:r>
        <w:rPr>
          <w:rFonts w:ascii="Arial" w:cs="Arial" w:eastAsia="Arial" w:hAnsi="Arial"/>
          <w:sz w:val="16"/>
          <w:szCs w:val="16"/>
          <w:color w:val="FF0000"/>
          <w:strike w:val="1"/>
        </w:rPr>
        <w:t>S</w:t>
      </w:r>
      <w:r>
        <w:rPr>
          <w:rFonts w:ascii="Arial" w:cs="Arial" w:eastAsia="Arial" w:hAnsi="Arial"/>
          <w:sz w:val="16"/>
          <w:szCs w:val="16"/>
          <w:u w:val="single" w:color="auto"/>
          <w:color w:val="0000FF"/>
        </w:rPr>
        <w:t>s</w:t>
      </w:r>
      <w:r>
        <w:rPr>
          <w:rFonts w:ascii="Arial" w:cs="Arial" w:eastAsia="Arial" w:hAnsi="Arial"/>
          <w:sz w:val="16"/>
          <w:szCs w:val="16"/>
          <w:color w:val="auto"/>
        </w:rPr>
        <w:t>ection (a) or (b) above) contained in any Loan Document on its part to be performed or observed and such failure continues unremedied or unwaived for thirty (30) days;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-880745</wp:posOffset>
            </wp:positionV>
            <wp:extent cx="1193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spacing w:after="0" w:line="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04"/>
          </w:cols>
          <w:pgMar w:left="436" w:top="490" w:right="459" w:bottom="1440" w:gutter="0" w:footer="0" w:header="0"/>
        </w:sectPr>
      </w:pPr>
    </w:p>
    <w:bookmarkStart w:id="185" w:name="page186"/>
    <w:bookmarkEnd w:id="185"/>
    <w:p>
      <w:pPr>
        <w:ind w:left="4" w:right="200" w:firstLine="436"/>
        <w:spacing w:after="0" w:line="259" w:lineRule="auto"/>
        <w:tabs>
          <w:tab w:leader="none" w:pos="699"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Representations and Warranties</w:t>
      </w:r>
      <w:r>
        <w:rPr>
          <w:rFonts w:ascii="Arial" w:cs="Arial" w:eastAsia="Arial" w:hAnsi="Arial"/>
          <w:sz w:val="18"/>
          <w:szCs w:val="18"/>
          <w:color w:val="auto"/>
        </w:rPr>
        <w:t>. Any representation, warranty, certification or statement of fact made or deemed made by or on behalf of the Borrower or any other Credit Party herein or in any other Loan Document, or in any certificate furnished by it at any time under or in connection herewith or therewith shall be incorrect or misleading in any material respect (or in any respect if such representation and warranty is qualified by materiality or Material Adverse Effect) on or as of the date made or deemed made; or</w:t>
      </w:r>
    </w:p>
    <w:p>
      <w:pPr>
        <w:spacing w:after="0" w:line="78" w:lineRule="exact"/>
        <w:rPr>
          <w:rFonts w:ascii="Arial" w:cs="Arial" w:eastAsia="Arial" w:hAnsi="Arial"/>
          <w:sz w:val="18"/>
          <w:szCs w:val="18"/>
          <w:color w:val="auto"/>
        </w:rPr>
      </w:pPr>
    </w:p>
    <w:p>
      <w:pPr>
        <w:ind w:left="4" w:right="60" w:firstLine="436"/>
        <w:spacing w:after="0" w:line="286" w:lineRule="auto"/>
        <w:tabs>
          <w:tab w:leader="none" w:pos="689"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Credit Party or any Subsidiary thereof (A) fails to make any payment when due (whether by scheduled maturity, required prepayment, acceleration, demand, or otherwise), beyond any applicable grace periods, in respect of any Indebtedness or Guarantee (other than Indebtedness hereunder and Indebtedness under Hedge Agreements) having an aggregate principal amount (including undrawn committed or available amounts and including amounts owing to all creditors under any combined or syndicated credit arrangement) of more than the Threshold Amount, or</w:t>
      </w:r>
    </w:p>
    <w:p>
      <w:pPr>
        <w:spacing w:after="0" w:line="1" w:lineRule="exact"/>
        <w:rPr>
          <w:rFonts w:ascii="Arial" w:cs="Arial" w:eastAsia="Arial" w:hAnsi="Arial"/>
          <w:sz w:val="16"/>
          <w:szCs w:val="16"/>
          <w:color w:val="auto"/>
        </w:rPr>
      </w:pPr>
    </w:p>
    <w:p>
      <w:pPr>
        <w:ind w:left="4" w:hanging="4"/>
        <w:spacing w:after="0" w:line="267" w:lineRule="auto"/>
        <w:tabs>
          <w:tab w:leader="none" w:pos="289"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failure set forth in clauses (A) or clause (B) remains unremedied and is not waived by the holders or required holders of such Indebtedness prior to any termination of the Revolving Credit Commitments or acceleration of the Loans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or (ii) there occurs under any Hedge Agreement an Early Termination Date (as defined in such Hedge Agreement) resulting from (A) any event of default under such Hedge Agreement as to which a Credit Party or any Subsidiary thereof is the Defaulting Party (as defined in such Hedge Agreement) or (B) any Termination Event (as so defined) under such Hedge Agreement as to which a Credit Party or any Subsidiary thereof is an Affected Party (as so defined) and, in either event, the Swap Termination Value owed by such Credit Party or such Subsidiary as a result thereof is greater than the Threshold Amount and such occurrence remains unremedied or is not waived by the counterparty to such Hedge Agreement prior to any termination of the Revolving Credit Commitments or acceleration of the Loans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or</w:t>
      </w:r>
    </w:p>
    <w:p>
      <w:pPr>
        <w:spacing w:after="0" w:line="73" w:lineRule="exact"/>
        <w:rPr>
          <w:rFonts w:ascii="Arial" w:cs="Arial" w:eastAsia="Arial" w:hAnsi="Arial"/>
          <w:sz w:val="17"/>
          <w:szCs w:val="17"/>
          <w:color w:val="auto"/>
        </w:rPr>
      </w:pPr>
    </w:p>
    <w:p>
      <w:pPr>
        <w:ind w:left="4" w:firstLine="436"/>
        <w:spacing w:after="0" w:line="272" w:lineRule="auto"/>
        <w:tabs>
          <w:tab w:leader="none" w:pos="669" w:val="left"/>
        </w:tabs>
        <w:numPr>
          <w:ilvl w:val="1"/>
          <w:numId w:val="241"/>
        </w:numPr>
        <w:rPr>
          <w:rFonts w:ascii="Arial" w:cs="Arial" w:eastAsia="Arial" w:hAnsi="Arial"/>
          <w:sz w:val="17"/>
          <w:szCs w:val="17"/>
          <w:color w:val="auto"/>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Any Credit Party or any of its Subsidiaries (other than any Immaterial Subsidiary that is not a Credit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69" w:lineRule="exact"/>
        <w:rPr>
          <w:rFonts w:ascii="Arial" w:cs="Arial" w:eastAsia="Arial" w:hAnsi="Arial"/>
          <w:sz w:val="17"/>
          <w:szCs w:val="17"/>
          <w:color w:val="auto"/>
        </w:rPr>
      </w:pPr>
    </w:p>
    <w:p>
      <w:pPr>
        <w:ind w:left="4" w:right="20" w:firstLine="436"/>
        <w:spacing w:after="0" w:line="259" w:lineRule="auto"/>
        <w:tabs>
          <w:tab w:leader="none" w:pos="699"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Credit Party or any Subsidiary thereof (other than any Immaterial Subsidiary that is not a Credit Party)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forty-five (45) days after its issue or levy; or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4"/>
          </w:cols>
          <w:pgMar w:left="436" w:top="490" w:right="459" w:bottom="1440" w:gutter="0" w:footer="0" w:header="0"/>
        </w:sectPr>
      </w:pPr>
    </w:p>
    <w:bookmarkStart w:id="186" w:name="page187"/>
    <w:bookmarkEnd w:id="186"/>
    <w:p>
      <w:pPr>
        <w:ind w:left="704" w:hanging="264"/>
        <w:spacing w:after="0"/>
        <w:tabs>
          <w:tab w:leader="none" w:pos="704"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Judgments</w:t>
      </w:r>
      <w:r>
        <w:rPr>
          <w:rFonts w:ascii="Arial" w:cs="Arial" w:eastAsia="Arial" w:hAnsi="Arial"/>
          <w:sz w:val="16"/>
          <w:szCs w:val="16"/>
          <w:color w:val="auto"/>
        </w:rPr>
        <w:t>. There is entered against any Credit Party or any Subsidiary thereof (other than an Immaterial Subsidiary that is not a Credit Party)</w:t>
      </w:r>
    </w:p>
    <w:p>
      <w:pPr>
        <w:spacing w:after="0" w:line="46" w:lineRule="exact"/>
        <w:rPr>
          <w:rFonts w:ascii="Arial" w:cs="Arial" w:eastAsia="Arial" w:hAnsi="Arial"/>
          <w:sz w:val="16"/>
          <w:szCs w:val="16"/>
          <w:color w:val="auto"/>
        </w:rPr>
      </w:pPr>
    </w:p>
    <w:p>
      <w:pPr>
        <w:ind w:left="4" w:right="20" w:hanging="4"/>
        <w:spacing w:after="0" w:line="292" w:lineRule="auto"/>
        <w:tabs>
          <w:tab w:leader="none" w:pos="21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spacing w:after="0" w:line="54" w:lineRule="exact"/>
        <w:rPr>
          <w:rFonts w:ascii="Arial" w:cs="Arial" w:eastAsia="Arial" w:hAnsi="Arial"/>
          <w:sz w:val="16"/>
          <w:szCs w:val="16"/>
          <w:color w:val="auto"/>
        </w:rPr>
      </w:pPr>
    </w:p>
    <w:p>
      <w:pPr>
        <w:ind w:left="4" w:right="80" w:firstLine="436"/>
        <w:spacing w:after="0" w:line="257" w:lineRule="auto"/>
        <w:tabs>
          <w:tab w:leader="none" w:pos="659"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would reasonably be expected to result in liability of the Borrower under Title IV of ERISA to such Pension Plan, such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79" w:lineRule="exact"/>
        <w:rPr>
          <w:rFonts w:ascii="Arial" w:cs="Arial" w:eastAsia="Arial" w:hAnsi="Arial"/>
          <w:sz w:val="18"/>
          <w:szCs w:val="18"/>
          <w:color w:val="auto"/>
        </w:rPr>
      </w:pPr>
    </w:p>
    <w:p>
      <w:pPr>
        <w:ind w:left="4" w:right="40" w:firstLine="436"/>
        <w:spacing w:after="0" w:line="257" w:lineRule="auto"/>
        <w:tabs>
          <w:tab w:leader="none" w:pos="659"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provision of any Loan Document, at any time after its execution and delivery and for any reason other than as expressly permitted hereunder or thereunder or satisfaction in full of all the Obligations and the termination of the Commitments, ceases to be in full force and effect; or any Credit Party expressly contests the validity or enforceability of any provision of any Loan Document; or any Credit Party denies that it has any or further liability or obligation under any provision of any Loan Document, or purports to revoke, terminate or rescind any provision of any Loan Document; or</w:t>
      </w:r>
    </w:p>
    <w:p>
      <w:pPr>
        <w:spacing w:after="0" w:line="79" w:lineRule="exact"/>
        <w:rPr>
          <w:rFonts w:ascii="Arial" w:cs="Arial" w:eastAsia="Arial" w:hAnsi="Arial"/>
          <w:sz w:val="18"/>
          <w:szCs w:val="18"/>
          <w:color w:val="auto"/>
        </w:rPr>
      </w:pPr>
    </w:p>
    <w:p>
      <w:pPr>
        <w:ind w:left="704" w:hanging="264"/>
        <w:spacing w:after="0"/>
        <w:tabs>
          <w:tab w:leader="none" w:pos="704"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117" w:lineRule="exact"/>
        <w:rPr>
          <w:rFonts w:ascii="Arial" w:cs="Arial" w:eastAsia="Arial" w:hAnsi="Arial"/>
          <w:sz w:val="18"/>
          <w:szCs w:val="18"/>
          <w:color w:val="auto"/>
        </w:rPr>
      </w:pPr>
    </w:p>
    <w:p>
      <w:pPr>
        <w:ind w:left="4" w:right="60" w:firstLine="436"/>
        <w:spacing w:after="0" w:line="263" w:lineRule="auto"/>
        <w:tabs>
          <w:tab w:leader="none" w:pos="659"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8.12</w:t>
      </w:r>
      <w:r>
        <w:rPr>
          <w:rFonts w:ascii="Arial" w:cs="Arial" w:eastAsia="Arial" w:hAnsi="Arial"/>
          <w:sz w:val="18"/>
          <w:szCs w:val="18"/>
          <w:color w:val="auto"/>
        </w:rPr>
        <w:t xml:space="preserve"> shall for any reason (other than pursuant to the terms thereof) cease to create a valid and perfected first priority Lien (subject to Permitted Liens) on any material portion of the Collateral purported to be covered thereby; or</w:t>
      </w:r>
    </w:p>
    <w:p>
      <w:pPr>
        <w:spacing w:after="0" w:line="75" w:lineRule="exact"/>
        <w:rPr>
          <w:rFonts w:ascii="Arial" w:cs="Arial" w:eastAsia="Arial" w:hAnsi="Arial"/>
          <w:sz w:val="18"/>
          <w:szCs w:val="18"/>
          <w:color w:val="auto"/>
        </w:rPr>
      </w:pPr>
    </w:p>
    <w:p>
      <w:pPr>
        <w:ind w:left="4" w:firstLine="436"/>
        <w:spacing w:after="0" w:line="311" w:lineRule="auto"/>
        <w:tabs>
          <w:tab w:leader="none" w:pos="749"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Product Recall</w:t>
      </w:r>
      <w:r>
        <w:rPr>
          <w:rFonts w:ascii="Arial" w:cs="Arial" w:eastAsia="Arial" w:hAnsi="Arial"/>
          <w:sz w:val="16"/>
          <w:szCs w:val="16"/>
          <w:color w:val="auto"/>
        </w:rPr>
        <w:t>. Any mandatory product recall shall be required pursuant to any order or directive of any Governmental Authority affecting the products manufactured, sold or distributed by the Borrower or any of its Subsidiaries, if the aggregate sales price of the products so recalled shall, individually or together with all other similar recalls of such products during any twelve consecutive month period, equal or exceed $50,000,000; or</w:t>
      </w:r>
    </w:p>
    <w:p>
      <w:pPr>
        <w:spacing w:after="0" w:line="40" w:lineRule="exact"/>
        <w:rPr>
          <w:rFonts w:ascii="Arial" w:cs="Arial" w:eastAsia="Arial" w:hAnsi="Arial"/>
          <w:sz w:val="16"/>
          <w:szCs w:val="16"/>
          <w:color w:val="auto"/>
        </w:rPr>
      </w:pPr>
    </w:p>
    <w:p>
      <w:pPr>
        <w:ind w:left="4" w:firstLine="436"/>
        <w:spacing w:after="0" w:line="269" w:lineRule="auto"/>
        <w:tabs>
          <w:tab w:leader="none" w:pos="699"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BioThrax/AV7909</w:t>
      </w:r>
      <w:r>
        <w:rPr>
          <w:rFonts w:ascii="Arial" w:cs="Arial" w:eastAsia="Arial" w:hAnsi="Arial"/>
          <w:sz w:val="17"/>
          <w:szCs w:val="17"/>
          <w:color w:val="auto"/>
        </w:rPr>
        <w:t xml:space="preserve">. The termination or expiration of, or the receipt of any notice by the Borrower or any Subsidiary to terminate, any Material Contract of the Borrower or any Subsidiary for the sale of BioThrax or AV7909 to any Governmental Authority of the Federal Government of the United States, to the extent a reasonably suitable replacement contract (in the reasonable judgment of the Borrower in good faith) with a Governmental Authority is not entered into by the Borrower or such Subsidiary within thirty (30) days after such termination or expiration of, or receipt of notice to terminate, such Material Contract or, if on the termination of such 30-day period, the parties to such Material Contract are engaging in active negotiations to extend or replace such Material Contract (as determined by the Borrower in good faith), within ninety (90) days after such termination or expiration of, or receipt of notice to terminate, such Material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AV7909 shall be deemed to be a reasonably suitable replacement for BioThrax to the extent that AV7909 has either obtained (x) full FDA approval or (y) FDA emergency use authorization pursuant to Section 564 of the FFDCA;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Event of Default under this </w:t>
      </w:r>
      <w:r>
        <w:rPr>
          <w:rFonts w:ascii="Arial" w:cs="Arial" w:eastAsia="Arial" w:hAnsi="Arial"/>
          <w:sz w:val="17"/>
          <w:szCs w:val="17"/>
          <w:u w:val="single" w:color="auto"/>
          <w:color w:val="auto"/>
        </w:rPr>
        <w:t>Section 10.1(n)</w:t>
      </w:r>
      <w:r>
        <w:rPr>
          <w:rFonts w:ascii="Arial" w:cs="Arial" w:eastAsia="Arial" w:hAnsi="Arial"/>
          <w:sz w:val="17"/>
          <w:szCs w:val="17"/>
          <w:color w:val="auto"/>
        </w:rPr>
        <w:t xml:space="preserve"> shall be deemed to have occurred to the extent that the Borrower is in compliance with the financial covenants set forth in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as of the last day of the most recently ended Measurement Period prior to such termination or expiration for which financial statements have been delivered pursuant</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4"/>
          </w:cols>
          <w:pgMar w:left="436" w:top="490" w:right="459" w:bottom="1440" w:gutter="0" w:footer="0" w:header="0"/>
        </w:sectPr>
      </w:pPr>
    </w:p>
    <w:bookmarkStart w:id="187" w:name="page188"/>
    <w:bookmarkEnd w:id="187"/>
    <w:p>
      <w:pPr>
        <w:ind w:left="4"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(b) </w:t>
      </w:r>
      <w:r>
        <w:rPr>
          <w:rFonts w:ascii="Arial" w:cs="Arial" w:eastAsia="Arial" w:hAnsi="Arial"/>
          <w:sz w:val="16"/>
          <w:szCs w:val="16"/>
          <w:color w:val="0000FF"/>
        </w:rPr>
        <w:t>or (d)</w:t>
      </w:r>
      <w:r>
        <w:rPr>
          <w:rFonts w:ascii="Arial" w:cs="Arial" w:eastAsia="Arial" w:hAnsi="Arial"/>
          <w:sz w:val="16"/>
          <w:szCs w:val="16"/>
          <w:color w:val="auto"/>
        </w:rPr>
        <w:t>, after giving pro forma effect, as if such termination or expiration occurred on the first day of such Measurement Period, to the loss of Consolidated EBITDA attributable to such terminated or expired Material Contract(s), including income statement items attributable to such Material Contract or the products subject thereto, as determined by the Borrower in good faith and believed by the Borrower to be reasonable;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-384175</wp:posOffset>
            </wp:positionV>
            <wp:extent cx="1193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-332740</wp:posOffset>
            </wp:positionV>
            <wp:extent cx="44831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48310" cy="34290"/>
                    </a:xfrm>
                    <a:prstGeom prst="rect">
                      <a:avLst/>
                    </a:prstGeom>
                    <a:noFill/>
                  </pic:spPr>
                </pic:pic>
              </a:graphicData>
            </a:graphic>
          </wp:anchor>
        </w:drawing>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u w:val="single" w:color="auto"/>
          <w:color w:val="auto"/>
        </w:rPr>
        <w:t>Subordination</w:t>
      </w:r>
      <w:r>
        <w:rPr>
          <w:rFonts w:ascii="Arial" w:cs="Arial" w:eastAsia="Arial" w:hAnsi="Arial"/>
          <w:sz w:val="18"/>
          <w:szCs w:val="18"/>
          <w:color w:val="auto"/>
        </w:rPr>
        <w:t>. (i) The subordination provisions of the documents evidencing or governing any Subordinated Indebtedness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w:t>
      </w:r>
      <w:r>
        <w:rPr>
          <w:rFonts w:ascii="Arial" w:cs="Arial" w:eastAsia="Arial" w:hAnsi="Arial"/>
          <w:sz w:val="16"/>
          <w:szCs w:val="16"/>
          <w:u w:val="single" w:color="auto"/>
          <w:color w:val="FF0000"/>
          <w:strike w:val="1"/>
        </w:rPr>
        <w:t>ed</w:t>
      </w:r>
      <w:r>
        <w:rPr>
          <w:rFonts w:ascii="Arial" w:cs="Arial" w:eastAsia="Arial" w:hAnsi="Arial"/>
          <w:sz w:val="16"/>
          <w:szCs w:val="16"/>
          <w:u w:val="single" w:color="auto"/>
          <w:color w:val="0000FF"/>
        </w:rPr>
        <w: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Provisions</w:t>
      </w:r>
      <w:r>
        <w:rPr>
          <w:rFonts w:ascii="Arial" w:cs="Arial" w:eastAsia="Arial" w:hAnsi="Arial"/>
          <w:sz w:val="16"/>
          <w:szCs w:val="16"/>
          <w:color w:val="auto"/>
        </w:rPr>
        <w:t>”) shall, in whole or in part, terminate, cease to be effective or cease to be legally valid, binding and enforceable against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holder of the applicable Subordinated Indebtedness; or (ii) the Borrower or any other Credit Party shall expressly disavow or contest in any manner</w:t>
      </w:r>
    </w:p>
    <w:p>
      <w:pPr>
        <w:spacing w:after="0" w:line="32" w:lineRule="exact"/>
        <w:rPr>
          <w:sz w:val="20"/>
          <w:szCs w:val="20"/>
          <w:color w:val="auto"/>
        </w:rPr>
      </w:pPr>
    </w:p>
    <w:p>
      <w:pPr>
        <w:ind w:left="4" w:right="100" w:hanging="4"/>
        <w:spacing w:after="0" w:line="253" w:lineRule="auto"/>
        <w:tabs>
          <w:tab w:leader="none" w:pos="29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the effectiveness, validity or enforceability of any of the Subordination Provisions, (B) that the Subordination Provisions exist for the benefit of the Administrative Agent, the Lenders and the </w:t>
      </w:r>
      <w:r>
        <w:rPr>
          <w:rFonts w:ascii="Arial" w:cs="Arial" w:eastAsia="Arial" w:hAnsi="Arial"/>
          <w:sz w:val="18"/>
          <w:szCs w:val="18"/>
          <w:color w:val="FF0000"/>
          <w:strike w:val="1"/>
        </w:rPr>
        <w:t>Issuer</w:t>
      </w:r>
      <w:r>
        <w:rPr>
          <w:rFonts w:ascii="Arial" w:cs="Arial" w:eastAsia="Arial" w:hAnsi="Arial"/>
          <w:sz w:val="18"/>
          <w:szCs w:val="18"/>
          <w:u w:val="single" w:color="auto"/>
          <w:color w:val="0000FF"/>
        </w:rPr>
        <w:t>Issuing Lenders</w:t>
      </w:r>
      <w:r>
        <w:rPr>
          <w:rFonts w:ascii="Arial" w:cs="Arial" w:eastAsia="Arial" w:hAnsi="Arial"/>
          <w:sz w:val="18"/>
          <w:szCs w:val="18"/>
          <w:color w:val="auto"/>
        </w:rPr>
        <w:t xml:space="preserve"> or (C) that all payments of principal of or premium and interest on the applicable Subordinated Indebtedness, or realized from the liquidation of any property of any Credit Party, shall be subject to any of the Subordination Provisions</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or</w:t>
      </w:r>
      <w:r>
        <w:rPr>
          <w:rFonts w:ascii="Arial" w:cs="Arial" w:eastAsia="Arial" w:hAnsi="Arial"/>
          <w:sz w:val="18"/>
          <w:szCs w:val="18"/>
          <w:u w:val="single" w:color="auto"/>
          <w:color w:val="0000FF"/>
          <w:strike w:val="1"/>
        </w:rPr>
        <w:t>.</w:t>
      </w:r>
    </w:p>
    <w:p>
      <w:pPr>
        <w:spacing w:after="0" w:line="84" w:lineRule="exact"/>
        <w:rPr>
          <w:rFonts w:ascii="Arial" w:cs="Arial" w:eastAsia="Arial" w:hAnsi="Arial"/>
          <w:sz w:val="18"/>
          <w:szCs w:val="18"/>
          <w:color w:val="auto"/>
        </w:rPr>
      </w:pPr>
    </w:p>
    <w:p>
      <w:pPr>
        <w:ind w:left="704" w:hanging="264"/>
        <w:spacing w:after="0"/>
        <w:tabs>
          <w:tab w:leader="none" w:pos="704" w:val="left"/>
        </w:tabs>
        <w:numPr>
          <w:ilvl w:val="1"/>
          <w:numId w:val="244"/>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and during the continuance of an Event of Default, with the consent of the Required Lenders,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 may, or upon the request of the Required Lenders, the Administrative Agent shall, by notice to the Borrower:</w:t>
      </w:r>
    </w:p>
    <w:p>
      <w:pPr>
        <w:spacing w:after="0" w:line="103" w:lineRule="exact"/>
        <w:rPr>
          <w:sz w:val="20"/>
          <w:szCs w:val="20"/>
          <w:color w:val="auto"/>
        </w:rPr>
      </w:pPr>
    </w:p>
    <w:p>
      <w:pPr>
        <w:ind w:left="4" w:right="20" w:firstLine="436"/>
        <w:spacing w:after="0" w:line="288" w:lineRule="auto"/>
        <w:tabs>
          <w:tab w:leader="none" w:pos="679"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Acceleration; Termination of Credit Facility</w:t>
      </w:r>
      <w:r>
        <w:rPr>
          <w:rFonts w:ascii="Arial" w:cs="Arial" w:eastAsia="Arial" w:hAnsi="Arial"/>
          <w:sz w:val="16"/>
          <w:szCs w:val="16"/>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 to request borrowings or Letters of Credit thereunder; provided, that upon the occurrence of an Event of Default specified in </w:t>
      </w:r>
      <w:r>
        <w:rPr>
          <w:rFonts w:ascii="Arial" w:cs="Arial" w:eastAsia="Arial" w:hAnsi="Arial"/>
          <w:sz w:val="16"/>
          <w:szCs w:val="16"/>
          <w:u w:val="single" w:color="auto"/>
          <w:color w:val="auto"/>
        </w:rPr>
        <w:t>Section 10.1(f)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60" w:lineRule="exact"/>
        <w:rPr>
          <w:rFonts w:ascii="Arial" w:cs="Arial" w:eastAsia="Arial" w:hAnsi="Arial"/>
          <w:sz w:val="16"/>
          <w:szCs w:val="16"/>
          <w:color w:val="auto"/>
        </w:rPr>
      </w:pPr>
    </w:p>
    <w:p>
      <w:pPr>
        <w:ind w:left="4" w:right="60" w:firstLine="436"/>
        <w:spacing w:after="0" w:line="254" w:lineRule="auto"/>
        <w:tabs>
          <w:tab w:leader="none" w:pos="699"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With respect to all Letters of Credit with respect to which presentment for honor shall not have occurred at the time of an acceleration pursuant to the preceding paragraph, </w:t>
      </w:r>
      <w:r>
        <w:rPr>
          <w:rFonts w:ascii="Arial" w:cs="Arial" w:eastAsia="Arial" w:hAnsi="Arial"/>
          <w:sz w:val="18"/>
          <w:szCs w:val="18"/>
          <w:u w:val="single" w:color="auto"/>
          <w:color w:val="0000FF"/>
        </w:rPr>
        <w:t>demand that</w:t>
      </w:r>
      <w:r>
        <w:rPr>
          <w:rFonts w:ascii="Arial" w:cs="Arial" w:eastAsia="Arial" w:hAnsi="Arial"/>
          <w:sz w:val="18"/>
          <w:szCs w:val="18"/>
          <w:color w:val="auto"/>
        </w:rPr>
        <w:t xml:space="preserve"> the Borrower shall at such time deposit in a Cash Collateral account opened by the Administrative Agent an amount equal to the Minimum Collateral Amount of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4"/>
          </w:cols>
          <w:pgMar w:left="436" w:top="490" w:right="459" w:bottom="1440" w:gutter="0" w:footer="0" w:header="0"/>
        </w:sectPr>
      </w:pPr>
    </w:p>
    <w:bookmarkStart w:id="188" w:name="page189"/>
    <w:bookmarkEnd w:id="188"/>
    <w:p>
      <w:pPr>
        <w:ind w:right="700" w:firstLine="436"/>
        <w:spacing w:after="0" w:line="277" w:lineRule="auto"/>
        <w:tabs>
          <w:tab w:leader="none" w:pos="685"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General Remedies</w:t>
      </w:r>
      <w:r>
        <w:rPr>
          <w:rFonts w:ascii="Arial" w:cs="Arial" w:eastAsia="Arial" w:hAnsi="Arial"/>
          <w:sz w:val="18"/>
          <w:szCs w:val="18"/>
          <w:color w:val="auto"/>
        </w:rPr>
        <w:t>. Exercise on behalf of the Secured Parties all of its other rights and remedies under this Agreement, the other Loan Documents and Applicable Law, in order to satisfy all of the Secured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Rights and Remedies Cumulative; Non-Waiver; etc.</w:t>
      </w:r>
    </w:p>
    <w:p>
      <w:pPr>
        <w:spacing w:after="0" w:line="117" w:lineRule="exact"/>
        <w:rPr>
          <w:sz w:val="20"/>
          <w:szCs w:val="20"/>
          <w:color w:val="auto"/>
        </w:rPr>
      </w:pPr>
    </w:p>
    <w:p>
      <w:pPr>
        <w:ind w:right="100" w:firstLine="436"/>
        <w:spacing w:after="0" w:line="270" w:lineRule="auto"/>
        <w:tabs>
          <w:tab w:leader="none" w:pos="68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72" w:lineRule="exact"/>
        <w:rPr>
          <w:rFonts w:ascii="Arial" w:cs="Arial" w:eastAsia="Arial" w:hAnsi="Arial"/>
          <w:sz w:val="17"/>
          <w:szCs w:val="17"/>
          <w:color w:val="auto"/>
        </w:rPr>
      </w:pPr>
    </w:p>
    <w:p>
      <w:pPr>
        <w:ind w:firstLine="436"/>
        <w:spacing w:after="0" w:line="268" w:lineRule="auto"/>
        <w:tabs>
          <w:tab w:leader="none" w:pos="69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for the benefit of all the Lenders and the Issuing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w:t>
      </w:r>
      <w:r>
        <w:rPr>
          <w:rFonts w:ascii="Arial" w:cs="Arial" w:eastAsia="Arial" w:hAnsi="Arial"/>
          <w:sz w:val="17"/>
          <w:szCs w:val="17"/>
          <w:color w:val="FF0000"/>
          <w:strike w:val="1"/>
        </w:rPr>
        <w:t>a</w:t>
      </w:r>
      <w:r>
        <w:rPr>
          <w:rFonts w:ascii="Arial" w:cs="Arial" w:eastAsia="Arial" w:hAnsi="Arial"/>
          <w:sz w:val="17"/>
          <w:szCs w:val="17"/>
          <w:u w:val="single" w:color="auto"/>
          <w:color w:val="0000FF"/>
        </w:rPr>
        <w:t>i</w:t>
      </w:r>
      <w:r>
        <w:rPr>
          <w:rFonts w:ascii="Arial" w:cs="Arial" w:eastAsia="Arial" w:hAnsi="Arial"/>
          <w:sz w:val="17"/>
          <w:szCs w:val="17"/>
          <w:color w:val="auto"/>
        </w:rPr>
        <w:t>) the Administrative Agent from exercising on its own behalf the rights and remedies that inure to its benefit (solely in its capacity as Administrative Agent) hereunder and under the other Loan Documents, (</w:t>
      </w:r>
      <w:r>
        <w:rPr>
          <w:rFonts w:ascii="Arial" w:cs="Arial" w:eastAsia="Arial" w:hAnsi="Arial"/>
          <w:sz w:val="17"/>
          <w:szCs w:val="17"/>
          <w:color w:val="FF0000"/>
          <w:strike w:val="1"/>
        </w:rPr>
        <w:t>b</w:t>
      </w:r>
      <w:r>
        <w:rPr>
          <w:rFonts w:ascii="Arial" w:cs="Arial" w:eastAsia="Arial" w:hAnsi="Arial"/>
          <w:sz w:val="17"/>
          <w:szCs w:val="17"/>
          <w:u w:val="single" w:color="auto"/>
          <w:color w:val="0000FF"/>
        </w:rPr>
        <w:t>ii</w:t>
      </w:r>
      <w:r>
        <w:rPr>
          <w:rFonts w:ascii="Arial" w:cs="Arial" w:eastAsia="Arial" w:hAnsi="Arial"/>
          <w:sz w:val="17"/>
          <w:szCs w:val="17"/>
          <w:color w:val="auto"/>
        </w:rPr>
        <w:t xml:space="preserve"> ) any Issuing Lender or the Swingline Lender from exercising the rights and remedies that inure to its benefit (solely in its capacity as an Issuing Lender or Swingline Lender, as the case may be) hereunder and under the other Loan Documents, (</w:t>
      </w:r>
      <w:r>
        <w:rPr>
          <w:rFonts w:ascii="Arial" w:cs="Arial" w:eastAsia="Arial" w:hAnsi="Arial"/>
          <w:sz w:val="17"/>
          <w:szCs w:val="17"/>
          <w:color w:val="FF0000"/>
          <w:strike w:val="1"/>
        </w:rPr>
        <w:t>c</w:t>
      </w:r>
      <w:r>
        <w:rPr>
          <w:rFonts w:ascii="Arial" w:cs="Arial" w:eastAsia="Arial" w:hAnsi="Arial"/>
          <w:sz w:val="17"/>
          <w:szCs w:val="17"/>
          <w:u w:val="single" w:color="auto"/>
          <w:color w:val="0000FF"/>
        </w:rPr>
        <w:t>iii</w:t>
      </w:r>
      <w:r>
        <w:rPr>
          <w:rFonts w:ascii="Arial" w:cs="Arial" w:eastAsia="Arial" w:hAnsi="Arial"/>
          <w:sz w:val="17"/>
          <w:szCs w:val="17"/>
          <w:color w:val="auto"/>
        </w:rPr>
        <w:t xml:space="preserve"> ) any Lender from exercising setoff rights in accordance with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5.6</w:t>
      </w:r>
      <w:r>
        <w:rPr>
          <w:rFonts w:ascii="Arial" w:cs="Arial" w:eastAsia="Arial" w:hAnsi="Arial"/>
          <w:sz w:val="17"/>
          <w:szCs w:val="17"/>
          <w:color w:val="auto"/>
        </w:rPr>
        <w:t>), or (</w:t>
      </w:r>
      <w:r>
        <w:rPr>
          <w:rFonts w:ascii="Arial" w:cs="Arial" w:eastAsia="Arial" w:hAnsi="Arial"/>
          <w:sz w:val="17"/>
          <w:szCs w:val="17"/>
          <w:color w:val="FF0000"/>
          <w:strike w:val="1"/>
        </w:rPr>
        <w:t>d</w:t>
      </w:r>
      <w:r>
        <w:rPr>
          <w:rFonts w:ascii="Arial" w:cs="Arial" w:eastAsia="Arial" w:hAnsi="Arial"/>
          <w:sz w:val="17"/>
          <w:szCs w:val="17"/>
          <w:u w:val="single" w:color="auto"/>
          <w:color w:val="0000FF"/>
        </w:rPr>
        <w:t>iv</w:t>
      </w:r>
      <w:r>
        <w:rPr>
          <w:rFonts w:ascii="Arial" w:cs="Arial" w:eastAsia="Arial" w:hAnsi="Arial"/>
          <w:sz w:val="17"/>
          <w:szCs w:val="17"/>
          <w:color w:val="auto"/>
        </w:rPr>
        <w:t xml:space="preserve">) any Lender from filing proofs of claim or appearing and filing pleadings on its own behalf during the pendency of a proceeding relative to any Credit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at any time there is no Person acting as Administrative Agent hereunder and under the other Loan Documents, then (</w:t>
      </w:r>
      <w:r>
        <w:rPr>
          <w:rFonts w:ascii="Arial" w:cs="Arial" w:eastAsia="Arial" w:hAnsi="Arial"/>
          <w:sz w:val="17"/>
          <w:szCs w:val="17"/>
          <w:color w:val="FF0000"/>
          <w:strike w:val="1"/>
        </w:rPr>
        <w:t>i</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the Required Lenders shall have the rights otherwise ascribed to the Administrative Agent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w:t>
      </w:r>
      <w:r>
        <w:rPr>
          <w:rFonts w:ascii="Arial" w:cs="Arial" w:eastAsia="Arial" w:hAnsi="Arial"/>
          <w:sz w:val="17"/>
          <w:szCs w:val="17"/>
          <w:color w:val="FF0000"/>
          <w:strike w:val="1"/>
        </w:rPr>
        <w:t>ii</w:t>
      </w:r>
      <w:r>
        <w:rPr>
          <w:rFonts w:ascii="Arial" w:cs="Arial" w:eastAsia="Arial" w:hAnsi="Arial"/>
          <w:sz w:val="17"/>
          <w:szCs w:val="17"/>
          <w:u w:val="single" w:color="auto"/>
          <w:color w:val="0000FF"/>
        </w:rPr>
        <w:t>B</w:t>
      </w:r>
      <w:r>
        <w:rPr>
          <w:rFonts w:ascii="Arial" w:cs="Arial" w:eastAsia="Arial" w:hAnsi="Arial"/>
          <w:sz w:val="17"/>
          <w:szCs w:val="17"/>
          <w:color w:val="auto"/>
        </w:rPr>
        <w:t xml:space="preserve"> ) in addition to the matters set forth in clauses (</w:t>
      </w:r>
      <w:r>
        <w:rPr>
          <w:rFonts w:ascii="Arial" w:cs="Arial" w:eastAsia="Arial" w:hAnsi="Arial"/>
          <w:sz w:val="17"/>
          <w:szCs w:val="17"/>
          <w:color w:val="FF0000"/>
          <w:strike w:val="1"/>
        </w:rPr>
        <w:t>b</w:t>
      </w:r>
      <w:r>
        <w:rPr>
          <w:rFonts w:ascii="Arial" w:cs="Arial" w:eastAsia="Arial" w:hAnsi="Arial"/>
          <w:sz w:val="17"/>
          <w:szCs w:val="17"/>
          <w:u w:val="single" w:color="auto"/>
          <w:color w:val="0000FF"/>
        </w:rPr>
        <w:t>ii</w:t>
      </w:r>
      <w:r>
        <w:rPr>
          <w:rFonts w:ascii="Arial" w:cs="Arial" w:eastAsia="Arial" w:hAnsi="Arial"/>
          <w:sz w:val="17"/>
          <w:szCs w:val="17"/>
          <w:color w:val="auto"/>
        </w:rPr>
        <w:t>), (</w:t>
      </w:r>
      <w:r>
        <w:rPr>
          <w:rFonts w:ascii="Arial" w:cs="Arial" w:eastAsia="Arial" w:hAnsi="Arial"/>
          <w:sz w:val="17"/>
          <w:szCs w:val="17"/>
          <w:color w:val="FF0000"/>
          <w:strike w:val="1"/>
        </w:rPr>
        <w:t>c</w:t>
      </w:r>
      <w:r>
        <w:rPr>
          <w:rFonts w:ascii="Arial" w:cs="Arial" w:eastAsia="Arial" w:hAnsi="Arial"/>
          <w:sz w:val="17"/>
          <w:szCs w:val="17"/>
          <w:u w:val="single" w:color="auto"/>
          <w:color w:val="0000FF"/>
        </w:rPr>
        <w:t>iii</w:t>
      </w:r>
      <w:r>
        <w:rPr>
          <w:rFonts w:ascii="Arial" w:cs="Arial" w:eastAsia="Arial" w:hAnsi="Arial"/>
          <w:sz w:val="17"/>
          <w:szCs w:val="17"/>
          <w:color w:val="auto"/>
        </w:rPr>
        <w:t>) and (</w:t>
      </w:r>
      <w:r>
        <w:rPr>
          <w:rFonts w:ascii="Arial" w:cs="Arial" w:eastAsia="Arial" w:hAnsi="Arial"/>
          <w:sz w:val="17"/>
          <w:szCs w:val="17"/>
          <w:color w:val="FF0000"/>
          <w:strike w:val="1"/>
        </w:rPr>
        <w:t>d</w:t>
      </w:r>
      <w:r>
        <w:rPr>
          <w:rFonts w:ascii="Arial" w:cs="Arial" w:eastAsia="Arial" w:hAnsi="Arial"/>
          <w:sz w:val="17"/>
          <w:szCs w:val="17"/>
          <w:u w:val="single" w:color="auto"/>
          <w:color w:val="0000FF"/>
        </w:rPr>
        <w:t>iv</w:t>
      </w:r>
      <w:r>
        <w:rPr>
          <w:rFonts w:ascii="Arial" w:cs="Arial" w:eastAsia="Arial" w:hAnsi="Arial"/>
          <w:sz w:val="17"/>
          <w:szCs w:val="17"/>
          <w:color w:val="auto"/>
        </w:rPr>
        <w:t xml:space="preserve"> ) of the preceding proviso and subject to </w:t>
      </w:r>
      <w:r>
        <w:rPr>
          <w:rFonts w:ascii="Arial" w:cs="Arial" w:eastAsia="Arial" w:hAnsi="Arial"/>
          <w:sz w:val="17"/>
          <w:szCs w:val="17"/>
          <w:u w:val="single" w:color="auto"/>
          <w:color w:val="auto"/>
        </w:rPr>
        <w:t>Section 5.6</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6" w:lineRule="exact"/>
        <w:rPr>
          <w:sz w:val="20"/>
          <w:szCs w:val="20"/>
          <w:color w:val="auto"/>
        </w:rPr>
      </w:pPr>
    </w:p>
    <w:p>
      <w:pPr>
        <w:jc w:val="both"/>
        <w:ind w:right="320" w:firstLine="440"/>
        <w:spacing w:after="0" w:line="259"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Crediting of Payments and Proceeds</w:t>
      </w:r>
      <w:r>
        <w:rPr>
          <w:rFonts w:ascii="Arial" w:cs="Arial" w:eastAsia="Arial" w:hAnsi="Arial"/>
          <w:sz w:val="18"/>
          <w:szCs w:val="18"/>
          <w:color w:val="auto"/>
        </w:rPr>
        <w:t xml:space="preserve">. In the event that the Obligations have been accelerated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subject to the provisions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5.15 </w:t>
      </w:r>
      <w:r>
        <w:rPr>
          <w:rFonts w:ascii="Arial" w:cs="Arial" w:eastAsia="Arial" w:hAnsi="Arial"/>
          <w:sz w:val="18"/>
          <w:szCs w:val="18"/>
          <w:color w:val="0000FF"/>
        </w:rPr>
        <w:t>and 8.21(a)</w:t>
      </w:r>
      <w:r>
        <w:rPr>
          <w:rFonts w:ascii="Arial" w:cs="Arial" w:eastAsia="Arial" w:hAnsi="Arial"/>
          <w:sz w:val="18"/>
          <w:szCs w:val="18"/>
          <w:u w:val="single" w:color="auto"/>
          <w:color w:val="auto"/>
        </w:rPr>
        <w:t>,</w:t>
      </w:r>
      <w:r>
        <w:rPr>
          <w:rFonts w:ascii="Arial" w:cs="Arial" w:eastAsia="Arial" w:hAnsi="Arial"/>
          <w:sz w:val="18"/>
          <w:szCs w:val="18"/>
          <w:color w:val="auto"/>
        </w:rPr>
        <w:t xml:space="preserve"> be applied by the Administrative Agent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-86360</wp:posOffset>
            </wp:positionV>
            <wp:extent cx="1936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-34925</wp:posOffset>
            </wp:positionV>
            <wp:extent cx="777875" cy="342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7875" cy="34290"/>
                    </a:xfrm>
                    <a:prstGeom prst="rect">
                      <a:avLst/>
                    </a:prstGeom>
                    <a:noFill/>
                  </pic:spPr>
                </pic:pic>
              </a:graphicData>
            </a:graphic>
          </wp:anchor>
        </w:drawing>
      </w:r>
    </w:p>
    <w:p>
      <w:pPr>
        <w:spacing w:after="0" w:line="59"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that portion of the Secured Obligations constituting fees, indemnities, expenses and other amounts, including attorney fees, payable to the Administrative Agent in its capacity as such;</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payment of that portion of the Secured Obligations constituting fees (other than Commitment Fees and Letter of Credit fees payable to the Revolving Credit Lenders), indemnities and other amounts (other than principal and interest) payable to the Lenders, the Issuing Lender</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and the Swingline Lender under the Loan Documents, including attorney fees, ratably among the Lenders, the Issuing Lender</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and the Swingline Lender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80"/>
          </w:cols>
          <w:pgMar w:left="440" w:top="490" w:right="479" w:bottom="1440" w:gutter="0" w:footer="0" w:header="0"/>
        </w:sectPr>
      </w:pPr>
    </w:p>
    <w:bookmarkStart w:id="189" w:name="page190"/>
    <w:bookmarkEnd w:id="189"/>
    <w:p>
      <w:pPr>
        <w:ind w:right="18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Third</w:t>
      </w:r>
      <w:r>
        <w:rPr>
          <w:rFonts w:ascii="Arial" w:cs="Arial" w:eastAsia="Arial" w:hAnsi="Arial"/>
          <w:sz w:val="18"/>
          <w:szCs w:val="18"/>
          <w:color w:val="auto"/>
        </w:rPr>
        <w:t>, to payment of that portion of the Secured Obligations constituting accrued and unpaid Commitment Fees, Letter of Credit fees payable to the Revolving Credit Lenders and interest on the Loans and Reimbursement Obligations, ratably among the Lenders, the Issuing Lender</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and the Swingline Lender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payment of that portion of the Secured Obligations constituting unpaid principal of the Loans, Reimbursement Obligations and payment obligations then owing under Secured Hedge Agreements and Secured Cash Management Agreements </w:t>
      </w:r>
      <w:r>
        <w:rPr>
          <w:rFonts w:ascii="Arial" w:cs="Arial" w:eastAsia="Arial" w:hAnsi="Arial"/>
          <w:sz w:val="17"/>
          <w:szCs w:val="17"/>
          <w:color w:val="0000FF"/>
        </w:rPr>
        <w:t>and</w:t>
      </w:r>
      <w:r>
        <w:rPr>
          <w:rFonts w:ascii="Arial" w:cs="Arial" w:eastAsia="Arial" w:hAnsi="Arial"/>
          <w:sz w:val="17"/>
          <w:szCs w:val="17"/>
          <w:color w:val="auto"/>
        </w:rPr>
        <w:t xml:space="preserve"> </w:t>
      </w:r>
      <w:r>
        <w:rPr>
          <w:rFonts w:ascii="Arial" w:cs="Arial" w:eastAsia="Arial" w:hAnsi="Arial"/>
          <w:sz w:val="17"/>
          <w:szCs w:val="17"/>
          <w:u w:val="single" w:color="auto"/>
          <w:color w:val="008000"/>
        </w:rPr>
        <w:t>to Cash Collateralize any L/C Obligations</w:t>
      </w:r>
      <w:r>
        <w:rPr>
          <w:rFonts w:ascii="Arial" w:cs="Arial" w:eastAsia="Arial" w:hAnsi="Arial"/>
          <w:sz w:val="17"/>
          <w:szCs w:val="17"/>
          <w:color w:val="auto"/>
        </w:rPr>
        <w:t xml:space="preserve"> </w:t>
      </w:r>
      <w:r>
        <w:rPr>
          <w:rFonts w:ascii="Arial" w:cs="Arial" w:eastAsia="Arial" w:hAnsi="Arial"/>
          <w:sz w:val="17"/>
          <w:szCs w:val="17"/>
          <w:u w:val="single" w:color="auto"/>
          <w:color w:val="008000"/>
        </w:rPr>
        <w:t>then outstanding</w:t>
      </w:r>
      <w:r>
        <w:rPr>
          <w:rFonts w:ascii="Arial" w:cs="Arial" w:eastAsia="Arial" w:hAnsi="Arial"/>
          <w:sz w:val="17"/>
          <w:szCs w:val="17"/>
          <w:color w:val="000000"/>
        </w:rPr>
        <w:t>, ratably among the</w:t>
      </w:r>
      <w:r>
        <w:rPr>
          <w:rFonts w:ascii="Arial" w:cs="Arial" w:eastAsia="Arial" w:hAnsi="Arial"/>
          <w:sz w:val="17"/>
          <w:szCs w:val="17"/>
          <w:color w:val="008000"/>
        </w:rPr>
        <w:t xml:space="preserve"> </w:t>
      </w:r>
      <w:r>
        <w:rPr>
          <w:rFonts w:ascii="Arial" w:cs="Arial" w:eastAsia="Arial" w:hAnsi="Arial"/>
          <w:sz w:val="17"/>
          <w:szCs w:val="17"/>
          <w:color w:val="FF0000"/>
          <w:strike w:val="1"/>
        </w:rPr>
        <w:t>Lenders, the Issuing Lenders, the Hedge Banks and the Cash Management Banks</w:t>
      </w:r>
      <w:r>
        <w:rPr>
          <w:rFonts w:ascii="Arial" w:cs="Arial" w:eastAsia="Arial" w:hAnsi="Arial"/>
          <w:sz w:val="17"/>
          <w:szCs w:val="17"/>
          <w:u w:val="single" w:color="auto"/>
          <w:color w:val="0000FF"/>
        </w:rPr>
        <w:t>holders of such obligations</w:t>
      </w:r>
      <w:r>
        <w:rPr>
          <w:rFonts w:ascii="Arial" w:cs="Arial" w:eastAsia="Arial" w:hAnsi="Arial"/>
          <w:sz w:val="17"/>
          <w:szCs w:val="17"/>
          <w:color w:val="008000"/>
        </w:rPr>
        <w:t xml:space="preserve"> </w:t>
      </w:r>
      <w:r>
        <w:rPr>
          <w:rFonts w:ascii="Arial" w:cs="Arial" w:eastAsia="Arial" w:hAnsi="Arial"/>
          <w:sz w:val="17"/>
          <w:szCs w:val="17"/>
          <w:color w:val="000000"/>
        </w:rPr>
        <w:t>in</w:t>
      </w:r>
      <w:r>
        <w:rPr>
          <w:rFonts w:ascii="Arial" w:cs="Arial" w:eastAsia="Arial" w:hAnsi="Arial"/>
          <w:sz w:val="17"/>
          <w:szCs w:val="17"/>
          <w:color w:val="008000"/>
        </w:rPr>
        <w:t xml:space="preserve"> </w:t>
      </w:r>
      <w:r>
        <w:rPr>
          <w:rFonts w:ascii="Arial" w:cs="Arial" w:eastAsia="Arial" w:hAnsi="Arial"/>
          <w:sz w:val="17"/>
          <w:szCs w:val="17"/>
          <w:color w:val="000000"/>
        </w:rPr>
        <w:t xml:space="preserve">proportion to the respective amounts described in this clause </w:t>
      </w:r>
      <w:r>
        <w:rPr>
          <w:rFonts w:ascii="Arial" w:cs="Arial" w:eastAsia="Arial" w:hAnsi="Arial"/>
          <w:sz w:val="17"/>
          <w:szCs w:val="17"/>
          <w:u w:val="single" w:color="auto"/>
          <w:color w:val="000000"/>
        </w:rPr>
        <w:t>Fourth</w:t>
      </w:r>
      <w:r>
        <w:rPr>
          <w:rFonts w:ascii="Arial" w:cs="Arial" w:eastAsia="Arial" w:hAnsi="Arial"/>
          <w:sz w:val="17"/>
          <w:szCs w:val="17"/>
          <w:color w:val="000000"/>
        </w:rPr>
        <w:t xml:space="preserve"> payable to them; </w:t>
      </w:r>
      <w:r>
        <w:rPr>
          <w:rFonts w:ascii="Arial" w:cs="Arial" w:eastAsia="Arial" w:hAnsi="Arial"/>
          <w:sz w:val="17"/>
          <w:szCs w:val="17"/>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-293370</wp:posOffset>
            </wp:positionV>
            <wp:extent cx="22288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-318770</wp:posOffset>
            </wp:positionV>
            <wp:extent cx="22225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22250" cy="825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-19050</wp:posOffset>
            </wp:positionV>
            <wp:extent cx="18859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-44450</wp:posOffset>
            </wp:positionV>
            <wp:extent cx="19367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FF0000"/>
        </w:rPr>
        <w:t>Fifth</w:t>
      </w:r>
      <w:r>
        <w:rPr>
          <w:rFonts w:ascii="Arial" w:cs="Arial" w:eastAsia="Arial" w:hAnsi="Arial"/>
          <w:sz w:val="17"/>
          <w:szCs w:val="17"/>
          <w:color w:val="FF0000"/>
        </w:rPr>
        <w:t xml:space="preserve">, to </w:t>
      </w:r>
      <w:r>
        <w:rPr>
          <w:rFonts w:ascii="Arial" w:cs="Arial" w:eastAsia="Arial" w:hAnsi="Arial"/>
          <w:sz w:val="17"/>
          <w:szCs w:val="17"/>
          <w:color w:val="008000"/>
          <w:strike w:val="1"/>
        </w:rPr>
        <w:t>the Administrative Agent for the</w:t>
      </w:r>
      <w:r>
        <w:rPr>
          <w:rFonts w:ascii="Arial" w:cs="Arial" w:eastAsia="Arial" w:hAnsi="Arial"/>
          <w:sz w:val="17"/>
          <w:szCs w:val="17"/>
          <w:color w:val="FF0000"/>
        </w:rPr>
        <w:t xml:space="preserve"> </w:t>
      </w:r>
      <w:r>
        <w:rPr>
          <w:rFonts w:ascii="Arial" w:cs="Arial" w:eastAsia="Arial" w:hAnsi="Arial"/>
          <w:sz w:val="17"/>
          <w:szCs w:val="17"/>
          <w:color w:val="FF0000"/>
          <w:strike w:val="1"/>
        </w:rPr>
        <w:t>account of the Issuing Lenders,</w:t>
      </w:r>
      <w:r>
        <w:rPr>
          <w:rFonts w:ascii="Arial" w:cs="Arial" w:eastAsia="Arial" w:hAnsi="Arial"/>
          <w:sz w:val="17"/>
          <w:szCs w:val="17"/>
          <w:color w:val="FF0000"/>
        </w:rPr>
        <w:t xml:space="preserve"> </w:t>
      </w:r>
      <w:r>
        <w:rPr>
          <w:rFonts w:ascii="Arial" w:cs="Arial" w:eastAsia="Arial" w:hAnsi="Arial"/>
          <w:sz w:val="17"/>
          <w:szCs w:val="17"/>
          <w:color w:val="008000"/>
          <w:strike w:val="1"/>
        </w:rPr>
        <w:t>to Cash Collateralize any L/C Obligations then outstanding</w:t>
      </w:r>
      <w:r>
        <w:rPr>
          <w:rFonts w:ascii="Arial" w:cs="Arial" w:eastAsia="Arial" w:hAnsi="Arial"/>
          <w:sz w:val="17"/>
          <w:szCs w:val="17"/>
          <w:color w:val="FF0000"/>
          <w:strike w:val="1"/>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-54610</wp:posOffset>
            </wp:positionV>
            <wp:extent cx="39687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96875" cy="8890"/>
                    </a:xfrm>
                    <a:prstGeom prst="rect">
                      <a:avLst/>
                    </a:prstGeom>
                    <a:noFill/>
                  </pic:spPr>
                </pic:pic>
              </a:graphicData>
            </a:graphic>
          </wp:anchor>
        </w:drawing>
      </w:r>
    </w:p>
    <w:p>
      <w:pPr>
        <w:spacing w:after="0" w:line="21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Secured Obligations have been indefeasibly paid in full, to the Borrower or as otherwise required by Applicable Law.</w:t>
      </w:r>
    </w:p>
    <w:p>
      <w:pPr>
        <w:spacing w:after="0" w:line="170"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w:t>
      </w:r>
      <w:r>
        <w:rPr>
          <w:rFonts w:ascii="Arial" w:cs="Arial" w:eastAsia="Arial" w:hAnsi="Arial"/>
          <w:sz w:val="18"/>
          <w:szCs w:val="18"/>
          <w:u w:val="single" w:color="auto"/>
          <w:color w:val="0000FF"/>
        </w:rPr>
        <w:t>following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such acceleration or exercise of remedies and at least three (3) Business Days prior to the application of the proceeds thereof</w:t>
      </w:r>
      <w:r>
        <w:rPr>
          <w:rFonts w:ascii="Arial" w:cs="Arial" w:eastAsia="Arial" w:hAnsi="Arial"/>
          <w:sz w:val="18"/>
          <w:szCs w:val="18"/>
          <w:color w:val="000000"/>
        </w:rPr>
        <w:t>. Each Cash Management</w:t>
      </w:r>
      <w:r>
        <w:rPr>
          <w:rFonts w:ascii="Arial" w:cs="Arial" w:eastAsia="Arial" w:hAnsi="Arial"/>
          <w:sz w:val="18"/>
          <w:szCs w:val="18"/>
          <w:color w:val="0000FF"/>
        </w:rPr>
        <w:t xml:space="preserve"> </w:t>
      </w:r>
      <w:r>
        <w:rPr>
          <w:rFonts w:ascii="Arial" w:cs="Arial" w:eastAsia="Arial" w:hAnsi="Arial"/>
          <w:sz w:val="18"/>
          <w:szCs w:val="18"/>
          <w:color w:val="000000"/>
        </w:rPr>
        <w:t xml:space="preserve">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000000"/>
        </w:rPr>
        <w:t>Article XI</w:t>
      </w:r>
      <w:r>
        <w:rPr>
          <w:rFonts w:ascii="Arial" w:cs="Arial" w:eastAsia="Arial" w:hAnsi="Arial"/>
          <w:sz w:val="18"/>
          <w:szCs w:val="18"/>
          <w:color w:val="000000"/>
        </w:rPr>
        <w:t xml:space="preserve"> for itself and its Affiliates as if a “Lender” party hereto.</w:t>
      </w:r>
    </w:p>
    <w:p>
      <w:pPr>
        <w:spacing w:after="0" w:line="195"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Administrative Agent May File Proofs of Claim</w:t>
      </w:r>
      <w:r>
        <w:rPr>
          <w:rFonts w:ascii="Arial" w:cs="Arial" w:eastAsia="Arial" w:hAnsi="Arial"/>
          <w:sz w:val="16"/>
          <w:szCs w:val="16"/>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Credit Party) shall be entitled and empowered (but not obligated) by intervention in such proceeding or otherwise:</w:t>
      </w:r>
    </w:p>
    <w:p>
      <w:pPr>
        <w:spacing w:after="0" w:line="49" w:lineRule="exact"/>
        <w:rPr>
          <w:sz w:val="20"/>
          <w:szCs w:val="20"/>
          <w:color w:val="auto"/>
        </w:rPr>
      </w:pPr>
    </w:p>
    <w:p>
      <w:pPr>
        <w:ind w:right="160" w:firstLine="436"/>
        <w:spacing w:after="0" w:line="296" w:lineRule="auto"/>
        <w:tabs>
          <w:tab w:leader="none" w:pos="68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12.3</w:t>
      </w:r>
      <w:r>
        <w:rPr>
          <w:rFonts w:ascii="Arial" w:cs="Arial" w:eastAsia="Arial" w:hAnsi="Arial"/>
          <w:sz w:val="16"/>
          <w:szCs w:val="16"/>
          <w:color w:val="auto"/>
        </w:rPr>
        <w:t>) allowed in such judicial proceeding; and</w:t>
      </w:r>
    </w:p>
    <w:p>
      <w:pPr>
        <w:spacing w:after="0" w:line="53" w:lineRule="exact"/>
        <w:rPr>
          <w:rFonts w:ascii="Arial" w:cs="Arial" w:eastAsia="Arial" w:hAnsi="Arial"/>
          <w:sz w:val="16"/>
          <w:szCs w:val="16"/>
          <w:color w:val="auto"/>
        </w:rPr>
      </w:pPr>
    </w:p>
    <w:p>
      <w:pPr>
        <w:ind w:left="700" w:hanging="264"/>
        <w:spacing w:after="0"/>
        <w:tabs>
          <w:tab w:leader="none" w:pos="7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0"/>
          </w:cols>
          <w:pgMar w:left="440" w:top="490" w:right="459" w:bottom="1440" w:gutter="0" w:footer="0" w:header="0"/>
        </w:sectPr>
      </w:pPr>
    </w:p>
    <w:bookmarkStart w:id="190" w:name="page191"/>
    <w:bookmarkEnd w:id="190"/>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12.3</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Credit Bidding</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8" w:lineRule="auto"/>
        <w:tabs>
          <w:tab w:leader="none" w:pos="682"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The Administrative Agent, on behalf of itself and the Secured Parties, shall have the right, exercisable at the </w:t>
      </w:r>
      <w:r>
        <w:rPr>
          <w:rFonts w:ascii="Arial" w:cs="Arial" w:eastAsia="Arial" w:hAnsi="Arial"/>
          <w:sz w:val="17"/>
          <w:szCs w:val="17"/>
          <w:color w:val="FF0000"/>
          <w:strike w:val="1"/>
        </w:rPr>
        <w:t>discretion</w:t>
      </w:r>
      <w:r>
        <w:rPr>
          <w:rFonts w:ascii="Arial" w:cs="Arial" w:eastAsia="Arial" w:hAnsi="Arial"/>
          <w:sz w:val="17"/>
          <w:szCs w:val="17"/>
          <w:u w:val="single" w:color="auto"/>
          <w:color w:val="0000FF"/>
        </w:rPr>
        <w:t>direction</w:t>
      </w:r>
      <w:r>
        <w:rPr>
          <w:rFonts w:ascii="Arial" w:cs="Arial" w:eastAsia="Arial" w:hAnsi="Arial"/>
          <w:sz w:val="17"/>
          <w:szCs w:val="17"/>
          <w:color w:val="auto"/>
        </w:rPr>
        <w:t xml:space="preserve"> of the Required Lenders, to credit bid and purchase for the benefit of the Administrative Agent and the Secured Parties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7"/>
          <w:szCs w:val="17"/>
          <w:u w:val="single" w:color="auto"/>
          <w:color w:val="auto"/>
        </w:rPr>
        <w:t>Section 12.2</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right="60" w:firstLine="436"/>
        <w:spacing w:after="0" w:line="259" w:lineRule="auto"/>
        <w:tabs>
          <w:tab w:leader="none" w:pos="69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of the Loan Documents, or exercise any right that it might otherwise have under Applicable Law to credit bid at foreclosure sales, UCC sales or other similar dispositions of Collateral.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0" w:lineRule="auto"/>
        <w:tabs>
          <w:tab w:leader="none" w:pos="68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Each of the Lenders and each Issuing Lender hereby irrevocably appoints</w:t>
      </w:r>
      <w:r>
        <w:rPr>
          <w:rFonts w:ascii="Arial" w:cs="Arial" w:eastAsia="Arial" w:hAnsi="Arial"/>
          <w:sz w:val="17"/>
          <w:szCs w:val="17"/>
          <w:u w:val="single" w:color="auto"/>
          <w:color w:val="0000FF"/>
        </w:rPr>
        <w:t>, designates and authorizes</w:t>
      </w:r>
      <w:r>
        <w:rPr>
          <w:rFonts w:ascii="Arial" w:cs="Arial" w:eastAsia="Arial" w:hAnsi="Arial"/>
          <w:sz w:val="17"/>
          <w:szCs w:val="17"/>
          <w:color w:val="auto"/>
        </w:rPr>
        <w:t xml:space="preserve">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w:t>
      </w:r>
      <w:r>
        <w:rPr>
          <w:rFonts w:ascii="Arial" w:cs="Arial" w:eastAsia="Arial" w:hAnsi="Arial"/>
          <w:sz w:val="17"/>
          <w:szCs w:val="17"/>
          <w:u w:val="single" w:color="auto"/>
          <w:color w:val="0000FF"/>
        </w:rPr>
        <w:t>Arrangers, the</w:t>
      </w:r>
      <w:r>
        <w:rPr>
          <w:rFonts w:ascii="Arial" w:cs="Arial" w:eastAsia="Arial" w:hAnsi="Arial"/>
          <w:sz w:val="17"/>
          <w:szCs w:val="17"/>
          <w:color w:val="auto"/>
        </w:rPr>
        <w:t xml:space="preserve"> Lenders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auto"/>
        </w:rPr>
        <w:t xml:space="preserve"> the Issuing Lenders</w:t>
      </w:r>
      <w:r>
        <w:rPr>
          <w:rFonts w:ascii="Arial" w:cs="Arial" w:eastAsia="Arial" w:hAnsi="Arial"/>
          <w:sz w:val="17"/>
          <w:szCs w:val="17"/>
          <w:u w:val="single" w:color="auto"/>
          <w:color w:val="0000FF"/>
        </w:rPr>
        <w:t>, and their respective Related Parties</w:t>
      </w:r>
      <w:r>
        <w:rPr>
          <w:rFonts w:ascii="Arial" w:cs="Arial" w:eastAsia="Arial" w:hAnsi="Arial"/>
          <w:sz w:val="17"/>
          <w:szCs w:val="17"/>
          <w:color w:val="auto"/>
        </w:rPr>
        <w:t>, and neither the Borrower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6426835</wp:posOffset>
            </wp:positionH>
            <wp:positionV relativeFrom="paragraph">
              <wp:posOffset>-775335</wp:posOffset>
            </wp:positionV>
            <wp:extent cx="19367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490" w:right="459" w:bottom="1440" w:gutter="0" w:footer="0" w:header="0"/>
        </w:sectPr>
      </w:pPr>
    </w:p>
    <w:bookmarkStart w:id="191" w:name="page192"/>
    <w:bookmarkEnd w:id="191"/>
    <w:p>
      <w:pPr>
        <w:ind w:right="40" w:firstLine="436"/>
        <w:spacing w:after="0" w:line="269" w:lineRule="auto"/>
        <w:tabs>
          <w:tab w:leader="none" w:pos="692" w:val="left"/>
        </w:tabs>
        <w:numPr>
          <w:ilvl w:val="0"/>
          <w:numId w:val="2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under the Loan Documents, and each of the Lenders (including in its capacity as a potential Hedge Bank or Cash Management Bank)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for purposes of holding or enforcing any Lien on the Collateral (or any portion thereof) granted under the Collateral Documents</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color w:val="0000FF"/>
        </w:rPr>
        <w:t>(</w:t>
      </w:r>
      <w:r>
        <w:rPr>
          <w:rFonts w:ascii="Arial" w:cs="Arial" w:eastAsia="Arial" w:hAnsi="Arial"/>
          <w:sz w:val="17"/>
          <w:szCs w:val="17"/>
          <w:color w:val="auto"/>
        </w:rPr>
        <w:t xml:space="preserve">or for exercising any rights and remedies thereunder at the direction of the Administrative Agent), shall be entitled to the benefits of all provisions of </w:t>
      </w:r>
      <w:r>
        <w:rPr>
          <w:rFonts w:ascii="Arial" w:cs="Arial" w:eastAsia="Arial" w:hAnsi="Arial"/>
          <w:sz w:val="17"/>
          <w:szCs w:val="17"/>
          <w:u w:val="single" w:color="auto"/>
          <w:color w:val="auto"/>
        </w:rPr>
        <w:t>Articles XI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12.3</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-284480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-309880</wp:posOffset>
            </wp:positionV>
            <wp:extent cx="6667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6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w:t>
      </w:r>
      <w:r>
        <w:rPr>
          <w:rFonts w:ascii="Arial" w:cs="Arial" w:eastAsia="Arial" w:hAnsi="Arial"/>
          <w:sz w:val="17"/>
          <w:szCs w:val="17"/>
          <w:u w:val="single" w:color="auto"/>
          <w:color w:val="0000FF"/>
        </w:rPr>
        <w:t>banking, trust, financial advisory, underwriting, capital markets or other</w:t>
      </w:r>
      <w:r>
        <w:rPr>
          <w:rFonts w:ascii="Arial" w:cs="Arial" w:eastAsia="Arial" w:hAnsi="Arial"/>
          <w:sz w:val="17"/>
          <w:szCs w:val="17"/>
          <w:color w:val="auto"/>
        </w:rPr>
        <w:t xml:space="preserve"> business with the Borrower or any Subsidiary or other Affiliate thereof as if such Person were not the Administrative Agent hereunder and without any duty to account therefor to the Lenders </w:t>
      </w:r>
      <w:r>
        <w:rPr>
          <w:rFonts w:ascii="Arial" w:cs="Arial" w:eastAsia="Arial" w:hAnsi="Arial"/>
          <w:sz w:val="17"/>
          <w:szCs w:val="17"/>
          <w:color w:val="0000FF"/>
        </w:rPr>
        <w:t>or to provide notice to or consent of the Lenders with respect thereto</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-14605</wp:posOffset>
            </wp:positionV>
            <wp:extent cx="31629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16293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1041400</wp:posOffset>
            </wp:positionH>
            <wp:positionV relativeFrom="paragraph">
              <wp:posOffset>-40640</wp:posOffset>
            </wp:positionV>
            <wp:extent cx="31629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3" w:lineRule="auto"/>
        <w:tabs>
          <w:tab w:leader="none" w:pos="68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Administrative Agent</w:t>
      </w:r>
      <w:r>
        <w:rPr>
          <w:rFonts w:ascii="Arial" w:cs="Arial" w:eastAsia="Arial" w:hAnsi="Arial"/>
          <w:sz w:val="18"/>
          <w:szCs w:val="18"/>
          <w:u w:val="single" w:color="auto"/>
          <w:color w:val="0000FF"/>
        </w:rPr>
        <w:t>, the Arrangers and their respective Related Parties</w:t>
      </w:r>
      <w:r>
        <w:rPr>
          <w:rFonts w:ascii="Arial" w:cs="Arial" w:eastAsia="Arial" w:hAnsi="Arial"/>
          <w:sz w:val="18"/>
          <w:szCs w:val="18"/>
          <w:color w:val="auto"/>
        </w:rPr>
        <w:t xml:space="preserve"> shall not have any duties or obligations except those expressly set forth herein and in the other Loan Documents, and its duties hereunder and thereunder shall be administrative in nature. Without limiting the generality of the foregoing, the Administrative Agent</w:t>
      </w:r>
      <w:r>
        <w:rPr>
          <w:rFonts w:ascii="Arial" w:cs="Arial" w:eastAsia="Arial" w:hAnsi="Arial"/>
          <w:sz w:val="18"/>
          <w:szCs w:val="18"/>
          <w:u w:val="single" w:color="auto"/>
          <w:color w:val="0000FF"/>
        </w:rPr>
        <w:t>, the Arrangers and their respective Related Parties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580" w:firstLine="419"/>
        <w:spacing w:after="0" w:line="277" w:lineRule="auto"/>
        <w:tabs>
          <w:tab w:leader="none" w:pos="107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shall not be subject to any </w:t>
      </w:r>
      <w:r>
        <w:rPr>
          <w:rFonts w:ascii="Arial" w:cs="Arial" w:eastAsia="Arial" w:hAnsi="Arial"/>
          <w:sz w:val="18"/>
          <w:szCs w:val="18"/>
          <w:u w:val="single" w:color="auto"/>
          <w:color w:val="0000FF"/>
        </w:rPr>
        <w:t>agency, trust,</w:t>
      </w:r>
      <w:r>
        <w:rPr>
          <w:rFonts w:ascii="Arial" w:cs="Arial" w:eastAsia="Arial" w:hAnsi="Arial"/>
          <w:sz w:val="18"/>
          <w:szCs w:val="18"/>
          <w:color w:val="auto"/>
        </w:rPr>
        <w:t xml:space="preserve"> fiduciary or other implied duties, regardless of whether a Default or Event of Default has occurred and is continuing;</w:t>
      </w:r>
    </w:p>
    <w:p>
      <w:pPr>
        <w:spacing w:after="0" w:line="62" w:lineRule="exact"/>
        <w:rPr>
          <w:rFonts w:ascii="Arial" w:cs="Arial" w:eastAsia="Arial" w:hAnsi="Arial"/>
          <w:sz w:val="18"/>
          <w:szCs w:val="18"/>
          <w:color w:val="auto"/>
        </w:rPr>
      </w:pPr>
    </w:p>
    <w:p>
      <w:pPr>
        <w:ind w:left="440" w:firstLine="419"/>
        <w:spacing w:after="0" w:line="272" w:lineRule="auto"/>
        <w:tabs>
          <w:tab w:leader="none" w:pos="1128"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r>
        <w:rPr>
          <w:rFonts w:ascii="Arial" w:cs="Arial" w:eastAsia="Arial" w:hAnsi="Arial"/>
          <w:sz w:val="17"/>
          <w:szCs w:val="17"/>
          <w:color w:val="FF0000"/>
          <w:strike w:val="1"/>
        </w:rPr>
        <w:t>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980"/>
          </w:cols>
          <w:pgMar w:left="440" w:top="490" w:right="479" w:bottom="1440" w:gutter="0" w:footer="0" w:header="0"/>
        </w:sectPr>
      </w:pPr>
    </w:p>
    <w:bookmarkStart w:id="192" w:name="page193"/>
    <w:bookmarkEnd w:id="192"/>
    <w:p>
      <w:pPr>
        <w:ind w:left="440" w:firstLine="419"/>
        <w:spacing w:after="0" w:line="293" w:lineRule="auto"/>
        <w:tabs>
          <w:tab w:leader="none" w:pos="1178" w:val="left"/>
        </w:tabs>
        <w:numPr>
          <w:ilvl w:val="1"/>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shall not, </w:t>
      </w:r>
      <w:r>
        <w:rPr>
          <w:rFonts w:ascii="Arial" w:cs="Arial" w:eastAsia="Arial" w:hAnsi="Arial"/>
          <w:sz w:val="16"/>
          <w:szCs w:val="16"/>
          <w:color w:val="FF0000"/>
          <w:strike w:val="1"/>
        </w:rPr>
        <w:t>except as expressly set forth herein and in the other Loan Documents,</w:t>
      </w:r>
      <w:r>
        <w:rPr>
          <w:rFonts w:ascii="Arial" w:cs="Arial" w:eastAsia="Arial" w:hAnsi="Arial"/>
          <w:sz w:val="16"/>
          <w:szCs w:val="16"/>
          <w:color w:val="auto"/>
        </w:rPr>
        <w:t xml:space="preserve"> have any duty to disclose, and shall not be liable for the failure to disclose</w:t>
      </w:r>
      <w:r>
        <w:rPr>
          <w:rFonts w:ascii="Arial" w:cs="Arial" w:eastAsia="Arial" w:hAnsi="Arial"/>
          <w:sz w:val="16"/>
          <w:szCs w:val="16"/>
          <w:color w:val="FF0000"/>
          <w:strike w:val="1"/>
        </w:rPr>
        <w:t>, any</w:t>
      </w:r>
      <w:r>
        <w:rPr>
          <w:rFonts w:ascii="Arial" w:cs="Arial" w:eastAsia="Arial" w:hAnsi="Arial"/>
          <w:sz w:val="16"/>
          <w:szCs w:val="16"/>
          <w:color w:val="auto"/>
        </w:rPr>
        <w:t xml:space="preserve"> </w:t>
      </w:r>
      <w:r>
        <w:rPr>
          <w:rFonts w:ascii="Arial" w:cs="Arial" w:eastAsia="Arial" w:hAnsi="Arial"/>
          <w:sz w:val="16"/>
          <w:szCs w:val="16"/>
          <w:color w:val="0000FF"/>
        </w:rPr>
        <w:t>to any Lender, any Issuing Lender or any other Person, any credit or other</w:t>
      </w:r>
      <w:r>
        <w:rPr>
          <w:rFonts w:ascii="Arial" w:cs="Arial" w:eastAsia="Arial" w:hAnsi="Arial"/>
          <w:sz w:val="16"/>
          <w:szCs w:val="16"/>
          <w:color w:val="auto"/>
        </w:rPr>
        <w:t xml:space="preserve"> information relating </w:t>
      </w:r>
      <w:r>
        <w:rPr>
          <w:rFonts w:ascii="Arial" w:cs="Arial" w:eastAsia="Arial" w:hAnsi="Arial"/>
          <w:sz w:val="16"/>
          <w:szCs w:val="16"/>
          <w:color w:val="FF0000"/>
          <w:strike w:val="1"/>
        </w:rPr>
        <w:t>to</w:t>
      </w:r>
      <w:r>
        <w:rPr>
          <w:rFonts w:ascii="Arial" w:cs="Arial" w:eastAsia="Arial" w:hAnsi="Arial"/>
          <w:sz w:val="16"/>
          <w:szCs w:val="16"/>
          <w:u w:val="single" w:color="auto"/>
          <w:color w:val="0000FF"/>
        </w:rPr>
        <w:t>concerning the business,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prospects, operations, properties, assets, financial or other condition or creditworthiness of</w:t>
      </w:r>
      <w:r>
        <w:rPr>
          <w:rFonts w:ascii="Arial" w:cs="Arial" w:eastAsia="Arial" w:hAnsi="Arial"/>
          <w:sz w:val="16"/>
          <w:szCs w:val="16"/>
          <w:color w:val="0000FF"/>
        </w:rPr>
        <w:t xml:space="preserve"> </w:t>
      </w:r>
      <w:r>
        <w:rPr>
          <w:rFonts w:ascii="Arial" w:cs="Arial" w:eastAsia="Arial" w:hAnsi="Arial"/>
          <w:sz w:val="16"/>
          <w:szCs w:val="16"/>
          <w:color w:val="000000"/>
        </w:rPr>
        <w:t>the Borrower or any of its Subsidiaries or Affiliates that</w:t>
      </w:r>
      <w:r>
        <w:rPr>
          <w:rFonts w:ascii="Arial" w:cs="Arial" w:eastAsia="Arial" w:hAnsi="Arial"/>
          <w:sz w:val="16"/>
          <w:szCs w:val="16"/>
          <w:color w:val="0000FF"/>
        </w:rPr>
        <w:t xml:space="preserve"> </w:t>
      </w:r>
      <w:r>
        <w:rPr>
          <w:rFonts w:ascii="Arial" w:cs="Arial" w:eastAsia="Arial" w:hAnsi="Arial"/>
          <w:sz w:val="16"/>
          <w:szCs w:val="16"/>
          <w:color w:val="000000"/>
        </w:rPr>
        <w:t xml:space="preserve">is communicated to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obtained by </w:t>
      </w:r>
      <w:r>
        <w:rPr>
          <w:rFonts w:ascii="Arial" w:cs="Arial" w:eastAsia="Arial" w:hAnsi="Arial"/>
          <w:sz w:val="16"/>
          <w:szCs w:val="16"/>
          <w:u w:val="single" w:color="auto"/>
          <w:color w:val="0000FF"/>
        </w:rPr>
        <w:t>or otherwise in the possession of</w:t>
      </w:r>
      <w:r>
        <w:rPr>
          <w:rFonts w:ascii="Arial" w:cs="Arial" w:eastAsia="Arial" w:hAnsi="Arial"/>
          <w:sz w:val="16"/>
          <w:szCs w:val="16"/>
          <w:color w:val="000000"/>
        </w:rPr>
        <w:t xml:space="preserve"> the Person serving as the Administrative Agent </w:t>
      </w:r>
      <w:r>
        <w:rPr>
          <w:rFonts w:ascii="Arial" w:cs="Arial" w:eastAsia="Arial" w:hAnsi="Arial"/>
          <w:sz w:val="16"/>
          <w:szCs w:val="16"/>
          <w:color w:val="008000"/>
        </w:rPr>
        <w:t>or any of its Affiliates</w:t>
      </w:r>
      <w:r>
        <w:rPr>
          <w:rFonts w:ascii="Arial" w:cs="Arial" w:eastAsia="Arial" w:hAnsi="Arial"/>
          <w:sz w:val="16"/>
          <w:szCs w:val="16"/>
          <w:color w:val="000000"/>
        </w:rPr>
        <w:t xml:space="preserve"> </w:t>
      </w:r>
      <w:r>
        <w:rPr>
          <w:rFonts w:ascii="Arial" w:cs="Arial" w:eastAsia="Arial" w:hAnsi="Arial"/>
          <w:sz w:val="16"/>
          <w:szCs w:val="16"/>
          <w:color w:val="FF0000"/>
          <w:strike w:val="1"/>
        </w:rPr>
        <w:t>in any</w:t>
      </w:r>
      <w:r>
        <w:rPr>
          <w:rFonts w:ascii="Arial" w:cs="Arial" w:eastAsia="Arial" w:hAnsi="Arial"/>
          <w:sz w:val="16"/>
          <w:szCs w:val="16"/>
          <w:color w:val="000000"/>
        </w:rPr>
        <w:t xml:space="preserve"> </w:t>
      </w:r>
      <w:r>
        <w:rPr>
          <w:rFonts w:ascii="Arial" w:cs="Arial" w:eastAsia="Arial" w:hAnsi="Arial"/>
          <w:sz w:val="16"/>
          <w:szCs w:val="16"/>
          <w:color w:val="FF0000"/>
          <w:strike w:val="1"/>
        </w:rPr>
        <w:t>capacity.</w:t>
      </w:r>
      <w:r>
        <w:rPr>
          <w:rFonts w:ascii="Arial" w:cs="Arial" w:eastAsia="Arial" w:hAnsi="Arial"/>
          <w:sz w:val="16"/>
          <w:szCs w:val="16"/>
          <w:u w:val="single" w:color="auto"/>
          <w:color w:val="0000FF"/>
          <w:strike w:val="1"/>
        </w:rPr>
        <w:t>, the Arranger or their respective Related Parties in any capacity, except for notices, reports and other documents that are required to be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furnished by the Administrative Agent to the Lenders pursuant to the express provisions of this Agreement;</w:t>
      </w:r>
    </w:p>
    <w:p>
      <w:pPr>
        <w:spacing w:after="0" w:line="56" w:lineRule="exact"/>
        <w:rPr>
          <w:rFonts w:ascii="Arial" w:cs="Arial" w:eastAsia="Arial" w:hAnsi="Arial"/>
          <w:sz w:val="16"/>
          <w:szCs w:val="16"/>
          <w:color w:val="auto"/>
        </w:rPr>
      </w:pPr>
    </w:p>
    <w:p>
      <w:pPr>
        <w:ind w:left="440" w:right="160" w:firstLine="419"/>
        <w:spacing w:after="0" w:line="277" w:lineRule="auto"/>
        <w:tabs>
          <w:tab w:leader="none" w:pos="1168" w:val="left"/>
        </w:tabs>
        <w:numPr>
          <w:ilvl w:val="1"/>
          <w:numId w:val="25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shall not be required to account to any Lender or any Issuing Lender for any sum or profit received by the Administrative Agent for its own account.</w:t>
      </w:r>
    </w:p>
    <w:p>
      <w:pPr>
        <w:spacing w:after="0" w:line="62" w:lineRule="exact"/>
        <w:rPr>
          <w:rFonts w:ascii="Arial" w:cs="Arial" w:eastAsia="Arial" w:hAnsi="Arial"/>
          <w:sz w:val="18"/>
          <w:szCs w:val="18"/>
          <w:u w:val="single" w:color="auto"/>
          <w:color w:val="0000FF"/>
        </w:rPr>
      </w:pPr>
    </w:p>
    <w:p>
      <w:pPr>
        <w:ind w:right="20" w:firstLine="436"/>
        <w:spacing w:after="0" w:line="291" w:lineRule="auto"/>
        <w:tabs>
          <w:tab w:leader="none" w:pos="69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Administrative Agent</w:t>
      </w:r>
      <w:r>
        <w:rPr>
          <w:rFonts w:ascii="Arial" w:cs="Arial" w:eastAsia="Arial" w:hAnsi="Arial"/>
          <w:sz w:val="16"/>
          <w:szCs w:val="16"/>
          <w:u w:val="single" w:color="auto"/>
          <w:color w:val="0000FF"/>
        </w:rPr>
        <w:t>, the Arrangers and their respective Related Parties</w:t>
      </w:r>
      <w:r>
        <w:rPr>
          <w:rFonts w:ascii="Arial" w:cs="Arial" w:eastAsia="Arial" w:hAnsi="Arial"/>
          <w:sz w:val="16"/>
          <w:szCs w:val="16"/>
          <w:color w:val="auto"/>
        </w:rPr>
        <w:t xml:space="preserve"> shall not be liable for any action taken or not taken by it </w:t>
      </w:r>
      <w:r>
        <w:rPr>
          <w:rFonts w:ascii="Arial" w:cs="Arial" w:eastAsia="Arial" w:hAnsi="Arial"/>
          <w:sz w:val="16"/>
          <w:szCs w:val="16"/>
          <w:u w:val="single" w:color="auto"/>
          <w:color w:val="0000FF"/>
        </w:rPr>
        <w:t>under 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 connection with this Agreement or any other Loan Document or the transactions contemplated hereby or thereby</w:t>
      </w:r>
      <w:r>
        <w:rPr>
          <w:rFonts w:ascii="Arial" w:cs="Arial" w:eastAsia="Arial" w:hAnsi="Arial"/>
          <w:sz w:val="16"/>
          <w:szCs w:val="16"/>
          <w:color w:val="0000FF"/>
        </w:rPr>
        <w:t xml:space="preserve"> </w:t>
      </w:r>
      <w:r>
        <w:rPr>
          <w:rFonts w:ascii="Arial" w:cs="Arial" w:eastAsia="Arial" w:hAnsi="Arial"/>
          <w:sz w:val="16"/>
          <w:szCs w:val="16"/>
          <w:color w:val="000000"/>
        </w:rPr>
        <w:t>(i) with the consent or at the request</w:t>
      </w:r>
      <w:r>
        <w:rPr>
          <w:rFonts w:ascii="Arial" w:cs="Arial" w:eastAsia="Arial" w:hAnsi="Arial"/>
          <w:sz w:val="16"/>
          <w:szCs w:val="16"/>
          <w:color w:val="0000FF"/>
        </w:rPr>
        <w:t xml:space="preserve"> </w:t>
      </w:r>
      <w:r>
        <w:rPr>
          <w:rFonts w:ascii="Arial" w:cs="Arial" w:eastAsia="Arial" w:hAnsi="Arial"/>
          <w:sz w:val="16"/>
          <w:szCs w:val="16"/>
          <w:color w:val="000000"/>
        </w:rPr>
        <w:t xml:space="preserve">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000000"/>
        </w:rPr>
        <w:t>Section 12.2</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Section 10.2</w:t>
      </w:r>
      <w:r>
        <w:rPr>
          <w:rFonts w:ascii="Arial" w:cs="Arial" w:eastAsia="Arial" w:hAnsi="Arial"/>
          <w:sz w:val="16"/>
          <w:szCs w:val="16"/>
          <w:color w:val="000000"/>
        </w:rPr>
        <w:t xml:space="preserve">)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w:t>
      </w:r>
      <w:r>
        <w:rPr>
          <w:rFonts w:ascii="Arial" w:cs="Arial" w:eastAsia="Arial" w:hAnsi="Arial"/>
          <w:sz w:val="16"/>
          <w:szCs w:val="16"/>
          <w:u w:val="single" w:color="auto"/>
          <w:color w:val="0000FF"/>
        </w:rPr>
        <w:t>and indicating that such notice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is a “Notice of Default”</w:t>
      </w:r>
      <w:r>
        <w:rPr>
          <w:rFonts w:ascii="Arial" w:cs="Arial" w:eastAsia="Arial" w:hAnsi="Arial"/>
          <w:sz w:val="16"/>
          <w:szCs w:val="16"/>
          <w:color w:val="0000FF"/>
        </w:rPr>
        <w:t xml:space="preserve"> </w:t>
      </w:r>
      <w:r>
        <w:rPr>
          <w:rFonts w:ascii="Arial" w:cs="Arial" w:eastAsia="Arial" w:hAnsi="Arial"/>
          <w:sz w:val="16"/>
          <w:szCs w:val="16"/>
          <w:color w:val="000000"/>
        </w:rPr>
        <w:t>is given to the Administrative Agent by the Borrower, a Lender or an Issuing Lender.</w:t>
      </w:r>
    </w:p>
    <w:p>
      <w:pPr>
        <w:spacing w:after="0" w:line="58" w:lineRule="exact"/>
        <w:rPr>
          <w:rFonts w:ascii="Arial" w:cs="Arial" w:eastAsia="Arial" w:hAnsi="Arial"/>
          <w:sz w:val="16"/>
          <w:szCs w:val="16"/>
          <w:color w:val="auto"/>
        </w:rPr>
      </w:pPr>
    </w:p>
    <w:p>
      <w:pPr>
        <w:ind w:firstLine="436"/>
        <w:spacing w:after="0" w:line="288" w:lineRule="auto"/>
        <w:tabs>
          <w:tab w:leader="none" w:pos="68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Administrative Agent</w:t>
      </w:r>
      <w:r>
        <w:rPr>
          <w:rFonts w:ascii="Arial" w:cs="Arial" w:eastAsia="Arial" w:hAnsi="Arial"/>
          <w:sz w:val="16"/>
          <w:szCs w:val="16"/>
          <w:u w:val="single" w:color="auto"/>
          <w:color w:val="0000FF"/>
        </w:rPr>
        <w:t>, the Arrangers and their respective Related Parties</w:t>
      </w:r>
      <w:r>
        <w:rPr>
          <w:rFonts w:ascii="Arial" w:cs="Arial" w:eastAsia="Arial" w:hAnsi="Arial"/>
          <w:sz w:val="16"/>
          <w:szCs w:val="16"/>
          <w:color w:val="auto"/>
        </w:rPr>
        <w:t xml:space="preserve"> shall not be responsible for or have any duty </w:t>
      </w:r>
      <w:r>
        <w:rPr>
          <w:rFonts w:ascii="Arial" w:cs="Arial" w:eastAsia="Arial" w:hAnsi="Arial"/>
          <w:sz w:val="16"/>
          <w:szCs w:val="16"/>
          <w:u w:val="single" w:color="auto"/>
          <w:color w:val="0000FF"/>
        </w:rPr>
        <w:t>or obligations to any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Lender or Participant or any other Person</w:t>
      </w:r>
      <w:r>
        <w:rPr>
          <w:rFonts w:ascii="Arial" w:cs="Arial" w:eastAsia="Arial" w:hAnsi="Arial"/>
          <w:sz w:val="16"/>
          <w:szCs w:val="16"/>
          <w:color w:val="0000FF"/>
        </w:rPr>
        <w:t xml:space="preserve"> </w:t>
      </w:r>
      <w:r>
        <w:rPr>
          <w:rFonts w:ascii="Arial" w:cs="Arial" w:eastAsia="Arial" w:hAnsi="Arial"/>
          <w:sz w:val="16"/>
          <w:szCs w:val="16"/>
          <w:color w:val="000000"/>
        </w:rPr>
        <w:t>to ascertain or inquire into (i) any statement, warranty or representation made in or in connection with this</w:t>
      </w:r>
      <w:r>
        <w:rPr>
          <w:rFonts w:ascii="Arial" w:cs="Arial" w:eastAsia="Arial" w:hAnsi="Arial"/>
          <w:sz w:val="16"/>
          <w:szCs w:val="16"/>
          <w:color w:val="0000FF"/>
        </w:rPr>
        <w:t xml:space="preserve"> </w:t>
      </w:r>
      <w:r>
        <w:rPr>
          <w:rFonts w:ascii="Arial" w:cs="Arial" w:eastAsia="Arial" w:hAnsi="Arial"/>
          <w:sz w:val="16"/>
          <w:szCs w:val="16"/>
          <w:color w:val="000000"/>
        </w:rPr>
        <w:t xml:space="preserve">Agreement or any other Loan Document, (ii) the contents of any certificate, report or other document delivered hereunder or thereunder or in connection herewith or therewith (including, without limitation, any report provided to it by an Issuing Lender pursuant to </w:t>
      </w:r>
      <w:r>
        <w:rPr>
          <w:rFonts w:ascii="Arial" w:cs="Arial" w:eastAsia="Arial" w:hAnsi="Arial"/>
          <w:sz w:val="16"/>
          <w:szCs w:val="16"/>
          <w:u w:val="single" w:color="auto"/>
          <w:color w:val="000000"/>
        </w:rPr>
        <w:t>Section 3.9</w:t>
      </w:r>
      <w:r>
        <w:rPr>
          <w:rFonts w:ascii="Arial" w:cs="Arial" w:eastAsia="Arial" w:hAnsi="Arial"/>
          <w:sz w:val="16"/>
          <w:szCs w:val="16"/>
          <w:color w:val="000000"/>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w:t>
      </w:r>
      <w:r>
        <w:rPr>
          <w:rFonts w:ascii="Arial" w:cs="Arial" w:eastAsia="Arial" w:hAnsi="Arial"/>
          <w:sz w:val="16"/>
          <w:szCs w:val="16"/>
          <w:color w:val="FF0000"/>
          <w:strike w:val="1"/>
        </w:rPr>
        <w:t>(v</w:t>
      </w:r>
      <w:r>
        <w:rPr>
          <w:rFonts w:ascii="Arial" w:cs="Arial" w:eastAsia="Arial" w:hAnsi="Arial"/>
          <w:sz w:val="16"/>
          <w:szCs w:val="16"/>
          <w:u w:val="single" w:color="auto"/>
          <w:color w:val="0000FF"/>
        </w:rPr>
        <w:t>or creation, perfection or priority of any Lien purported to be created by the Collateral Documents, (v) the value or sufficiency of any</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Collateral, (vi</w:t>
      </w:r>
      <w:r>
        <w:rPr>
          <w:rFonts w:ascii="Arial" w:cs="Arial" w:eastAsia="Arial" w:hAnsi="Arial"/>
          <w:sz w:val="16"/>
          <w:szCs w:val="16"/>
          <w:color w:val="000000"/>
        </w:rPr>
        <w:t>) the satisfaction of any condition set forth in</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Article VI</w:t>
      </w:r>
      <w:r>
        <w:rPr>
          <w:rFonts w:ascii="Arial" w:cs="Arial" w:eastAsia="Arial" w:hAnsi="Arial"/>
          <w:sz w:val="16"/>
          <w:szCs w:val="16"/>
          <w:color w:val="0000FF"/>
        </w:rPr>
        <w:t xml:space="preserve"> </w:t>
      </w:r>
      <w:r>
        <w:rPr>
          <w:rFonts w:ascii="Arial" w:cs="Arial" w:eastAsia="Arial" w:hAnsi="Arial"/>
          <w:sz w:val="16"/>
          <w:szCs w:val="16"/>
          <w:color w:val="000000"/>
        </w:rPr>
        <w:t>or elsewhere herein, other than to confirm receipt of items expressly required to be</w:t>
      </w:r>
      <w:r>
        <w:rPr>
          <w:rFonts w:ascii="Arial" w:cs="Arial" w:eastAsia="Arial" w:hAnsi="Arial"/>
          <w:sz w:val="16"/>
          <w:szCs w:val="16"/>
          <w:color w:val="0000FF"/>
        </w:rPr>
        <w:t xml:space="preserve"> </w:t>
      </w:r>
      <w:r>
        <w:rPr>
          <w:rFonts w:ascii="Arial" w:cs="Arial" w:eastAsia="Arial" w:hAnsi="Arial"/>
          <w:sz w:val="16"/>
          <w:szCs w:val="16"/>
          <w:color w:val="000000"/>
        </w:rPr>
        <w:t>delivered to the Administrative Agent or (vi</w:t>
      </w:r>
      <w:r>
        <w:rPr>
          <w:rFonts w:ascii="Arial" w:cs="Arial" w:eastAsia="Arial" w:hAnsi="Arial"/>
          <w:sz w:val="16"/>
          <w:szCs w:val="16"/>
          <w:u w:val="single" w:color="auto"/>
          <w:color w:val="0000FF"/>
        </w:rPr>
        <w:t>i</w:t>
      </w:r>
      <w:r>
        <w:rPr>
          <w:rFonts w:ascii="Arial" w:cs="Arial" w:eastAsia="Arial" w:hAnsi="Arial"/>
          <w:sz w:val="16"/>
          <w:szCs w:val="16"/>
          <w:color w:val="000000"/>
        </w:rPr>
        <w:t>) the utilization of any Issuing Lender’s L/C Commitment (it being understood and agreed that each Issuing Lender shall monitor compliance with its own L/C Commitment without any further action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-3380740</wp:posOffset>
            </wp:positionV>
            <wp:extent cx="34118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-3406775</wp:posOffset>
            </wp:positionV>
            <wp:extent cx="34093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09315" cy="8255"/>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-3183890</wp:posOffset>
            </wp:positionV>
            <wp:extent cx="1193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-3183890</wp:posOffset>
            </wp:positionV>
            <wp:extent cx="105791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05791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-2969260</wp:posOffset>
            </wp:positionV>
            <wp:extent cx="61639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163945" cy="8255"/>
                    </a:xfrm>
                    <a:prstGeom prst="rect">
                      <a:avLst/>
                    </a:prstGeom>
                    <a:noFill/>
                  </pic:spPr>
                </pic:pic>
              </a:graphicData>
            </a:graphic>
          </wp:anchor>
        </w:drawing>
      </w:r>
    </w:p>
    <w:p>
      <w:pPr>
        <w:spacing w:after="0" w:line="148"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xml:space="preserve">. The Administrative Agent shall be entitled to rely upon, </w:t>
      </w:r>
      <w:r>
        <w:rPr>
          <w:rFonts w:ascii="Arial" w:cs="Arial" w:eastAsia="Arial" w:hAnsi="Arial"/>
          <w:sz w:val="17"/>
          <w:szCs w:val="17"/>
          <w:u w:val="single" w:color="auto"/>
          <w:color w:val="0000FF"/>
        </w:rPr>
        <w:t>shall be fully protected in relying</w:t>
      </w:r>
      <w:r>
        <w:rPr>
          <w:rFonts w:ascii="Arial" w:cs="Arial" w:eastAsia="Arial" w:hAnsi="Arial"/>
          <w:sz w:val="17"/>
          <w:szCs w:val="17"/>
          <w:color w:val="auto"/>
        </w:rPr>
        <w:t xml:space="preserve"> and shall not incur any liability for relying upon, any notice, request, certificate, consent, </w:t>
      </w:r>
      <w:r>
        <w:rPr>
          <w:rFonts w:ascii="Arial" w:cs="Arial" w:eastAsia="Arial" w:hAnsi="Arial"/>
          <w:sz w:val="17"/>
          <w:szCs w:val="17"/>
          <w:u w:val="single" w:color="auto"/>
          <w:color w:val="0000FF"/>
        </w:rPr>
        <w:t>communication,</w:t>
      </w:r>
      <w:r>
        <w:rPr>
          <w:rFonts w:ascii="Arial" w:cs="Arial" w:eastAsia="Arial" w:hAnsi="Arial"/>
          <w:sz w:val="17"/>
          <w:szCs w:val="17"/>
          <w:color w:val="auto"/>
        </w:rPr>
        <w:t xml:space="preserve"> statement, instrument, document or other writing (including any electronic message, Internet or intranet website posting or other distribution) believed by it to be genuine and to have been signed, sent or otherwise authenticated by the proper Person</w:t>
      </w:r>
      <w:r>
        <w:rPr>
          <w:rFonts w:ascii="Arial" w:cs="Arial" w:eastAsia="Arial" w:hAnsi="Arial"/>
          <w:sz w:val="17"/>
          <w:szCs w:val="17"/>
          <w:u w:val="single" w:color="auto"/>
          <w:color w:val="0000FF"/>
        </w:rPr>
        <w:t>, including any certification pursuant to Section 11.9</w:t>
      </w:r>
      <w:r>
        <w:rPr>
          <w:rFonts w:ascii="Arial" w:cs="Arial" w:eastAsia="Arial" w:hAnsi="Arial"/>
          <w:sz w:val="17"/>
          <w:szCs w:val="17"/>
          <w:color w:val="auto"/>
        </w:rPr>
        <w:t xml:space="preserve">. The Administrative Agent also may rely upon any statement made to it orally or by telephone and believed by it to have been made by the proper Person, and shall </w:t>
      </w:r>
      <w:r>
        <w:rPr>
          <w:rFonts w:ascii="Arial" w:cs="Arial" w:eastAsia="Arial" w:hAnsi="Arial"/>
          <w:sz w:val="17"/>
          <w:szCs w:val="17"/>
          <w:u w:val="single" w:color="auto"/>
          <w:color w:val="0000FF"/>
        </w:rPr>
        <w:t>be fully protected in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relying and shall</w:t>
      </w:r>
      <w:r>
        <w:rPr>
          <w:rFonts w:ascii="Arial" w:cs="Arial" w:eastAsia="Arial" w:hAnsi="Arial"/>
          <w:sz w:val="17"/>
          <w:szCs w:val="17"/>
          <w:color w:val="0000FF"/>
        </w:rPr>
        <w:t xml:space="preserve"> </w:t>
      </w:r>
      <w:r>
        <w:rPr>
          <w:rFonts w:ascii="Arial" w:cs="Arial" w:eastAsia="Arial" w:hAnsi="Arial"/>
          <w:sz w:val="17"/>
          <w:szCs w:val="17"/>
          <w:color w:val="000000"/>
        </w:rPr>
        <w:t>not incur any liability for relying thereon. In determining compliance with any condition hereunder to the making of a Loan, or the</w:t>
      </w:r>
      <w:r>
        <w:rPr>
          <w:rFonts w:ascii="Arial" w:cs="Arial" w:eastAsia="Arial" w:hAnsi="Arial"/>
          <w:sz w:val="17"/>
          <w:szCs w:val="17"/>
          <w:color w:val="0000FF"/>
        </w:rPr>
        <w:t xml:space="preserve"> </w:t>
      </w:r>
      <w:r>
        <w:rPr>
          <w:rFonts w:ascii="Arial" w:cs="Arial" w:eastAsia="Arial" w:hAnsi="Arial"/>
          <w:sz w:val="17"/>
          <w:szCs w:val="17"/>
          <w:color w:val="000000"/>
        </w:rPr>
        <w:t>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00"/>
          </w:cols>
          <w:pgMar w:left="440" w:top="490" w:right="459" w:bottom="1440" w:gutter="0" w:footer="0" w:header="0"/>
        </w:sectPr>
      </w:pPr>
    </w:p>
    <w:bookmarkStart w:id="193" w:name="page194"/>
    <w:bookmarkEnd w:id="193"/>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accordance with the advice of any such counsel, accountants or experts. </w:t>
      </w:r>
      <w:r>
        <w:rPr>
          <w:rFonts w:ascii="Arial" w:cs="Arial" w:eastAsia="Arial" w:hAnsi="Arial"/>
          <w:sz w:val="16"/>
          <w:szCs w:val="16"/>
          <w:u w:val="single" w:color="auto"/>
          <w:color w:val="0000FF"/>
        </w:rPr>
        <w:t>Each Lender or Issuing Lender that has signed this Agreement or a signature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page to an Assignment and Assumption or any other Loan Document pursuant to which it is to become a Lender or Issuing Lender hereunder shall be deemed to have consented to, approved and accepted and shall deemed satisfied with each document or other matter required thereunder to be consented to, approved or accepted by such Lender or Issuing Lender or that is to be acceptable or satisfactory to such Lender or Issuing Lender.</w:t>
      </w:r>
    </w:p>
    <w:p>
      <w:pPr>
        <w:spacing w:after="0" w:line="15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90" w:lineRule="auto"/>
        <w:tabs>
          <w:tab w:leader="none" w:pos="68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The Administrative Agent may at any time give notice of its resignation to the Lenders, the Issuing Lenders and the Borrower. Upon receipt of any such notice of resignation, the Required Lenders shall have the right, in consultation with the Borrower, to appoint a successor, which shall be a bank with an office in the United States, or an Affiliate of any such bank </w:t>
      </w:r>
      <w:r>
        <w:rPr>
          <w:rFonts w:ascii="Arial" w:cs="Arial" w:eastAsia="Arial" w:hAnsi="Arial"/>
          <w:sz w:val="16"/>
          <w:szCs w:val="16"/>
          <w:u w:val="single" w:color="auto"/>
          <w:color w:val="0000FF"/>
        </w:rPr>
        <w:t>or financial institution</w:t>
      </w:r>
      <w:r>
        <w:rPr>
          <w:rFonts w:ascii="Arial" w:cs="Arial" w:eastAsia="Arial" w:hAnsi="Arial"/>
          <w:sz w:val="16"/>
          <w:szCs w:val="16"/>
          <w:color w:val="auto"/>
        </w:rPr>
        <w:t xml:space="preserve">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Issuing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57" w:lineRule="exact"/>
        <w:rPr>
          <w:rFonts w:ascii="Arial" w:cs="Arial" w:eastAsia="Arial" w:hAnsi="Arial"/>
          <w:sz w:val="16"/>
          <w:szCs w:val="16"/>
          <w:color w:val="auto"/>
        </w:rPr>
      </w:pPr>
    </w:p>
    <w:p>
      <w:pPr>
        <w:ind w:right="20" w:firstLine="436"/>
        <w:spacing w:after="0" w:line="296" w:lineRule="auto"/>
        <w:tabs>
          <w:tab w:leader="none" w:pos="69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53" w:lineRule="exact"/>
        <w:rPr>
          <w:rFonts w:ascii="Arial" w:cs="Arial" w:eastAsia="Arial" w:hAnsi="Arial"/>
          <w:sz w:val="16"/>
          <w:szCs w:val="16"/>
          <w:color w:val="auto"/>
        </w:rPr>
      </w:pPr>
    </w:p>
    <w:p>
      <w:pPr>
        <w:ind w:firstLine="436"/>
        <w:spacing w:after="0" w:line="254" w:lineRule="auto"/>
        <w:tabs>
          <w:tab w:leader="none" w:pos="68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w:t>
      </w:r>
      <w:r>
        <w:rPr>
          <w:rFonts w:ascii="Arial" w:cs="Arial" w:eastAsia="Arial" w:hAnsi="Arial"/>
          <w:sz w:val="18"/>
          <w:szCs w:val="18"/>
          <w:u w:val="single" w:color="auto"/>
          <w:color w:val="0000FF"/>
        </w:rPr>
        <w:t>or other amounts then</w:t>
      </w:r>
      <w:r>
        <w:rPr>
          <w:rFonts w:ascii="Arial" w:cs="Arial" w:eastAsia="Arial" w:hAnsi="Arial"/>
          <w:sz w:val="18"/>
          <w:szCs w:val="18"/>
          <w:color w:val="auto"/>
        </w:rPr>
        <w:t xml:space="preserve"> owed to the retiring or removed Administrative Agent, all payments, communications and determinations provided to be made by, to or through the Administrative Agent shall instead be made by or to each Lender and each Issuing Lender directly, until such time, if any, as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490" w:right="459" w:bottom="1440" w:gutter="0" w:footer="0" w:header="0"/>
        </w:sectPr>
      </w:pPr>
    </w:p>
    <w:bookmarkStart w:id="194" w:name="page195"/>
    <w:bookmarkEnd w:id="19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w:t>
      </w:r>
      <w:r>
        <w:rPr>
          <w:rFonts w:ascii="Arial" w:cs="Arial" w:eastAsia="Arial" w:hAnsi="Arial"/>
          <w:sz w:val="16"/>
          <w:szCs w:val="16"/>
          <w:u w:val="single" w:color="auto"/>
          <w:color w:val="0000FF"/>
        </w:rPr>
        <w:t>or other amounts</w:t>
      </w:r>
      <w:r>
        <w:rPr>
          <w:rFonts w:ascii="Arial" w:cs="Arial" w:eastAsia="Arial" w:hAnsi="Arial"/>
          <w:sz w:val="16"/>
          <w:szCs w:val="16"/>
          <w:color w:val="auto"/>
        </w:rPr>
        <w:t xml:space="preserve"> owed to the retiring or removed Administrative Agent</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0000FF"/>
        </w:rPr>
        <w:t>as of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Resignation Effective Date or the Removal Effective Date, as applicable)</w:t>
      </w:r>
      <w:r>
        <w:rPr>
          <w:rFonts w:ascii="Arial" w:cs="Arial" w:eastAsia="Arial" w:hAnsi="Arial"/>
          <w:sz w:val="16"/>
          <w:szCs w:val="16"/>
          <w:color w:val="000000"/>
        </w:rPr>
        <w:t>, and the retiring or removed Administrative Agent shall be discharged from all</w:t>
      </w:r>
      <w:r>
        <w:rPr>
          <w:rFonts w:ascii="Arial" w:cs="Arial" w:eastAsia="Arial" w:hAnsi="Arial"/>
          <w:sz w:val="16"/>
          <w:szCs w:val="16"/>
          <w:color w:val="0000FF"/>
        </w:rPr>
        <w:t xml:space="preserve"> </w:t>
      </w:r>
      <w:r>
        <w:rPr>
          <w:rFonts w:ascii="Arial" w:cs="Arial" w:eastAsia="Arial" w:hAnsi="Arial"/>
          <w:sz w:val="16"/>
          <w:szCs w:val="16"/>
          <w:color w:val="000000"/>
        </w:rPr>
        <w:t xml:space="preserve">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0000FF"/>
        </w:rPr>
        <w:t>Section 12.3</w:t>
      </w:r>
      <w:r>
        <w:rPr>
          <w:rFonts w:ascii="Arial" w:cs="Arial" w:eastAsia="Arial" w:hAnsi="Arial"/>
          <w:sz w:val="16"/>
          <w:szCs w:val="16"/>
          <w:color w:val="00000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color w:val="0000FF"/>
        </w:rPr>
        <w:t>or relating</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to its duties as Administrative Agent that are carried out following its retirement or removal, including, without limitation, any actions taken with respect to acting as collateral agent or otherwise holding any Collateral on behalf of any of the Secured Parties or in respect of any actions taken in connection with the transfer of agency to a replacement or successor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-1255395</wp:posOffset>
            </wp:positionV>
            <wp:extent cx="4114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6398260</wp:posOffset>
            </wp:positionH>
            <wp:positionV relativeFrom="paragraph">
              <wp:posOffset>-1280795</wp:posOffset>
            </wp:positionV>
            <wp:extent cx="4159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15925"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-432435</wp:posOffset>
            </wp:positionV>
            <wp:extent cx="49720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6397625</wp:posOffset>
            </wp:positionH>
            <wp:positionV relativeFrom="paragraph">
              <wp:posOffset>-457835</wp:posOffset>
            </wp:positionV>
            <wp:extent cx="50165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01650" cy="8890"/>
                    </a:xfrm>
                    <a:prstGeom prst="rect">
                      <a:avLst/>
                    </a:prstGeom>
                    <a:noFill/>
                  </pic:spPr>
                </pic:pic>
              </a:graphicData>
            </a:graphic>
          </wp:anchor>
        </w:drawing>
      </w:r>
    </w:p>
    <w:p>
      <w:pPr>
        <w:spacing w:after="0" w:line="40" w:lineRule="exact"/>
        <w:rPr>
          <w:sz w:val="20"/>
          <w:szCs w:val="20"/>
          <w:color w:val="auto"/>
        </w:rPr>
      </w:pPr>
    </w:p>
    <w:p>
      <w:pPr>
        <w:ind w:right="60" w:firstLine="436"/>
        <w:spacing w:after="0" w:line="272" w:lineRule="auto"/>
        <w:tabs>
          <w:tab w:leader="none" w:pos="68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(i) such successor shall succeed to and become vested with all of the rights, powers, privileges and duties of the retiring Issuing Lender, if in its sole discretion it elects to, and Swingline Lender, (ii) the retiring Issuing Lender and Swingline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7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xml:space="preserve">. Each Lender and each Issuing Lender </w:t>
      </w:r>
      <w:r>
        <w:rPr>
          <w:rFonts w:ascii="Arial" w:cs="Arial" w:eastAsia="Arial" w:hAnsi="Arial"/>
          <w:sz w:val="16"/>
          <w:szCs w:val="16"/>
          <w:u w:val="single" w:color="auto"/>
          <w:color w:val="0000FF"/>
        </w:rPr>
        <w:t>expressly</w:t>
      </w:r>
      <w:r>
        <w:rPr>
          <w:rFonts w:ascii="Arial" w:cs="Arial" w:eastAsia="Arial" w:hAnsi="Arial"/>
          <w:sz w:val="16"/>
          <w:szCs w:val="16"/>
          <w:color w:val="auto"/>
        </w:rPr>
        <w:t xml:space="preserve"> acknowledges that </w:t>
      </w:r>
      <w:r>
        <w:rPr>
          <w:rFonts w:ascii="Arial" w:cs="Arial" w:eastAsia="Arial" w:hAnsi="Arial"/>
          <w:sz w:val="16"/>
          <w:szCs w:val="16"/>
          <w:u w:val="single" w:color="auto"/>
          <w:color w:val="0000FF"/>
        </w:rPr>
        <w:t>none of the Administrative Agent, any Arranger</w:t>
      </w:r>
      <w:r>
        <w:rPr>
          <w:rFonts w:ascii="Arial" w:cs="Arial" w:eastAsia="Arial" w:hAnsi="Arial"/>
          <w:sz w:val="16"/>
          <w:szCs w:val="16"/>
          <w:color w:val="0000FF"/>
        </w:rPr>
        <w:t xml:space="preserve"> </w:t>
      </w:r>
      <w:r>
        <w:rPr>
          <w:rFonts w:ascii="Arial" w:cs="Arial" w:eastAsia="Arial" w:hAnsi="Arial"/>
          <w:sz w:val="16"/>
          <w:szCs w:val="16"/>
          <w:color w:val="008000"/>
        </w:rPr>
        <w:t>or any of their respective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Related Parties has made any representations or warranties to it and that no act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taken or failure to act by the Administrative Agent, any Arranger or any of their respective Related Parties, including any consent to, and acceptance of any assignment or review of the affairs of the Borrower and its Subsidiaries or Affiliates shall be deemed to constitute a representation or warranty of the Administrative Agent, any Arranger or any of their respective Related Parties to any Lender, any Issuing Lender or any other Secured Party as to any matter, including whether the Administrative Agent, any Arranger or any of their respective Related Parties have disclosed material information in their (or their respective Related Parties’) possession. Each Lender and each Issuing Lender expressly acknowledges, represents and warrants to the Administrative Agent and the Arrangers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making, acquiring, purchasing or holding any other type of financial instrument,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w:t>
      </w:r>
      <w:r>
        <w:rPr>
          <w:rFonts w:ascii="Arial" w:cs="Arial" w:eastAsia="Arial" w:hAnsi="Arial"/>
          <w:sz w:val="16"/>
          <w:szCs w:val="16"/>
          <w:color w:val="0000FF"/>
        </w:rPr>
        <w:t xml:space="preserve"> </w:t>
      </w:r>
      <w:r>
        <w:rPr>
          <w:rFonts w:ascii="Arial" w:cs="Arial" w:eastAsia="Arial" w:hAnsi="Arial"/>
          <w:sz w:val="16"/>
          <w:szCs w:val="16"/>
          <w:color w:val="000000"/>
        </w:rPr>
        <w:t>it</w:t>
      </w:r>
      <w:r>
        <w:rPr>
          <w:rFonts w:ascii="Arial" w:cs="Arial" w:eastAsia="Arial" w:hAnsi="Arial"/>
          <w:sz w:val="16"/>
          <w:szCs w:val="16"/>
          <w:color w:val="0000FF"/>
        </w:rPr>
        <w:t xml:space="preserve"> </w:t>
      </w:r>
      <w:r>
        <w:rPr>
          <w:rFonts w:ascii="Arial" w:cs="Arial" w:eastAsia="Arial" w:hAnsi="Arial"/>
          <w:sz w:val="16"/>
          <w:szCs w:val="16"/>
          <w:color w:val="000000"/>
        </w:rPr>
        <w:t xml:space="preserve">has, independently and without reliance upon the Administrative Agent </w:t>
      </w:r>
      <w:r>
        <w:rPr>
          <w:rFonts w:ascii="Arial" w:cs="Arial" w:eastAsia="Arial" w:hAnsi="Arial"/>
          <w:sz w:val="16"/>
          <w:szCs w:val="16"/>
          <w:color w:val="FF0000"/>
        </w:rPr>
        <w:t>or</w:t>
      </w:r>
      <w:r>
        <w:rPr>
          <w:rFonts w:ascii="Arial" w:cs="Arial" w:eastAsia="Arial" w:hAnsi="Arial"/>
          <w:sz w:val="16"/>
          <w:szCs w:val="16"/>
          <w:u w:val="single" w:color="auto"/>
          <w:color w:val="0000FF"/>
        </w:rPr>
        <w:t>, any Arranger,</w:t>
      </w:r>
      <w:r>
        <w:rPr>
          <w:rFonts w:ascii="Arial" w:cs="Arial" w:eastAsia="Arial" w:hAnsi="Arial"/>
          <w:sz w:val="16"/>
          <w:szCs w:val="16"/>
          <w:color w:val="000000"/>
        </w:rPr>
        <w:t xml:space="preserve"> any other Lender or any of their </w:t>
      </w:r>
      <w:r>
        <w:rPr>
          <w:rFonts w:ascii="Arial" w:cs="Arial" w:eastAsia="Arial" w:hAnsi="Arial"/>
          <w:sz w:val="16"/>
          <w:szCs w:val="16"/>
          <w:u w:val="single" w:color="auto"/>
          <w:color w:val="0000FF"/>
        </w:rPr>
        <w:t>respective</w:t>
      </w:r>
      <w:r>
        <w:rPr>
          <w:rFonts w:ascii="Arial" w:cs="Arial" w:eastAsia="Arial" w:hAnsi="Arial"/>
          <w:sz w:val="16"/>
          <w:szCs w:val="16"/>
          <w:color w:val="000000"/>
        </w:rPr>
        <w:t xml:space="preserve"> Related Parties and based on such documents and information as it has deemed appropriate, made its own credit analysis and </w:t>
      </w:r>
      <w:r>
        <w:rPr>
          <w:rFonts w:ascii="Arial" w:cs="Arial" w:eastAsia="Arial" w:hAnsi="Arial"/>
          <w:sz w:val="16"/>
          <w:szCs w:val="16"/>
          <w:u w:val="single" w:color="auto"/>
          <w:color w:val="0000FF"/>
        </w:rPr>
        <w:t>appraisal of, and investigations into, the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business, prospects, operations, property,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-1935480</wp:posOffset>
            </wp:positionV>
            <wp:extent cx="120015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-1961515</wp:posOffset>
            </wp:positionV>
            <wp:extent cx="119951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199515" cy="889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-367030</wp:posOffset>
            </wp:positionV>
            <wp:extent cx="1193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0"/>
          </w:cols>
          <w:pgMar w:left="440" w:top="490" w:right="459" w:bottom="1440" w:gutter="0" w:footer="0" w:header="0"/>
        </w:sectPr>
      </w:pPr>
    </w:p>
    <w:bookmarkStart w:id="195" w:name="page196"/>
    <w:bookmarkEnd w:id="195"/>
    <w:p>
      <w:pPr>
        <w:spacing w:after="0" w:line="289"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liabilities, financial and other condition and creditworthiness</w:t>
      </w:r>
      <w:r>
        <w:rPr>
          <w:rFonts w:ascii="Arial" w:cs="Arial" w:eastAsia="Arial" w:hAnsi="Arial"/>
          <w:sz w:val="16"/>
          <w:szCs w:val="16"/>
          <w:color w:val="0000FF"/>
        </w:rPr>
        <w:t xml:space="preserve"> </w:t>
      </w:r>
      <w:r>
        <w:rPr>
          <w:rFonts w:ascii="Arial" w:cs="Arial" w:eastAsia="Arial" w:hAnsi="Arial"/>
          <w:sz w:val="16"/>
          <w:szCs w:val="16"/>
          <w:color w:val="008000"/>
        </w:rPr>
        <w:t>of the Borrower and its Subsidiaries,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all applicable bank or other regulatory Applicable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Laws relating to the Transactions and the transactions contemplated by</w:t>
      </w:r>
      <w:r>
        <w:rPr>
          <w:rFonts w:ascii="Arial" w:cs="Arial" w:eastAsia="Arial" w:hAnsi="Arial"/>
          <w:sz w:val="16"/>
          <w:szCs w:val="16"/>
          <w:color w:val="0000FF"/>
        </w:rPr>
        <w:t xml:space="preserve"> </w:t>
      </w:r>
      <w:r>
        <w:rPr>
          <w:rFonts w:ascii="Arial" w:cs="Arial" w:eastAsia="Arial" w:hAnsi="Arial"/>
          <w:sz w:val="16"/>
          <w:szCs w:val="16"/>
          <w:color w:val="008000"/>
        </w:rPr>
        <w:t>this Agreement and the other Loan Documents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and (e) it has made its own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independent</w:t>
      </w:r>
      <w:r>
        <w:rPr>
          <w:rFonts w:ascii="Arial" w:cs="Arial" w:eastAsia="Arial" w:hAnsi="Arial"/>
          <w:sz w:val="16"/>
          <w:szCs w:val="16"/>
          <w:color w:val="0000FF"/>
        </w:rPr>
        <w:t xml:space="preserve"> </w:t>
      </w:r>
      <w:r>
        <w:rPr>
          <w:rFonts w:ascii="Arial" w:cs="Arial" w:eastAsia="Arial" w:hAnsi="Arial"/>
          <w:sz w:val="16"/>
          <w:szCs w:val="16"/>
          <w:color w:val="000000"/>
        </w:rPr>
        <w:t>decision to enter into this Agreement</w:t>
      </w:r>
      <w:r>
        <w:rPr>
          <w:rFonts w:ascii="Arial" w:cs="Arial" w:eastAsia="Arial" w:hAnsi="Arial"/>
          <w:sz w:val="16"/>
          <w:szCs w:val="16"/>
          <w:color w:val="0000FF"/>
        </w:rPr>
        <w:t xml:space="preserve"> and the other Loan Documents to which it is a party and to extend credit hereunder and thereunder</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 xml:space="preserve">Each Lender and each Issuing Lender also acknowledges that </w:t>
      </w:r>
      <w:r>
        <w:rPr>
          <w:rFonts w:ascii="Arial" w:cs="Arial" w:eastAsia="Arial" w:hAnsi="Arial"/>
          <w:sz w:val="16"/>
          <w:szCs w:val="16"/>
          <w:u w:val="single" w:color="auto"/>
          <w:color w:val="0000FF"/>
        </w:rPr>
        <w:t>(i)</w:t>
      </w:r>
      <w:r>
        <w:rPr>
          <w:rFonts w:ascii="Arial" w:cs="Arial" w:eastAsia="Arial" w:hAnsi="Arial"/>
          <w:sz w:val="16"/>
          <w:szCs w:val="16"/>
          <w:color w:val="000000"/>
        </w:rPr>
        <w:t xml:space="preserve"> it will, independently and without reliance upon the Administrative Agent</w:t>
      </w:r>
      <w:r>
        <w:rPr>
          <w:rFonts w:ascii="Arial" w:cs="Arial" w:eastAsia="Arial" w:hAnsi="Arial"/>
          <w:sz w:val="16"/>
          <w:szCs w:val="16"/>
          <w:u w:val="single" w:color="auto"/>
          <w:color w:val="0000FF"/>
        </w:rPr>
        <w:t>, any</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Arranger</w:t>
      </w:r>
      <w:r>
        <w:rPr>
          <w:rFonts w:ascii="Arial" w:cs="Arial" w:eastAsia="Arial" w:hAnsi="Arial"/>
          <w:sz w:val="16"/>
          <w:szCs w:val="16"/>
          <w:color w:val="0000FF"/>
        </w:rPr>
        <w:t xml:space="preserve"> </w:t>
      </w:r>
      <w:r>
        <w:rPr>
          <w:rFonts w:ascii="Arial" w:cs="Arial" w:eastAsia="Arial" w:hAnsi="Arial"/>
          <w:sz w:val="16"/>
          <w:szCs w:val="16"/>
          <w:color w:val="000000"/>
        </w:rPr>
        <w:t>or any other Lender or any of their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respective</w:t>
      </w:r>
      <w:r>
        <w:rPr>
          <w:rFonts w:ascii="Arial" w:cs="Arial" w:eastAsia="Arial" w:hAnsi="Arial"/>
          <w:sz w:val="16"/>
          <w:szCs w:val="16"/>
          <w:color w:val="0000FF"/>
        </w:rPr>
        <w:t xml:space="preserve"> </w:t>
      </w:r>
      <w:r>
        <w:rPr>
          <w:rFonts w:ascii="Arial" w:cs="Arial" w:eastAsia="Arial" w:hAnsi="Arial"/>
          <w:sz w:val="16"/>
          <w:szCs w:val="16"/>
          <w:color w:val="000000"/>
        </w:rPr>
        <w:t>Related Parties</w:t>
      </w:r>
      <w:r>
        <w:rPr>
          <w:rFonts w:ascii="Arial" w:cs="Arial" w:eastAsia="Arial" w:hAnsi="Arial"/>
          <w:sz w:val="16"/>
          <w:szCs w:val="16"/>
          <w:color w:val="0000FF"/>
        </w:rPr>
        <w:t xml:space="preserve"> </w:t>
      </w:r>
      <w:r>
        <w:rPr>
          <w:rFonts w:ascii="Arial" w:cs="Arial" w:eastAsia="Arial" w:hAnsi="Arial"/>
          <w:sz w:val="16"/>
          <w:szCs w:val="16"/>
          <w:color w:val="FF0000"/>
          <w:strike w:val="1"/>
        </w:rPr>
        <w:t>and</w:t>
      </w:r>
      <w:r>
        <w:rPr>
          <w:rFonts w:ascii="Arial" w:cs="Arial" w:eastAsia="Arial" w:hAnsi="Arial"/>
          <w:sz w:val="16"/>
          <w:szCs w:val="16"/>
          <w:color w:val="0000FF"/>
        </w:rPr>
        <w:t xml:space="preserve"> </w:t>
      </w:r>
      <w:r>
        <w:rPr>
          <w:rFonts w:ascii="Arial" w:cs="Arial" w:eastAsia="Arial" w:hAnsi="Arial"/>
          <w:sz w:val="16"/>
          <w:szCs w:val="16"/>
          <w:color w:val="008000"/>
          <w:strike w:val="1"/>
        </w:rPr>
        <w:t>based on such documents and information as it shall from time to time deem</w:t>
      </w:r>
      <w:r>
        <w:rPr>
          <w:rFonts w:ascii="Arial" w:cs="Arial" w:eastAsia="Arial" w:hAnsi="Arial"/>
          <w:sz w:val="16"/>
          <w:szCs w:val="16"/>
          <w:color w:val="0000FF"/>
        </w:rPr>
        <w:t xml:space="preserve"> </w:t>
      </w:r>
      <w:r>
        <w:rPr>
          <w:rFonts w:ascii="Arial" w:cs="Arial" w:eastAsia="Arial" w:hAnsi="Arial"/>
          <w:sz w:val="16"/>
          <w:szCs w:val="16"/>
          <w:color w:val="008000"/>
          <w:strike w:val="1"/>
        </w:rPr>
        <w:t>appropriate</w:t>
      </w:r>
      <w:r>
        <w:rPr>
          <w:rFonts w:ascii="Arial" w:cs="Arial" w:eastAsia="Arial" w:hAnsi="Arial"/>
          <w:sz w:val="16"/>
          <w:szCs w:val="16"/>
          <w:color w:val="FF0000"/>
          <w:strike w:val="1"/>
        </w:rPr>
        <w:t>,</w:t>
      </w:r>
      <w:r>
        <w:rPr>
          <w:rFonts w:ascii="Arial" w:cs="Arial" w:eastAsia="Arial" w:hAnsi="Arial"/>
          <w:sz w:val="16"/>
          <w:szCs w:val="16"/>
          <w:u w:val="single" w:color="auto"/>
          <w:color w:val="0000FF"/>
        </w:rPr>
        <w:t>(A)</w:t>
      </w:r>
      <w:r>
        <w:rPr>
          <w:rFonts w:ascii="Arial" w:cs="Arial" w:eastAsia="Arial" w:hAnsi="Arial"/>
          <w:sz w:val="16"/>
          <w:szCs w:val="16"/>
          <w:color w:val="008000"/>
        </w:rPr>
        <w:t xml:space="preserve"> </w:t>
      </w:r>
      <w:r>
        <w:rPr>
          <w:rFonts w:ascii="Arial" w:cs="Arial" w:eastAsia="Arial" w:hAnsi="Arial"/>
          <w:sz w:val="16"/>
          <w:szCs w:val="16"/>
          <w:color w:val="000000"/>
        </w:rPr>
        <w:t>continue to make its own</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credit analysis, appraisals and</w:t>
      </w:r>
      <w:r>
        <w:rPr>
          <w:rFonts w:ascii="Arial" w:cs="Arial" w:eastAsia="Arial" w:hAnsi="Arial"/>
          <w:sz w:val="16"/>
          <w:szCs w:val="16"/>
          <w:color w:val="008000"/>
        </w:rPr>
        <w:t xml:space="preserve"> </w:t>
      </w:r>
      <w:r>
        <w:rPr>
          <w:rFonts w:ascii="Arial" w:cs="Arial" w:eastAsia="Arial" w:hAnsi="Arial"/>
          <w:sz w:val="16"/>
          <w:szCs w:val="16"/>
          <w:color w:val="000000"/>
        </w:rPr>
        <w:t>decisions in taking or not taking action under or based upon this Agreement, any</w:t>
      </w:r>
      <w:r>
        <w:rPr>
          <w:rFonts w:ascii="Arial" w:cs="Arial" w:eastAsia="Arial" w:hAnsi="Arial"/>
          <w:sz w:val="16"/>
          <w:szCs w:val="16"/>
          <w:color w:val="008000"/>
        </w:rPr>
        <w:t xml:space="preserve"> </w:t>
      </w:r>
      <w:r>
        <w:rPr>
          <w:rFonts w:ascii="Arial" w:cs="Arial" w:eastAsia="Arial" w:hAnsi="Arial"/>
          <w:sz w:val="16"/>
          <w:szCs w:val="16"/>
          <w:color w:val="000000"/>
        </w:rPr>
        <w:t>other Loan Document or any related agreement or any document furnished hereunder or thereunder</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u w:val="single" w:color="auto"/>
          <w:color w:val="008000"/>
        </w:rPr>
        <w:t>based on such documents and information as it shall</w:t>
      </w:r>
      <w:r>
        <w:rPr>
          <w:rFonts w:ascii="Arial" w:cs="Arial" w:eastAsia="Arial" w:hAnsi="Arial"/>
          <w:sz w:val="16"/>
          <w:szCs w:val="16"/>
          <w:color w:val="000000"/>
        </w:rPr>
        <w:t xml:space="preserve"> </w:t>
      </w:r>
      <w:r>
        <w:rPr>
          <w:rFonts w:ascii="Arial" w:cs="Arial" w:eastAsia="Arial" w:hAnsi="Arial"/>
          <w:sz w:val="16"/>
          <w:szCs w:val="16"/>
          <w:u w:val="single" w:color="auto"/>
          <w:color w:val="008000"/>
        </w:rPr>
        <w:t xml:space="preserve">from time to time deem appropriate </w:t>
      </w:r>
      <w:r>
        <w:rPr>
          <w:rFonts w:ascii="Arial" w:cs="Arial" w:eastAsia="Arial" w:hAnsi="Arial"/>
          <w:sz w:val="16"/>
          <w:szCs w:val="16"/>
          <w:u w:val="single" w:color="auto"/>
          <w:color w:val="0000FF"/>
        </w:rPr>
        <w:t>and its own independent investigations and (B) continue to make such investigations and inquiries as it deems</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necessary to inform itself as to the Borrower and its Subsidiaries and (ii) it will not assert any claim in contravention of this Section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-1119505</wp:posOffset>
            </wp:positionV>
            <wp:extent cx="173164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73164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-1144905</wp:posOffset>
            </wp:positionV>
            <wp:extent cx="17322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32280" cy="8255"/>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-982345</wp:posOffset>
            </wp:positionV>
            <wp:extent cx="21863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86305"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-1007745</wp:posOffset>
            </wp:positionV>
            <wp:extent cx="21894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8948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-845185</wp:posOffset>
            </wp:positionV>
            <wp:extent cx="45262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526280" cy="8255"/>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-870585</wp:posOffset>
            </wp:positionV>
            <wp:extent cx="452437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524375" cy="8255"/>
                    </a:xfrm>
                    <a:prstGeom prst="rect">
                      <a:avLst/>
                    </a:prstGeom>
                    <a:noFill/>
                  </pic:spPr>
                </pic:pic>
              </a:graphicData>
            </a:graphic>
          </wp:anchor>
        </w:drawing>
      </w:r>
    </w:p>
    <w:p>
      <w:pPr>
        <w:spacing w:after="0" w:line="146"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No Other Duties, Etc.</w:t>
      </w:r>
      <w:r>
        <w:rPr>
          <w:rFonts w:ascii="Arial" w:cs="Arial" w:eastAsia="Arial" w:hAnsi="Arial"/>
          <w:sz w:val="17"/>
          <w:szCs w:val="17"/>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w:t>
      </w:r>
      <w:r>
        <w:rPr>
          <w:rFonts w:ascii="Arial" w:cs="Arial" w:eastAsia="Arial" w:hAnsi="Arial"/>
          <w:sz w:val="17"/>
          <w:szCs w:val="17"/>
          <w:u w:val="single" w:color="auto"/>
          <w:color w:val="0000FF"/>
        </w:rPr>
        <w:t>, but each such Person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shall have the benefit of the indemnities and exculpatory provisions hereof</w:t>
      </w:r>
      <w:r>
        <w:rPr>
          <w:rFonts w:ascii="Arial" w:cs="Arial" w:eastAsia="Arial" w:hAnsi="Arial"/>
          <w:sz w:val="17"/>
          <w:szCs w:val="17"/>
          <w:color w:val="000000"/>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w:t>
      </w:r>
    </w:p>
    <w:p>
      <w:pPr>
        <w:spacing w:after="0" w:line="117" w:lineRule="exact"/>
        <w:rPr>
          <w:sz w:val="20"/>
          <w:szCs w:val="20"/>
          <w:color w:val="auto"/>
        </w:rPr>
      </w:pPr>
    </w:p>
    <w:p>
      <w:pPr>
        <w:ind w:right="400" w:firstLine="436"/>
        <w:spacing w:after="0" w:line="277" w:lineRule="auto"/>
        <w:tabs>
          <w:tab w:leader="none" w:pos="68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of the Lenders (including in its or any of its Affiliate’s capacities as a potential Hedge Bank or Cash Management Bank) irrevocably authorize the Administrative Agent, at its option and in its discretion:</w:t>
      </w:r>
    </w:p>
    <w:p>
      <w:pPr>
        <w:spacing w:after="0" w:line="62" w:lineRule="exact"/>
        <w:rPr>
          <w:rFonts w:ascii="Arial" w:cs="Arial" w:eastAsia="Arial" w:hAnsi="Arial"/>
          <w:sz w:val="18"/>
          <w:szCs w:val="18"/>
          <w:color w:val="auto"/>
        </w:rPr>
      </w:pPr>
    </w:p>
    <w:p>
      <w:pPr>
        <w:ind w:left="440" w:right="120" w:firstLine="419"/>
        <w:spacing w:after="0" w:line="291" w:lineRule="auto"/>
        <w:tabs>
          <w:tab w:leader="none" w:pos="1078"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to release any Lien on any Collateral granted to or held by the Administrative Agent, for the ratable benefit of the Secured Parties, under any Loan Document (A) upon the termination of the Revolving Credit Commitment and payment in full of all Secured Obligations (other than</w:t>
      </w:r>
    </w:p>
    <w:p>
      <w:pPr>
        <w:ind w:left="440" w:right="60"/>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(1) contingent indemnification obligations and (2) obligations and liabilities under Secured Cash Management Agreements or Secured Hedge Agreements as to which arrangements satisfactory to the applicable Cash Management Bank or Hedge Bank shall have been made) and the expiration or termination of all Letters of Credit (or been Cash Collateralized or for which arrangements satisfactory to the </w:t>
      </w:r>
      <w:r>
        <w:rPr>
          <w:rFonts w:ascii="Arial" w:cs="Arial" w:eastAsia="Arial" w:hAnsi="Arial"/>
          <w:sz w:val="17"/>
          <w:szCs w:val="17"/>
          <w:u w:val="single" w:color="auto"/>
          <w:color w:val="0000FF"/>
        </w:rPr>
        <w:t>Administrative Agent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the applicable</w:t>
      </w:r>
      <w:r>
        <w:rPr>
          <w:rFonts w:ascii="Arial" w:cs="Arial" w:eastAsia="Arial" w:hAnsi="Arial"/>
          <w:sz w:val="17"/>
          <w:szCs w:val="17"/>
          <w:color w:val="0000FF"/>
        </w:rPr>
        <w:t xml:space="preserve"> </w:t>
      </w:r>
      <w:r>
        <w:rPr>
          <w:rFonts w:ascii="Arial" w:cs="Arial" w:eastAsia="Arial" w:hAnsi="Arial"/>
          <w:sz w:val="17"/>
          <w:szCs w:val="17"/>
          <w:color w:val="000000"/>
        </w:rPr>
        <w:t>Issuing Lender shall have been made), (B) that is sold or otherwise disposed of or to be sold or otherwise disposed of as part of</w:t>
      </w:r>
      <w:r>
        <w:rPr>
          <w:rFonts w:ascii="Arial" w:cs="Arial" w:eastAsia="Arial" w:hAnsi="Arial"/>
          <w:sz w:val="17"/>
          <w:szCs w:val="17"/>
          <w:color w:val="0000FF"/>
        </w:rPr>
        <w:t xml:space="preserve"> </w:t>
      </w:r>
      <w:r>
        <w:rPr>
          <w:rFonts w:ascii="Arial" w:cs="Arial" w:eastAsia="Arial" w:hAnsi="Arial"/>
          <w:sz w:val="17"/>
          <w:szCs w:val="17"/>
          <w:color w:val="000000"/>
        </w:rPr>
        <w:t xml:space="preserve">or in connection with any sale or other Disposition to a Person other than a Credit Party permitted under the Loan Documents, </w:t>
      </w:r>
      <w:r>
        <w:rPr>
          <w:rFonts w:ascii="Arial" w:cs="Arial" w:eastAsia="Arial" w:hAnsi="Arial"/>
          <w:sz w:val="17"/>
          <w:szCs w:val="17"/>
          <w:u w:val="single" w:color="auto"/>
          <w:color w:val="0000FF"/>
        </w:rPr>
        <w:t>as certified by the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Borrower,</w:t>
      </w:r>
      <w:r>
        <w:rPr>
          <w:rFonts w:ascii="Arial" w:cs="Arial" w:eastAsia="Arial" w:hAnsi="Arial"/>
          <w:sz w:val="17"/>
          <w:szCs w:val="17"/>
          <w:color w:val="0000FF"/>
        </w:rPr>
        <w:t xml:space="preserve"> </w:t>
      </w:r>
      <w:r>
        <w:rPr>
          <w:rFonts w:ascii="Arial" w:cs="Arial" w:eastAsia="Arial" w:hAnsi="Arial"/>
          <w:sz w:val="17"/>
          <w:szCs w:val="17"/>
          <w:color w:val="000000"/>
        </w:rPr>
        <w:t>or (C) if approved, authorized or ratified in writing in accordance with</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12.2</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provided that any release of all or substantially all</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of the Collateral shall be subject to Section 12.2(h);</w:t>
      </w:r>
    </w:p>
    <w:p>
      <w:pPr>
        <w:spacing w:after="0" w:line="72" w:lineRule="exact"/>
        <w:rPr>
          <w:rFonts w:ascii="Arial" w:cs="Arial" w:eastAsia="Arial" w:hAnsi="Arial"/>
          <w:sz w:val="16"/>
          <w:szCs w:val="16"/>
          <w:color w:val="auto"/>
        </w:rPr>
      </w:pPr>
    </w:p>
    <w:p>
      <w:pPr>
        <w:ind w:left="440" w:right="60" w:firstLine="419"/>
        <w:spacing w:after="0" w:line="263" w:lineRule="auto"/>
        <w:tabs>
          <w:tab w:leader="none" w:pos="112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to subordinate any Lien on any Collateral granted to or held by the Administrative Agent under any Loan Document to the holder of any Lien permitted pursuant to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provided that any subordination which would have the effect of releasing all or substantially all of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Collateral shall be subject to Section 12.2(h);</w:t>
      </w:r>
      <w:r>
        <w:rPr>
          <w:rFonts w:ascii="Arial" w:cs="Arial" w:eastAsia="Arial" w:hAnsi="Arial"/>
          <w:sz w:val="18"/>
          <w:szCs w:val="18"/>
          <w:color w:val="0000FF"/>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auto"/>
        </w:rPr>
      </w:pPr>
    </w:p>
    <w:p>
      <w:pPr>
        <w:ind w:left="440" w:right="280" w:firstLine="419"/>
        <w:spacing w:after="0" w:line="259" w:lineRule="auto"/>
        <w:tabs>
          <w:tab w:leader="none" w:pos="117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any Loan Documents if such Person (A) ceases to be a Subsidiary as a result of a transaction permitted under the Loan Documents</w:t>
      </w:r>
      <w:r>
        <w:rPr>
          <w:rFonts w:ascii="Arial" w:cs="Arial" w:eastAsia="Arial" w:hAnsi="Arial"/>
          <w:sz w:val="18"/>
          <w:szCs w:val="18"/>
          <w:u w:val="single" w:color="auto"/>
          <w:color w:val="0000FF"/>
        </w:rPr>
        <w:t>, as certified by the Borrower</w:t>
      </w:r>
      <w:r>
        <w:rPr>
          <w:rFonts w:ascii="Arial" w:cs="Arial" w:eastAsia="Arial" w:hAnsi="Arial"/>
          <w:sz w:val="18"/>
          <w:szCs w:val="18"/>
          <w:color w:val="auto"/>
        </w:rPr>
        <w:t xml:space="preserve"> or (B) is designated as, and qualifies to become, an Immaterial Subsidiary</w:t>
      </w:r>
      <w:r>
        <w:rPr>
          <w:rFonts w:ascii="Arial" w:cs="Arial" w:eastAsia="Arial" w:hAnsi="Arial"/>
          <w:sz w:val="18"/>
          <w:szCs w:val="18"/>
          <w:u w:val="single" w:color="auto"/>
          <w:color w:val="0000FF"/>
        </w:rPr>
        <w:t>; provided that any release of Guarantors comprising all or substantially all of the credit support for the Secured Obligations shall be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subject to Section 12.2(g)</w:t>
      </w:r>
      <w:r>
        <w:rPr>
          <w:rFonts w:ascii="Arial" w:cs="Arial" w:eastAsia="Arial" w:hAnsi="Arial"/>
          <w:sz w:val="18"/>
          <w:szCs w:val="18"/>
          <w:color w:val="000000"/>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0"/>
          </w:cols>
          <w:pgMar w:left="440" w:top="490" w:right="459" w:bottom="1440" w:gutter="0" w:footer="0" w:header="0"/>
        </w:sectPr>
      </w:pPr>
    </w:p>
    <w:bookmarkStart w:id="196" w:name="page197"/>
    <w:bookmarkEnd w:id="196"/>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Agreement pursuant to this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Collateral Documents or to subordinate its interest in such item, or to release such Guarantor from its obligations under the Guaranty Agreement, in each case in accordance with the terms of the Loan Documents and this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w:t>
      </w:r>
      <w:r>
        <w:rPr>
          <w:rFonts w:ascii="Arial" w:cs="Arial" w:eastAsia="Arial" w:hAnsi="Arial"/>
          <w:sz w:val="17"/>
          <w:szCs w:val="17"/>
          <w:color w:val="0000FF"/>
        </w:rPr>
        <w:t>as certified by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Borrower</w:t>
      </w:r>
      <w:r>
        <w:rPr>
          <w:rFonts w:ascii="Arial" w:cs="Arial" w:eastAsia="Arial" w:hAnsi="Arial"/>
          <w:sz w:val="17"/>
          <w:szCs w:val="17"/>
          <w:color w:val="000000"/>
        </w:rPr>
        <w:t>. In the case of any such sale, transfer or disposal of any property constituting Collateral in a transaction constituting a Disposition permitted</w:t>
      </w:r>
      <w:r>
        <w:rPr>
          <w:rFonts w:ascii="Arial" w:cs="Arial" w:eastAsia="Arial" w:hAnsi="Arial"/>
          <w:sz w:val="17"/>
          <w:szCs w:val="17"/>
          <w:color w:val="0000FF"/>
        </w:rPr>
        <w:t xml:space="preserve"> </w:t>
      </w:r>
      <w:r>
        <w:rPr>
          <w:rFonts w:ascii="Arial" w:cs="Arial" w:eastAsia="Arial" w:hAnsi="Arial"/>
          <w:sz w:val="17"/>
          <w:szCs w:val="17"/>
          <w:color w:val="000000"/>
        </w:rPr>
        <w:t xml:space="preserve">pursuant to </w:t>
      </w:r>
      <w:r>
        <w:rPr>
          <w:rFonts w:ascii="Arial" w:cs="Arial" w:eastAsia="Arial" w:hAnsi="Arial"/>
          <w:sz w:val="17"/>
          <w:szCs w:val="17"/>
          <w:u w:val="single" w:color="auto"/>
          <w:color w:val="000000"/>
        </w:rPr>
        <w:t>Section 9.5</w:t>
      </w:r>
      <w:r>
        <w:rPr>
          <w:rFonts w:ascii="Arial" w:cs="Arial" w:eastAsia="Arial" w:hAnsi="Arial"/>
          <w:sz w:val="17"/>
          <w:szCs w:val="17"/>
          <w:color w:val="000000"/>
        </w:rPr>
        <w:t xml:space="preserve"> to a Person other than a Credit Party, the Liens created by any of the Collateral Documents on such property shall be automatically released without need for further action by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5981065</wp:posOffset>
            </wp:positionH>
            <wp:positionV relativeFrom="paragraph">
              <wp:posOffset>-424180</wp:posOffset>
            </wp:positionV>
            <wp:extent cx="8483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5983605</wp:posOffset>
            </wp:positionH>
            <wp:positionV relativeFrom="paragraph">
              <wp:posOffset>-449580</wp:posOffset>
            </wp:positionV>
            <wp:extent cx="84391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53" w:lineRule="exact"/>
        <w:rPr>
          <w:sz w:val="20"/>
          <w:szCs w:val="20"/>
          <w:color w:val="auto"/>
        </w:rPr>
      </w:pPr>
    </w:p>
    <w:p>
      <w:pPr>
        <w:ind w:right="160" w:firstLine="436"/>
        <w:spacing w:after="0" w:line="259" w:lineRule="auto"/>
        <w:tabs>
          <w:tab w:leader="none" w:pos="69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u w:val="single" w:color="auto"/>
          <w:color w:val="auto"/>
        </w:rPr>
        <w:t>Secured Hedge Agreements and Secured Cash Management Agreements</w:t>
      </w:r>
      <w:r>
        <w:rPr>
          <w:rFonts w:ascii="Arial" w:cs="Arial" w:eastAsia="Arial" w:hAnsi="Arial"/>
          <w:sz w:val="17"/>
          <w:szCs w:val="17"/>
          <w:color w:val="auto"/>
        </w:rPr>
        <w:t xml:space="preserve">. No Cash Management Bank or Hedge Bank that obtains the benefits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any Collateral by virtue of the provisions hereof or of any </w:t>
      </w:r>
      <w:r>
        <w:rPr>
          <w:rFonts w:ascii="Arial" w:cs="Arial" w:eastAsia="Arial" w:hAnsi="Arial"/>
          <w:sz w:val="17"/>
          <w:szCs w:val="17"/>
          <w:color w:val="FF0000"/>
          <w:strike w:val="1"/>
        </w:rPr>
        <w:t>Security</w:t>
      </w:r>
      <w:r>
        <w:rPr>
          <w:rFonts w:ascii="Arial" w:cs="Arial" w:eastAsia="Arial" w:hAnsi="Arial"/>
          <w:sz w:val="17"/>
          <w:szCs w:val="17"/>
          <w:u w:val="single" w:color="auto"/>
          <w:color w:val="0000FF"/>
        </w:rPr>
        <w:t>Collateral</w:t>
      </w:r>
      <w:r>
        <w:rPr>
          <w:rFonts w:ascii="Arial" w:cs="Arial" w:eastAsia="Arial" w:hAnsi="Arial"/>
          <w:sz w:val="17"/>
          <w:szCs w:val="17"/>
          <w:color w:val="auto"/>
        </w:rPr>
        <w:t xml:space="preserve"> Document shall have any right to notice of any action or to consent to, direct or object to any action hereunder or under any other Loan Document or otherwise in respect of the Collateral (including the release or impairment of any Collateral)</w:t>
      </w:r>
      <w:r>
        <w:rPr>
          <w:rFonts w:ascii="Arial" w:cs="Arial" w:eastAsia="Arial" w:hAnsi="Arial"/>
          <w:sz w:val="17"/>
          <w:szCs w:val="17"/>
          <w:u w:val="single" w:color="auto"/>
          <w:color w:val="0000FF"/>
        </w:rPr>
        <w:t>, or to notice of or to consent to any amendment, waiver or modification of the provisions hereof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 of any Guarantee or any Collateral Document,</w:t>
      </w:r>
      <w:r>
        <w:rPr>
          <w:rFonts w:ascii="Arial" w:cs="Arial" w:eastAsia="Arial" w:hAnsi="Arial"/>
          <w:sz w:val="17"/>
          <w:szCs w:val="17"/>
          <w:color w:val="0000FF"/>
        </w:rPr>
        <w:t xml:space="preserve"> </w:t>
      </w:r>
      <w:r>
        <w:rPr>
          <w:rFonts w:ascii="Arial" w:cs="Arial" w:eastAsia="Arial" w:hAnsi="Arial"/>
          <w:sz w:val="17"/>
          <w:szCs w:val="17"/>
          <w:color w:val="000000"/>
        </w:rPr>
        <w:t>other than in its capacity as a Lender and, in such case, only to the extent expressly provided in the</w:t>
      </w:r>
      <w:r>
        <w:rPr>
          <w:rFonts w:ascii="Arial" w:cs="Arial" w:eastAsia="Arial" w:hAnsi="Arial"/>
          <w:sz w:val="17"/>
          <w:szCs w:val="17"/>
          <w:color w:val="0000FF"/>
        </w:rPr>
        <w:t xml:space="preserve"> </w:t>
      </w:r>
      <w:r>
        <w:rPr>
          <w:rFonts w:ascii="Arial" w:cs="Arial" w:eastAsia="Arial" w:hAnsi="Arial"/>
          <w:sz w:val="17"/>
          <w:szCs w:val="17"/>
          <w:color w:val="000000"/>
        </w:rPr>
        <w:t xml:space="preserve">Loan Documents. </w:t>
      </w:r>
      <w:r>
        <w:rPr>
          <w:rFonts w:ascii="Arial" w:cs="Arial" w:eastAsia="Arial" w:hAnsi="Arial"/>
          <w:sz w:val="17"/>
          <w:szCs w:val="17"/>
          <w:color w:val="FF0000"/>
          <w:strike w:val="1"/>
        </w:rPr>
        <w:t>Notwithstanding</w:t>
      </w:r>
      <w:r>
        <w:rPr>
          <w:rFonts w:ascii="Arial" w:cs="Arial" w:eastAsia="Arial" w:hAnsi="Arial"/>
          <w:sz w:val="17"/>
          <w:szCs w:val="17"/>
          <w:color w:val="000000"/>
        </w:rPr>
        <w:t xml:space="preserve"> </w:t>
      </w:r>
      <w:r>
        <w:rPr>
          <w:rFonts w:ascii="Arial" w:cs="Arial" w:eastAsia="Arial" w:hAnsi="Arial"/>
          <w:sz w:val="17"/>
          <w:szCs w:val="17"/>
          <w:color w:val="008000"/>
          <w:strike w:val="1"/>
        </w:rPr>
        <w:t>any other provision of this</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Article XI</w:t>
      </w:r>
      <w:r>
        <w:rPr>
          <w:rFonts w:ascii="Arial" w:cs="Arial" w:eastAsia="Arial" w:hAnsi="Arial"/>
          <w:sz w:val="17"/>
          <w:szCs w:val="17"/>
          <w:color w:val="000000"/>
        </w:rPr>
        <w:t xml:space="preserve"> </w:t>
      </w:r>
      <w:r>
        <w:rPr>
          <w:rFonts w:ascii="Arial" w:cs="Arial" w:eastAsia="Arial" w:hAnsi="Arial"/>
          <w:sz w:val="17"/>
          <w:szCs w:val="17"/>
          <w:color w:val="FF0000"/>
          <w:strike w:val="1"/>
        </w:rPr>
        <w:t>to the contrary, the</w:t>
      </w:r>
      <w:r>
        <w:rPr>
          <w:rFonts w:ascii="Arial" w:cs="Arial" w:eastAsia="Arial" w:hAnsi="Arial"/>
          <w:sz w:val="17"/>
          <w:szCs w:val="17"/>
          <w:u w:val="single" w:color="auto"/>
          <w:color w:val="0000FF"/>
        </w:rPr>
        <w:t>The</w:t>
      </w:r>
      <w:r>
        <w:rPr>
          <w:rFonts w:ascii="Arial" w:cs="Arial" w:eastAsia="Arial" w:hAnsi="Arial"/>
          <w:sz w:val="17"/>
          <w:szCs w:val="17"/>
          <w:color w:val="000000"/>
        </w:rPr>
        <w:t xml:space="preserve"> Administrative Agent shall not be required to verify the payment of, or that other satisfactory arrangements have been made with respect to, Secured Cash Management Agreements and Secured Hedge Agreements </w:t>
      </w:r>
      <w:r>
        <w:rPr>
          <w:rFonts w:ascii="Arial" w:cs="Arial" w:eastAsia="Arial" w:hAnsi="Arial"/>
          <w:sz w:val="17"/>
          <w:szCs w:val="17"/>
          <w:color w:val="FF0000"/>
          <w:strike w:val="1"/>
        </w:rPr>
        <w:t>unless the Administrative Agent has received written notice of such Secured Cash Management Agreements and Secured Hedge</w:t>
      </w:r>
      <w:r>
        <w:rPr>
          <w:rFonts w:ascii="Arial" w:cs="Arial" w:eastAsia="Arial" w:hAnsi="Arial"/>
          <w:sz w:val="17"/>
          <w:szCs w:val="17"/>
          <w:color w:val="000000"/>
        </w:rPr>
        <w:t xml:space="preserve"> </w:t>
      </w:r>
      <w:r>
        <w:rPr>
          <w:rFonts w:ascii="Arial" w:cs="Arial" w:eastAsia="Arial" w:hAnsi="Arial"/>
          <w:sz w:val="17"/>
          <w:szCs w:val="17"/>
          <w:color w:val="FF0000"/>
          <w:strike w:val="1"/>
        </w:rPr>
        <w:t>Agreements, together with such supporting documentation as the Administrative Agent may request, from the applicable Cash Management Bank or Hedge Bank</w:t>
      </w:r>
      <w:r>
        <w:rPr>
          <w:rFonts w:ascii="Arial" w:cs="Arial" w:eastAsia="Arial" w:hAnsi="Arial"/>
          <w:sz w:val="17"/>
          <w:szCs w:val="17"/>
          <w:color w:val="000000"/>
          <w:strike w:val="1"/>
        </w:rPr>
        <w:t>,</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as the case may be.</w:t>
      </w:r>
      <w:r>
        <w:rPr>
          <w:rFonts w:ascii="Arial" w:cs="Arial" w:eastAsia="Arial" w:hAnsi="Arial"/>
          <w:sz w:val="17"/>
          <w:szCs w:val="17"/>
          <w:u w:val="single" w:color="auto"/>
          <w:color w:val="0000FF"/>
          <w:strike w:val="1"/>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SECTION 11.11 Erroneous Payments.</w:t>
      </w:r>
    </w:p>
    <w:p>
      <w:pPr>
        <w:spacing w:after="0" w:line="117" w:lineRule="exact"/>
        <w:rPr>
          <w:sz w:val="20"/>
          <w:szCs w:val="20"/>
          <w:color w:val="auto"/>
        </w:rPr>
      </w:pPr>
    </w:p>
    <w:p>
      <w:pPr>
        <w:ind w:firstLine="436"/>
        <w:spacing w:after="0" w:line="288" w:lineRule="auto"/>
        <w:tabs>
          <w:tab w:leader="none" w:pos="685" w:val="left"/>
        </w:tabs>
        <w:numPr>
          <w:ilvl w:val="0"/>
          <w:numId w:val="25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Each Lender, each Issuing Lender, each other Secured Party and any other party hereto hereby severally agrees that if (i) the Administrative Agent notifies (which such notice shall be conclusive absent manifest error) such Lender or Issuing Lender or any other Secured Party (or the Lender Affiliate of a Secured Party) or any other Person that has received funds from the Administrative Agent</w:t>
      </w:r>
      <w:r>
        <w:rPr>
          <w:rFonts w:ascii="Arial" w:cs="Arial" w:eastAsia="Arial" w:hAnsi="Arial"/>
          <w:sz w:val="16"/>
          <w:szCs w:val="16"/>
          <w:color w:val="0000FF"/>
        </w:rPr>
        <w:t xml:space="preserve"> </w:t>
      </w:r>
      <w:r>
        <w:rPr>
          <w:rFonts w:ascii="Arial" w:cs="Arial" w:eastAsia="Arial" w:hAnsi="Arial"/>
          <w:sz w:val="16"/>
          <w:szCs w:val="16"/>
          <w:color w:val="008000"/>
        </w:rPr>
        <w:t>or any of its Affiliates</w:t>
      </w:r>
      <w:r>
        <w:rPr>
          <w:rFonts w:ascii="Arial" w:cs="Arial" w:eastAsia="Arial" w:hAnsi="Arial"/>
          <w:sz w:val="16"/>
          <w:szCs w:val="16"/>
          <w:u w:val="single" w:color="auto"/>
          <w:color w:val="0000FF"/>
        </w:rPr>
        <w:t>, either for its own account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on behalf of a Lender, Issuing Lender or other Secured Party (each such recipient, a “Payment Recipient”)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-980440</wp:posOffset>
            </wp:positionV>
            <wp:extent cx="102870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4716780</wp:posOffset>
            </wp:positionH>
            <wp:positionV relativeFrom="paragraph">
              <wp:posOffset>-1006475</wp:posOffset>
            </wp:positionV>
            <wp:extent cx="10293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980"/>
          </w:cols>
          <w:pgMar w:left="440" w:top="490" w:right="479" w:bottom="1440" w:gutter="0" w:footer="0" w:header="0"/>
        </w:sectPr>
      </w:pPr>
    </w:p>
    <w:bookmarkStart w:id="197" w:name="page198"/>
    <w:bookmarkEnd w:id="197"/>
    <w:p>
      <w:pPr>
        <w:spacing w:after="0" w:line="271"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otherwise becomes aware was transmitted or received in error or by mistake (in whole or in part) then, in each case, an error in payment shall be presumed to have been made (any such amounts specified in clauses (i) or (ii) of this Section 11.11(a), whether received as a payment, prepayment or repayment of principal, interest, fees, distribution or otherwise; individually and collectively, an “Erroneous Payment”), then, in each case, such Payment Recipient is deemed to have knowledge of such error at the time of its receipt of such Erroneous Payment; provided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w:t>
      </w:r>
      <w:r>
        <w:rPr>
          <w:rFonts w:ascii="Arial" w:cs="Arial" w:eastAsia="Arial" w:hAnsi="Arial"/>
          <w:sz w:val="17"/>
          <w:szCs w:val="17"/>
          <w:color w:val="0000FF"/>
        </w:rPr>
        <w:t xml:space="preserve"> </w:t>
      </w:r>
      <w:r>
        <w:rPr>
          <w:rFonts w:ascii="Arial" w:cs="Arial" w:eastAsia="Arial" w:hAnsi="Arial"/>
          <w:sz w:val="17"/>
          <w:szCs w:val="17"/>
          <w:color w:val="008000"/>
        </w:rPr>
        <w:t>the Administrative Agent for the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return of any Erroneous Payments, including without limitation waiver of any</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defense based on “discharge for value” or any similar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-151130</wp:posOffset>
            </wp:positionV>
            <wp:extent cx="153479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534795" cy="8255"/>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-177165</wp:posOffset>
            </wp:positionV>
            <wp:extent cx="153606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line="50" w:lineRule="exact"/>
        <w:rPr>
          <w:sz w:val="20"/>
          <w:szCs w:val="20"/>
          <w:color w:val="auto"/>
        </w:rPr>
      </w:pPr>
    </w:p>
    <w:p>
      <w:pPr>
        <w:ind w:firstLine="436"/>
        <w:spacing w:after="0" w:line="277" w:lineRule="auto"/>
        <w:tabs>
          <w:tab w:leader="none" w:pos="692" w:val="left"/>
        </w:tabs>
        <w:numPr>
          <w:ilvl w:val="0"/>
          <w:numId w:val="26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Without limiting the immediately preceding clause (a), each Payment Recipient agrees that, in the case of clause (a)(ii) above, it shall promptly notify the Administrative Agent in writing of such occurrence.</w:t>
      </w:r>
    </w:p>
    <w:p>
      <w:pPr>
        <w:spacing w:after="0" w:line="62" w:lineRule="exact"/>
        <w:rPr>
          <w:rFonts w:ascii="Arial" w:cs="Arial" w:eastAsia="Arial" w:hAnsi="Arial"/>
          <w:sz w:val="18"/>
          <w:szCs w:val="18"/>
          <w:u w:val="single" w:color="auto"/>
          <w:color w:val="0000FF"/>
        </w:rPr>
      </w:pPr>
    </w:p>
    <w:p>
      <w:pPr>
        <w:ind w:right="120" w:firstLine="436"/>
        <w:spacing w:after="0" w:line="272" w:lineRule="auto"/>
        <w:tabs>
          <w:tab w:leader="none" w:pos="685" w:val="left"/>
        </w:tabs>
        <w:numPr>
          <w:ilvl w:val="0"/>
          <w:numId w:val="26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In the case of either clause </w:t>
      </w:r>
      <w:r>
        <w:rPr>
          <w:rFonts w:ascii="Arial" w:cs="Arial" w:eastAsia="Arial" w:hAnsi="Arial"/>
          <w:sz w:val="17"/>
          <w:szCs w:val="17"/>
          <w:u w:val="single" w:color="auto"/>
          <w:color w:val="008000"/>
        </w:rPr>
        <w:t>(a)(i) or (a)(ii)</w:t>
      </w:r>
      <w:r>
        <w:rPr>
          <w:rFonts w:ascii="Arial" w:cs="Arial" w:eastAsia="Arial" w:hAnsi="Arial"/>
          <w:sz w:val="17"/>
          <w:szCs w:val="17"/>
          <w:u w:val="single" w:color="auto"/>
          <w:color w:val="0000FF"/>
        </w:rPr>
        <w:t xml:space="preserve">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69" w:lineRule="exact"/>
        <w:rPr>
          <w:rFonts w:ascii="Arial" w:cs="Arial" w:eastAsia="Arial" w:hAnsi="Arial"/>
          <w:sz w:val="17"/>
          <w:szCs w:val="17"/>
          <w:u w:val="single" w:color="auto"/>
          <w:color w:val="0000FF"/>
        </w:rPr>
      </w:pPr>
    </w:p>
    <w:p>
      <w:pPr>
        <w:ind w:right="40" w:firstLine="436"/>
        <w:spacing w:after="0" w:line="268" w:lineRule="auto"/>
        <w:tabs>
          <w:tab w:leader="none" w:pos="695" w:val="left"/>
        </w:tabs>
        <w:numPr>
          <w:ilvl w:val="0"/>
          <w:numId w:val="26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“Erroneous Payment Return Deficiency”),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t>
      </w:r>
      <w:r>
        <w:rPr>
          <w:rFonts w:ascii="Arial" w:cs="Arial" w:eastAsia="Arial" w:hAnsi="Arial"/>
          <w:sz w:val="17"/>
          <w:szCs w:val="17"/>
          <w:u w:val="single" w:color="auto"/>
          <w:color w:val="008000"/>
        </w:rPr>
        <w:t>with respect to which such</w:t>
      </w:r>
      <w:r>
        <w:rPr>
          <w:rFonts w:ascii="Arial" w:cs="Arial" w:eastAsia="Arial" w:hAnsi="Arial"/>
          <w:sz w:val="17"/>
          <w:szCs w:val="17"/>
          <w:u w:val="single" w:color="auto"/>
          <w:color w:val="0000FF"/>
        </w:rPr>
        <w:t xml:space="preserve"> Erroneous Payment was made (the “Erroneous Payment Impacted Class”)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“Erroneous 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12.9 and (3) the Administrative Agent may reflect such assignments in the Register without further consent or action by any other Person.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00"/>
          </w:cols>
          <w:pgMar w:left="440" w:top="490" w:right="459" w:bottom="1440" w:gutter="0" w:footer="0" w:header="0"/>
        </w:sectPr>
      </w:pPr>
    </w:p>
    <w:bookmarkStart w:id="198" w:name="page199"/>
    <w:bookmarkEnd w:id="198"/>
    <w:p>
      <w:pPr>
        <w:ind w:firstLine="436"/>
        <w:spacing w:after="0" w:line="287" w:lineRule="auto"/>
        <w:tabs>
          <w:tab w:leader="none" w:pos="685" w:val="left"/>
        </w:tabs>
        <w:numPr>
          <w:ilvl w:val="0"/>
          <w:numId w:val="26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Section 11.11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w:t>
      </w:r>
      <w:r>
        <w:rPr>
          <w:rFonts w:ascii="Arial" w:cs="Arial" w:eastAsia="Arial" w:hAnsi="Arial"/>
          <w:sz w:val="16"/>
          <w:szCs w:val="16"/>
          <w:color w:val="0000FF"/>
        </w:rPr>
        <w:t xml:space="preserve"> </w:t>
      </w:r>
      <w:r>
        <w:rPr>
          <w:rFonts w:ascii="Arial" w:cs="Arial" w:eastAsia="Arial" w:hAnsi="Arial"/>
          <w:sz w:val="16"/>
          <w:szCs w:val="16"/>
          <w:color w:val="008000"/>
        </w:rPr>
        <w:t>by the Administrative Agent from</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the Borrower 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any other Credit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w:t>
      </w:r>
      <w:r>
        <w:rPr>
          <w:rFonts w:ascii="Arial" w:cs="Arial" w:eastAsia="Arial" w:hAnsi="Arial"/>
          <w:sz w:val="16"/>
          <w:szCs w:val="16"/>
          <w:color w:val="0000FF"/>
        </w:rPr>
        <w:t xml:space="preserve"> </w:t>
      </w:r>
      <w:r>
        <w:rPr>
          <w:rFonts w:ascii="Arial" w:cs="Arial" w:eastAsia="Arial" w:hAnsi="Arial"/>
          <w:sz w:val="16"/>
          <w:szCs w:val="16"/>
          <w:color w:val="008000"/>
        </w:rPr>
        <w:t>as the case may be,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shall be reinstated and continue in full force and effect as if such payment or satisfaction had never been received.</w:t>
      </w:r>
    </w:p>
    <w:p>
      <w:pPr>
        <w:spacing w:after="0" w:line="63" w:lineRule="exact"/>
        <w:rPr>
          <w:rFonts w:ascii="Arial" w:cs="Arial" w:eastAsia="Arial" w:hAnsi="Arial"/>
          <w:sz w:val="16"/>
          <w:szCs w:val="16"/>
          <w:u w:val="single" w:color="auto"/>
          <w:color w:val="0000FF"/>
        </w:rPr>
      </w:pPr>
    </w:p>
    <w:p>
      <w:pPr>
        <w:ind w:right="300" w:firstLine="436"/>
        <w:spacing w:after="0" w:line="263" w:lineRule="auto"/>
        <w:tabs>
          <w:tab w:leader="none" w:pos="665" w:val="left"/>
        </w:tabs>
        <w:numPr>
          <w:ilvl w:val="0"/>
          <w:numId w:val="26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Each party’s obligations under this Section 11.11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75" w:lineRule="exact"/>
        <w:rPr>
          <w:rFonts w:ascii="Arial" w:cs="Arial" w:eastAsia="Arial" w:hAnsi="Arial"/>
          <w:sz w:val="18"/>
          <w:szCs w:val="18"/>
          <w:u w:val="single" w:color="auto"/>
          <w:color w:val="0000FF"/>
        </w:rPr>
      </w:pPr>
    </w:p>
    <w:p>
      <w:pPr>
        <w:ind w:right="80" w:firstLine="436"/>
        <w:spacing w:after="0" w:line="277" w:lineRule="auto"/>
        <w:tabs>
          <w:tab w:leader="none" w:pos="695" w:val="left"/>
        </w:tabs>
        <w:numPr>
          <w:ilvl w:val="0"/>
          <w:numId w:val="26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Nothing in this Section 11.11 will constitute a waiver or release of any claim of the Administrative Agent hereunder arising from any Payment Recipient’s receipt of an Erroneous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-1253490</wp:posOffset>
            </wp:positionV>
            <wp:extent cx="160337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603375"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-1279525</wp:posOffset>
            </wp:positionV>
            <wp:extent cx="159956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599565"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-842010</wp:posOffset>
            </wp:positionV>
            <wp:extent cx="94297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-868045</wp:posOffset>
            </wp:positionV>
            <wp:extent cx="9359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jc w:val="both"/>
        <w:ind w:right="580" w:firstLine="436"/>
        <w:spacing w:after="0" w:line="263" w:lineRule="auto"/>
        <w:tabs>
          <w:tab w:leader="none" w:pos="68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Borrower:</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400 Professional Drive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Gaithersburg, Maryland 20879</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of: General Counsel</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Telephone No.: </w:t>
      </w:r>
      <w:r>
        <w:rPr>
          <w:rFonts w:ascii="Arial" w:cs="Arial" w:eastAsia="Arial" w:hAnsi="Arial"/>
          <w:sz w:val="18"/>
          <w:szCs w:val="18"/>
          <w:u w:val="single" w:color="auto"/>
          <w:color w:val="0000FF"/>
        </w:rPr>
        <w:t>[***]</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Facsimile No.: </w:t>
      </w:r>
      <w:r>
        <w:rPr>
          <w:rFonts w:ascii="Arial" w:cs="Arial" w:eastAsia="Arial" w:hAnsi="Arial"/>
          <w:sz w:val="18"/>
          <w:szCs w:val="18"/>
          <w:u w:val="single" w:color="auto"/>
          <w:color w:val="0000FF"/>
        </w:rPr>
        <w:t>[***]</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FF0000"/>
          <w:strike w:val="1"/>
        </w:rPr>
        <w:t>sarana@ebsi.com</w:t>
      </w:r>
      <w:r>
        <w:rPr>
          <w:rFonts w:ascii="Arial" w:cs="Arial" w:eastAsia="Arial" w:hAnsi="Arial"/>
          <w:sz w:val="18"/>
          <w:szCs w:val="18"/>
          <w:u w:val="single" w:color="auto"/>
          <w:color w:val="0000FF"/>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400 Professional Drive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Gaithersburg, Maryland 20879</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of: Chief Financial Officer</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Telephone No.: </w:t>
      </w:r>
      <w:r>
        <w:rPr>
          <w:rFonts w:ascii="Arial" w:cs="Arial" w:eastAsia="Arial" w:hAnsi="Arial"/>
          <w:sz w:val="18"/>
          <w:szCs w:val="18"/>
          <w:u w:val="single" w:color="auto"/>
          <w:color w:val="0000FF"/>
        </w:rPr>
        <w:t>[***]</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Facsimile No.: </w:t>
      </w:r>
      <w:r>
        <w:rPr>
          <w:rFonts w:ascii="Arial" w:cs="Arial" w:eastAsia="Arial" w:hAnsi="Arial"/>
          <w:sz w:val="18"/>
          <w:szCs w:val="18"/>
          <w:u w:val="single" w:color="auto"/>
          <w:color w:val="0000FF"/>
        </w:rPr>
        <w:t>[***]</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0"/>
          </w:cols>
          <w:pgMar w:left="440" w:top="490" w:right="45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155</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and</w:t>
      </w:r>
    </w:p>
    <w:p>
      <w:pPr>
        <w:spacing w:after="0" w:line="116" w:lineRule="exact"/>
        <w:rPr>
          <w:sz w:val="20"/>
          <w:szCs w:val="20"/>
          <w:color w:val="auto"/>
        </w:rPr>
      </w:pPr>
    </w:p>
    <w:p>
      <w:pPr>
        <w:ind w:left="2860"/>
        <w:spacing w:after="0"/>
        <w:rPr>
          <w:sz w:val="20"/>
          <w:szCs w:val="20"/>
          <w:color w:val="auto"/>
        </w:rPr>
      </w:pPr>
      <w:r>
        <w:rPr>
          <w:rFonts w:ascii="Arial" w:cs="Arial" w:eastAsia="Arial" w:hAnsi="Arial"/>
          <w:sz w:val="18"/>
          <w:szCs w:val="18"/>
          <w:u w:val="single" w:color="auto"/>
          <w:color w:val="0000FF"/>
        </w:rPr>
        <w:t>Weil, Gotshal &amp; Manges LLP</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u w:val="single" w:color="auto"/>
          <w:color w:val="0000FF"/>
        </w:rPr>
        <w:t>200 Crescent Court, Suite 300</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u w:val="single" w:color="auto"/>
          <w:color w:val="0000FF"/>
        </w:rPr>
        <w:t>Dallas, Texas 75201</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FF0000"/>
          <w:strike w:val="1"/>
        </w:rPr>
        <w:t>DLA Piper LLP</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FF0000"/>
          <w:strike w:val="1"/>
        </w:rPr>
        <w:t>The Marbury Building</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FF0000"/>
          <w:strike w:val="1"/>
        </w:rPr>
        <w:t>6225 Smith Avenue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FF0000"/>
          <w:strike w:val="1"/>
        </w:rPr>
        <w:t>Baltimore, Maryland 21209</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Attention of: </w:t>
      </w:r>
      <w:r>
        <w:rPr>
          <w:rFonts w:ascii="Arial" w:cs="Arial" w:eastAsia="Arial" w:hAnsi="Arial"/>
          <w:sz w:val="18"/>
          <w:szCs w:val="18"/>
          <w:color w:val="FF0000"/>
          <w:strike w:val="1"/>
        </w:rPr>
        <w:t>Leeann K. Kelly-Judd</w:t>
      </w:r>
      <w:r>
        <w:rPr>
          <w:rFonts w:ascii="Arial" w:cs="Arial" w:eastAsia="Arial" w:hAnsi="Arial"/>
          <w:sz w:val="18"/>
          <w:szCs w:val="18"/>
          <w:u w:val="single" w:color="auto"/>
          <w:color w:val="0000FF"/>
        </w:rPr>
        <w:t>Vynessa Nemunaitis</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Telephone No.: </w:t>
      </w:r>
      <w:r>
        <w:rPr>
          <w:rFonts w:ascii="Arial" w:cs="Arial" w:eastAsia="Arial" w:hAnsi="Arial"/>
          <w:sz w:val="18"/>
          <w:szCs w:val="18"/>
          <w:u w:val="single" w:color="auto"/>
          <w:color w:val="0000FF"/>
        </w:rPr>
        <w:t>[***]</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Facsimile No.: </w:t>
      </w:r>
      <w:r>
        <w:rPr>
          <w:rFonts w:ascii="Arial" w:cs="Arial" w:eastAsia="Arial" w:hAnsi="Arial"/>
          <w:sz w:val="18"/>
          <w:szCs w:val="18"/>
          <w:u w:val="single" w:color="auto"/>
          <w:color w:val="0000FF"/>
        </w:rPr>
        <w:t>214-746-7777[***]</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FF0000"/>
          <w:strike w:val="1"/>
        </w:rPr>
        <w:t>E-mail: leeann.kelly-judd@dlapiper.com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u w:val="single" w:color="auto"/>
          <w:color w:val="0000FF"/>
        </w:rPr>
        <w:t>Email: [***]</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Wells Fargo as Administrative Agent, Swingline Lender or Issuing Lender (for payments and requests for Extensions of Credit):</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MAC D1109-019</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1525 West W.T. Harris Blvd.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Charlotte, North Carolina 28262</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of: Syndication Agency Services</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Telephone No.: </w:t>
      </w:r>
      <w:r>
        <w:rPr>
          <w:rFonts w:ascii="Arial" w:cs="Arial" w:eastAsia="Arial" w:hAnsi="Arial"/>
          <w:sz w:val="18"/>
          <w:szCs w:val="18"/>
          <w:u w:val="single" w:color="auto"/>
          <w:color w:val="0000FF"/>
        </w:rPr>
        <w:t>[***]</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Facsimile No.: </w:t>
      </w:r>
      <w:r>
        <w:rPr>
          <w:rFonts w:ascii="Arial" w:cs="Arial" w:eastAsia="Arial" w:hAnsi="Arial"/>
          <w:sz w:val="18"/>
          <w:szCs w:val="18"/>
          <w:u w:val="single" w:color="auto"/>
          <w:color w:val="0000FF"/>
        </w:rPr>
        <w:t>[***]</w:t>
      </w:r>
    </w:p>
    <w:p>
      <w:pPr>
        <w:spacing w:after="0" w:line="103" w:lineRule="exact"/>
        <w:rPr>
          <w:sz w:val="20"/>
          <w:szCs w:val="20"/>
          <w:color w:val="auto"/>
        </w:rPr>
      </w:pPr>
    </w:p>
    <w:p>
      <w:pPr>
        <w:ind w:left="2860"/>
        <w:spacing w:after="0"/>
        <w:rPr>
          <w:sz w:val="20"/>
          <w:szCs w:val="20"/>
          <w:color w:val="auto"/>
        </w:rPr>
      </w:pPr>
      <w:r>
        <w:rPr>
          <w:rFonts w:ascii="Arial" w:cs="Arial" w:eastAsia="Arial" w:hAnsi="Arial"/>
          <w:sz w:val="18"/>
          <w:szCs w:val="18"/>
          <w:u w:val="single" w:color="auto"/>
          <w:color w:val="0000FF"/>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u w:val="single" w:color="auto"/>
          <w:color w:val="0000FF"/>
        </w:rPr>
        <w:t>600 Wells Fargo</w:t>
      </w:r>
    </w:p>
    <w:p>
      <w:pPr>
        <w:ind w:left="2860"/>
        <w:spacing w:after="0" w:line="181" w:lineRule="auto"/>
        <w:rPr>
          <w:sz w:val="20"/>
          <w:szCs w:val="20"/>
          <w:color w:val="auto"/>
        </w:rPr>
      </w:pPr>
      <w:r>
        <w:rPr>
          <w:rFonts w:ascii="Arial" w:cs="Arial" w:eastAsia="Arial" w:hAnsi="Arial"/>
          <w:sz w:val="18"/>
          <w:szCs w:val="18"/>
          <w:color w:val="FF0000"/>
          <w:strike w:val="1"/>
        </w:rPr>
        <w:t>2030 Main</w:t>
      </w:r>
      <w:r>
        <w:rPr>
          <w:rFonts w:ascii="Arial" w:cs="Arial" w:eastAsia="Arial" w:hAnsi="Arial"/>
          <w:sz w:val="18"/>
          <w:szCs w:val="18"/>
          <w:u w:val="single" w:color="auto"/>
          <w:color w:val="0000FF"/>
        </w:rPr>
        <w:t>600 S. 4</w:t>
      </w:r>
      <w:r>
        <w:rPr>
          <w:rFonts w:ascii="Arial" w:cs="Arial" w:eastAsia="Arial" w:hAnsi="Arial"/>
          <w:sz w:val="26"/>
          <w:szCs w:val="26"/>
          <w:u w:val="single" w:color="auto"/>
          <w:color w:val="0000FF"/>
          <w:vertAlign w:val="superscript"/>
        </w:rPr>
        <w:t>th</w:t>
      </w:r>
      <w:r>
        <w:rPr>
          <w:rFonts w:ascii="Arial" w:cs="Arial" w:eastAsia="Arial" w:hAnsi="Arial"/>
          <w:sz w:val="18"/>
          <w:szCs w:val="18"/>
          <w:color w:val="FF0000"/>
        </w:rPr>
        <w:t xml:space="preserve"> </w:t>
      </w:r>
      <w:r>
        <w:rPr>
          <w:rFonts w:ascii="Arial" w:cs="Arial" w:eastAsia="Arial" w:hAnsi="Arial"/>
          <w:sz w:val="18"/>
          <w:szCs w:val="18"/>
          <w:color w:val="000000"/>
        </w:rPr>
        <w:t>Street,</w:t>
      </w:r>
      <w:r>
        <w:rPr>
          <w:rFonts w:ascii="Arial" w:cs="Arial" w:eastAsia="Arial" w:hAnsi="Arial"/>
          <w:sz w:val="18"/>
          <w:szCs w:val="18"/>
          <w:color w:val="FF0000"/>
        </w:rPr>
        <w:t xml:space="preserve"> </w:t>
      </w:r>
      <w:r>
        <w:rPr>
          <w:rFonts w:ascii="Arial" w:cs="Arial" w:eastAsia="Arial" w:hAnsi="Arial"/>
          <w:sz w:val="18"/>
          <w:szCs w:val="18"/>
          <w:color w:val="FF0000"/>
          <w:strike w:val="1"/>
        </w:rPr>
        <w:t>8</w:t>
      </w:r>
      <w:r>
        <w:rPr>
          <w:rFonts w:ascii="Arial" w:cs="Arial" w:eastAsia="Arial" w:hAnsi="Arial"/>
          <w:sz w:val="18"/>
          <w:szCs w:val="18"/>
          <w:u w:val="single" w:color="auto"/>
          <w:color w:val="0000FF"/>
        </w:rPr>
        <w:t>12</w:t>
      </w:r>
      <w:r>
        <w:rPr>
          <w:rFonts w:ascii="Arial" w:cs="Arial" w:eastAsia="Arial" w:hAnsi="Arial"/>
          <w:sz w:val="26"/>
          <w:szCs w:val="26"/>
          <w:color w:val="000000"/>
          <w:vertAlign w:val="superscript"/>
        </w:rPr>
        <w:t>th</w:t>
      </w:r>
      <w:r>
        <w:rPr>
          <w:rFonts w:ascii="Arial" w:cs="Arial" w:eastAsia="Arial" w:hAnsi="Arial"/>
          <w:sz w:val="18"/>
          <w:szCs w:val="18"/>
          <w:color w:val="FF0000"/>
        </w:rPr>
        <w:t xml:space="preserve"> </w:t>
      </w:r>
      <w:r>
        <w:rPr>
          <w:rFonts w:ascii="Arial" w:cs="Arial" w:eastAsia="Arial" w:hAnsi="Arial"/>
          <w:sz w:val="18"/>
          <w:szCs w:val="18"/>
          <w:color w:val="000000"/>
        </w:rPr>
        <w:t>Floor</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u w:val="single" w:color="auto"/>
          <w:color w:val="0000FF"/>
        </w:rPr>
        <w:t>Minneapolis, MN 55415-1526</w:t>
      </w:r>
    </w:p>
    <w:p>
      <w:pPr>
        <w:spacing w:after="0" w:line="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MAC: </w:t>
      </w:r>
      <w:r>
        <w:rPr>
          <w:rFonts w:ascii="Arial" w:cs="Arial" w:eastAsia="Arial" w:hAnsi="Arial"/>
          <w:sz w:val="18"/>
          <w:szCs w:val="18"/>
          <w:color w:val="FF0000"/>
          <w:strike w:val="1"/>
        </w:rPr>
        <w:t>E2231</w:t>
      </w:r>
      <w:r>
        <w:rPr>
          <w:rFonts w:ascii="Arial" w:cs="Arial" w:eastAsia="Arial" w:hAnsi="Arial"/>
          <w:sz w:val="18"/>
          <w:szCs w:val="18"/>
          <w:u w:val="single" w:color="auto"/>
          <w:color w:val="0000FF"/>
        </w:rPr>
        <w:t>N9300</w:t>
      </w:r>
      <w:r>
        <w:rPr>
          <w:rFonts w:ascii="Arial" w:cs="Arial" w:eastAsia="Arial" w:hAnsi="Arial"/>
          <w:sz w:val="18"/>
          <w:szCs w:val="18"/>
          <w:color w:val="auto"/>
        </w:rPr>
        <w:t>-</w:t>
      </w:r>
      <w:r>
        <w:rPr>
          <w:rFonts w:ascii="Arial" w:cs="Arial" w:eastAsia="Arial" w:hAnsi="Arial"/>
          <w:sz w:val="18"/>
          <w:szCs w:val="18"/>
          <w:color w:val="FF0000"/>
          <w:strike w:val="1"/>
        </w:rPr>
        <w:t>081</w:t>
      </w:r>
      <w:r>
        <w:rPr>
          <w:rFonts w:ascii="Arial" w:cs="Arial" w:eastAsia="Arial" w:hAnsi="Arial"/>
          <w:sz w:val="18"/>
          <w:szCs w:val="18"/>
          <w:u w:val="single" w:color="auto"/>
          <w:color w:val="0000FF"/>
        </w:rPr>
        <w:t>129</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FF0000"/>
          <w:strike w:val="1"/>
        </w:rPr>
        <w:t>Irvine, CA 92614</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Attention of: </w:t>
      </w:r>
      <w:r>
        <w:rPr>
          <w:rFonts w:ascii="Arial" w:cs="Arial" w:eastAsia="Arial" w:hAnsi="Arial"/>
          <w:sz w:val="18"/>
          <w:szCs w:val="18"/>
          <w:color w:val="FF0000"/>
          <w:strike w:val="1"/>
        </w:rPr>
        <w:t>Sara Barton</w:t>
      </w:r>
      <w:r>
        <w:rPr>
          <w:rFonts w:ascii="Arial" w:cs="Arial" w:eastAsia="Arial" w:hAnsi="Arial"/>
          <w:sz w:val="18"/>
          <w:szCs w:val="18"/>
          <w:u w:val="single" w:color="auto"/>
          <w:color w:val="0000FF"/>
        </w:rPr>
        <w:t>Troy Jefferson</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Telephone No.: </w:t>
      </w:r>
      <w:r>
        <w:rPr>
          <w:rFonts w:ascii="Arial" w:cs="Arial" w:eastAsia="Arial" w:hAnsi="Arial"/>
          <w:sz w:val="18"/>
          <w:szCs w:val="18"/>
          <w:u w:val="single" w:color="auto"/>
          <w:color w:val="0000FF"/>
        </w:rPr>
        <w:t>[***]</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Facsimile No.: </w:t>
      </w:r>
      <w:r>
        <w:rPr>
          <w:rFonts w:ascii="Arial" w:cs="Arial" w:eastAsia="Arial" w:hAnsi="Arial"/>
          <w:sz w:val="18"/>
          <w:szCs w:val="18"/>
          <w:u w:val="single" w:color="auto"/>
          <w:color w:val="0000FF"/>
        </w:rPr>
        <w:t>[***]</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any Lender:</w:t>
      </w:r>
    </w:p>
    <w:p>
      <w:pPr>
        <w:spacing w:after="0" w:line="117" w:lineRule="exact"/>
        <w:rPr>
          <w:sz w:val="20"/>
          <w:szCs w:val="20"/>
          <w:color w:val="auto"/>
        </w:rPr>
      </w:pPr>
    </w:p>
    <w:p>
      <w:pPr>
        <w:ind w:left="2860" w:right="880"/>
        <w:spacing w:after="0" w:line="277" w:lineRule="auto"/>
        <w:rPr>
          <w:sz w:val="20"/>
          <w:szCs w:val="20"/>
          <w:color w:val="auto"/>
        </w:rPr>
      </w:pPr>
      <w:r>
        <w:rPr>
          <w:rFonts w:ascii="Arial" w:cs="Arial" w:eastAsia="Arial" w:hAnsi="Arial"/>
          <w:sz w:val="18"/>
          <w:szCs w:val="18"/>
          <w:color w:val="auto"/>
        </w:rPr>
        <w:t>To the address of such Lender set forth on the Register with respect to deliveries of notices and other documentation that may contain material non-public information.</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ectPr>
          <w:pgSz w:w="11900" w:h="16838" w:orient="portrait"/>
          <w:cols w:equalWidth="0" w:num="1">
            <w:col w:w="11000"/>
          </w:cols>
          <w:pgMar w:left="440" w:top="638" w:right="459" w:bottom="1440" w:gutter="0" w:footer="0" w:header="0"/>
        </w:sectPr>
      </w:pPr>
    </w:p>
    <w:bookmarkStart w:id="200" w:name="page201"/>
    <w:bookmarkEnd w:id="200"/>
    <w:p>
      <w:pPr>
        <w:ind w:right="60" w:firstLine="436"/>
        <w:spacing w:after="0" w:line="268" w:lineRule="auto"/>
        <w:tabs>
          <w:tab w:leader="none" w:pos="695"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Electronic Communications</w:t>
      </w:r>
      <w:r>
        <w:rPr>
          <w:rFonts w:ascii="Arial" w:cs="Arial" w:eastAsia="Arial" w:hAnsi="Arial"/>
          <w:sz w:val="17"/>
          <w:szCs w:val="17"/>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any Issuing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III if such Lender or such Issuing Lender, as applicable, has notified the Administrative Agent that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78" w:lineRule="exact"/>
        <w:rPr>
          <w:rFonts w:ascii="Arial" w:cs="Arial" w:eastAsia="Arial" w:hAnsi="Arial"/>
          <w:sz w:val="17"/>
          <w:szCs w:val="17"/>
          <w:color w:val="auto"/>
        </w:rPr>
      </w:pPr>
    </w:p>
    <w:p>
      <w:pPr>
        <w:jc w:val="both"/>
        <w:ind w:right="100" w:firstLine="436"/>
        <w:spacing w:after="0" w:line="286" w:lineRule="auto"/>
        <w:tabs>
          <w:tab w:leader="none" w:pos="675"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The Administrative Agent hereby designates its office located at the address set forth above, or any subsequent office which shall have been specified for such purpose by written notice to the Borrower and Lenders, as the Administrative Agent’s Office referred to herein, to which payments due are to be made and at which Loans will be disbursed and Letters of Credit requested.</w:t>
      </w:r>
    </w:p>
    <w:p>
      <w:pPr>
        <w:spacing w:after="0" w:line="57" w:lineRule="exact"/>
        <w:rPr>
          <w:rFonts w:ascii="Arial" w:cs="Arial" w:eastAsia="Arial" w:hAnsi="Arial"/>
          <w:sz w:val="17"/>
          <w:szCs w:val="17"/>
          <w:color w:val="auto"/>
        </w:rPr>
      </w:pPr>
    </w:p>
    <w:p>
      <w:pPr>
        <w:ind w:right="100" w:firstLine="436"/>
        <w:spacing w:after="0" w:line="259" w:lineRule="auto"/>
        <w:tabs>
          <w:tab w:leader="none" w:pos="69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Each of the Borrower, the Administrative Agent, any Issuing Lender or the Swingline Lender may change its address or </w:t>
      </w:r>
      <w:r>
        <w:rPr>
          <w:rFonts w:ascii="Arial" w:cs="Arial" w:eastAsia="Arial" w:hAnsi="Arial"/>
          <w:sz w:val="18"/>
          <w:szCs w:val="18"/>
          <w:color w:val="FF0000"/>
          <w:strike w:val="1"/>
        </w:rPr>
        <w:t>facsimile number</w:t>
      </w:r>
      <w:r>
        <w:rPr>
          <w:rFonts w:ascii="Arial" w:cs="Arial" w:eastAsia="Arial" w:hAnsi="Arial"/>
          <w:sz w:val="18"/>
          <w:szCs w:val="18"/>
          <w:u w:val="single" w:color="auto"/>
          <w:color w:val="0000FF"/>
        </w:rPr>
        <w:t>other contact information</w:t>
      </w:r>
      <w:r>
        <w:rPr>
          <w:rFonts w:ascii="Arial" w:cs="Arial" w:eastAsia="Arial" w:hAnsi="Arial"/>
          <w:sz w:val="18"/>
          <w:szCs w:val="18"/>
          <w:color w:val="auto"/>
        </w:rPr>
        <w:t xml:space="preserve"> for notices and other communications hereunder by notice to the other parties hereto. Any Lender may change its address or facsimile number for notices and other communications hereunder by notice to the Borrower, the Administrative Agent, each Issuing Lender and the Swingline Lender.</w:t>
      </w:r>
    </w:p>
    <w:p>
      <w:pPr>
        <w:spacing w:after="0" w:line="78" w:lineRule="exact"/>
        <w:rPr>
          <w:rFonts w:ascii="Arial" w:cs="Arial" w:eastAsia="Arial" w:hAnsi="Arial"/>
          <w:sz w:val="18"/>
          <w:szCs w:val="18"/>
          <w:color w:val="auto"/>
        </w:rPr>
      </w:pPr>
    </w:p>
    <w:p>
      <w:pPr>
        <w:ind w:left="680" w:hanging="244"/>
        <w:spacing w:after="0"/>
        <w:tabs>
          <w:tab w:leader="none" w:pos="68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308" w:lineRule="auto"/>
        <w:tabs>
          <w:tab w:leader="none" w:pos="1078" w:val="left"/>
        </w:tabs>
        <w:numPr>
          <w:ilvl w:val="1"/>
          <w:numId w:val="263"/>
        </w:numPr>
        <w:rPr>
          <w:rFonts w:ascii="Arial" w:cs="Arial" w:eastAsia="Arial" w:hAnsi="Arial"/>
          <w:sz w:val="17"/>
          <w:szCs w:val="17"/>
          <w:color w:val="auto"/>
        </w:rPr>
      </w:pPr>
      <w:r>
        <w:rPr>
          <w:rFonts w:ascii="Arial" w:cs="Arial" w:eastAsia="Arial" w:hAnsi="Arial"/>
          <w:sz w:val="17"/>
          <w:szCs w:val="17"/>
          <w:color w:val="auto"/>
        </w:rPr>
        <w:t>Each Credit Party</w:t>
      </w:r>
      <w:r>
        <w:rPr>
          <w:rFonts w:ascii="Arial" w:cs="Arial" w:eastAsia="Arial" w:hAnsi="Arial"/>
          <w:sz w:val="17"/>
          <w:szCs w:val="17"/>
          <w:u w:val="single" w:color="auto"/>
          <w:color w:val="0000FF"/>
        </w:rPr>
        <w:t>, each Lender and each Issuing Lender</w:t>
      </w:r>
      <w:r>
        <w:rPr>
          <w:rFonts w:ascii="Arial" w:cs="Arial" w:eastAsia="Arial" w:hAnsi="Arial"/>
          <w:sz w:val="17"/>
          <w:szCs w:val="17"/>
          <w:color w:val="auto"/>
        </w:rPr>
        <w:t xml:space="preserve"> agrees that the Administrative Agent may, but shall not be obligated to, make the Borrower Materials available to the Issuing Lenders and the other Lenders by posting the Borrower Materials on the Platform.</w:t>
      </w:r>
    </w:p>
    <w:p>
      <w:pPr>
        <w:spacing w:after="0" w:line="38" w:lineRule="exact"/>
        <w:rPr>
          <w:rFonts w:ascii="Arial" w:cs="Arial" w:eastAsia="Arial" w:hAnsi="Arial"/>
          <w:sz w:val="17"/>
          <w:szCs w:val="17"/>
          <w:color w:val="auto"/>
        </w:rPr>
      </w:pPr>
    </w:p>
    <w:p>
      <w:pPr>
        <w:ind w:left="440" w:firstLine="419"/>
        <w:spacing w:after="0" w:line="271" w:lineRule="auto"/>
        <w:tabs>
          <w:tab w:leader="none" w:pos="1125"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w:t>
      </w:r>
      <w:r>
        <w:rPr>
          <w:rFonts w:ascii="Arial" w:cs="Arial" w:eastAsia="Arial" w:hAnsi="Arial"/>
          <w:sz w:val="17"/>
          <w:szCs w:val="17"/>
          <w:color w:val="FF0000"/>
          <w:strike w:val="1"/>
        </w:rPr>
        <w:t>, without limitation,</w:t>
      </w:r>
      <w:r>
        <w:rPr>
          <w:rFonts w:ascii="Arial" w:cs="Arial" w:eastAsia="Arial" w:hAnsi="Arial"/>
          <w:sz w:val="17"/>
          <w:szCs w:val="17"/>
          <w:color w:val="auto"/>
        </w:rPr>
        <w:t xml:space="preserve"> any warranty of merchantability, fitness for a particular purpose, non-infringement of third-party rights or freedom from viruses or other code defects, is made by any Agent Party in connection with the Borrower Materials or the Platform. </w:t>
      </w:r>
      <w:r>
        <w:rPr>
          <w:rFonts w:ascii="Arial" w:cs="Arial" w:eastAsia="Arial" w:hAnsi="Arial"/>
          <w:sz w:val="17"/>
          <w:szCs w:val="17"/>
          <w:color w:val="FF0000"/>
          <w:strike w:val="1"/>
        </w:rPr>
        <w:t>In no event shall</w:t>
      </w:r>
      <w:r>
        <w:rPr>
          <w:rFonts w:ascii="Arial" w:cs="Arial" w:eastAsia="Arial" w:hAnsi="Arial"/>
          <w:sz w:val="17"/>
          <w:szCs w:val="17"/>
          <w:u w:val="single" w:color="auto"/>
          <w:color w:val="0000FF"/>
        </w:rPr>
        <w:t>Although the Platform is secured pursuant to generally-applicable security procedures and policies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implemented or modified by</w:t>
      </w:r>
      <w:r>
        <w:rPr>
          <w:rFonts w:ascii="Arial" w:cs="Arial" w:eastAsia="Arial" w:hAnsi="Arial"/>
          <w:sz w:val="17"/>
          <w:szCs w:val="17"/>
          <w:color w:val="0000FF"/>
        </w:rPr>
        <w:t xml:space="preserve"> </w:t>
      </w:r>
      <w:r>
        <w:rPr>
          <w:rFonts w:ascii="Arial" w:cs="Arial" w:eastAsia="Arial" w:hAnsi="Arial"/>
          <w:sz w:val="17"/>
          <w:szCs w:val="17"/>
          <w:color w:val="000000"/>
        </w:rPr>
        <w:t>the Administrative Agent</w:t>
      </w:r>
      <w:r>
        <w:rPr>
          <w:rFonts w:ascii="Arial" w:cs="Arial" w:eastAsia="Arial" w:hAnsi="Arial"/>
          <w:sz w:val="17"/>
          <w:szCs w:val="17"/>
          <w:color w:val="0000FF"/>
        </w:rPr>
        <w:t xml:space="preserve"> </w:t>
      </w:r>
      <w:r>
        <w:rPr>
          <w:rFonts w:ascii="Arial" w:cs="Arial" w:eastAsia="Arial" w:hAnsi="Arial"/>
          <w:sz w:val="17"/>
          <w:szCs w:val="17"/>
          <w:color w:val="FF0000"/>
          <w:strike w:val="1"/>
        </w:rPr>
        <w:t>or</w:t>
      </w:r>
      <w:r>
        <w:rPr>
          <w:rFonts w:ascii="Arial" w:cs="Arial" w:eastAsia="Arial" w:hAnsi="Arial"/>
          <w:sz w:val="17"/>
          <w:szCs w:val="17"/>
          <w:color w:val="0000FF"/>
        </w:rPr>
        <w:t xml:space="preserve"> </w:t>
      </w:r>
      <w:r>
        <w:rPr>
          <w:rFonts w:ascii="Arial" w:cs="Arial" w:eastAsia="Arial" w:hAnsi="Arial"/>
          <w:sz w:val="17"/>
          <w:szCs w:val="17"/>
          <w:color w:val="000000"/>
        </w:rPr>
        <w:t>an</w:t>
      </w:r>
      <w:r>
        <w:rPr>
          <w:rFonts w:ascii="Arial" w:cs="Arial" w:eastAsia="Arial" w:hAnsi="Arial"/>
          <w:sz w:val="17"/>
          <w:szCs w:val="17"/>
          <w:color w:val="FF0000"/>
          <w:strike w:val="1"/>
        </w:rPr>
        <w:t>y</w:t>
      </w:r>
      <w:r>
        <w:rPr>
          <w:rFonts w:ascii="Arial" w:cs="Arial" w:eastAsia="Arial" w:hAnsi="Arial"/>
          <w:sz w:val="17"/>
          <w:szCs w:val="17"/>
          <w:u w:val="single" w:color="auto"/>
          <w:color w:val="0000FF"/>
        </w:rPr>
        <w:t>d</w:t>
      </w:r>
      <w:r>
        <w:rPr>
          <w:rFonts w:ascii="Arial" w:cs="Arial" w:eastAsia="Arial" w:hAnsi="Arial"/>
          <w:sz w:val="17"/>
          <w:szCs w:val="17"/>
          <w:color w:val="0000FF"/>
        </w:rPr>
        <w:t xml:space="preserve"> </w:t>
      </w:r>
      <w:r>
        <w:rPr>
          <w:rFonts w:ascii="Arial" w:cs="Arial" w:eastAsia="Arial" w:hAnsi="Arial"/>
          <w:sz w:val="17"/>
          <w:szCs w:val="17"/>
          <w:color w:val="FF0000"/>
          <w:strike w:val="1"/>
        </w:rPr>
        <w:t>of</w:t>
      </w:r>
      <w:r>
        <w:rPr>
          <w:rFonts w:ascii="Arial" w:cs="Arial" w:eastAsia="Arial" w:hAnsi="Arial"/>
          <w:sz w:val="17"/>
          <w:szCs w:val="17"/>
          <w:color w:val="0000FF"/>
        </w:rPr>
        <w:t xml:space="preserve"> </w:t>
      </w:r>
      <w:r>
        <w:rPr>
          <w:rFonts w:ascii="Arial" w:cs="Arial" w:eastAsia="Arial" w:hAnsi="Arial"/>
          <w:sz w:val="17"/>
          <w:szCs w:val="17"/>
          <w:color w:val="000000"/>
        </w:rPr>
        <w:t>its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Related Parties, each of the Lenders, the Issuing Lenders and the Borrower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acknowledges and agrees that distribution of information through an electronic means is not necessarily secure in all respects, the Administrative Agent, the Arranger and their respective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0"/>
          </w:cols>
          <w:pgMar w:left="440" w:top="490" w:right="459" w:bottom="1440" w:gutter="0" w:footer="0" w:header="0"/>
        </w:sectPr>
      </w:pPr>
    </w:p>
    <w:bookmarkStart w:id="201" w:name="page202"/>
    <w:bookmarkEnd w:id="201"/>
    <w:p>
      <w:pPr>
        <w:ind w:left="440"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are not responsible for approving or vetting the representatives, designees or contacts of any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Lender or Issuing Lender that are provided access to the Platform and that there may be confidentiality and other risks associated with such form of distribution. Each of the Borrower, each Lender and each Issuing Lender party hereto understands and accepts such risks. In no event shall the Agent Parties</w:t>
      </w:r>
      <w:r>
        <w:rPr>
          <w:rFonts w:ascii="Arial" w:cs="Arial" w:eastAsia="Arial" w:hAnsi="Arial"/>
          <w:sz w:val="17"/>
          <w:szCs w:val="17"/>
          <w:color w:val="0000FF"/>
        </w:rPr>
        <w:t xml:space="preserve"> </w:t>
      </w:r>
      <w:r>
        <w:rPr>
          <w:rFonts w:ascii="Arial" w:cs="Arial" w:eastAsia="Arial" w:hAnsi="Arial"/>
          <w:sz w:val="17"/>
          <w:szCs w:val="17"/>
          <w:color w:val="000000"/>
        </w:rPr>
        <w:t>have any liability to any Credit Party, any Lender or any other Person or entity for losses, claims, damages, liabilities or expenses of</w:t>
      </w:r>
      <w:r>
        <w:rPr>
          <w:rFonts w:ascii="Arial" w:cs="Arial" w:eastAsia="Arial" w:hAnsi="Arial"/>
          <w:sz w:val="17"/>
          <w:szCs w:val="17"/>
          <w:color w:val="0000FF"/>
        </w:rPr>
        <w:t xml:space="preserve"> </w:t>
      </w:r>
      <w:r>
        <w:rPr>
          <w:rFonts w:ascii="Arial" w:cs="Arial" w:eastAsia="Arial" w:hAnsi="Arial"/>
          <w:sz w:val="17"/>
          <w:szCs w:val="17"/>
          <w:color w:val="000000"/>
        </w:rPr>
        <w:t>any kind (whether in tort, contract or otherwise) arising out of any Credit Party’s or the Administrative Agent’s transmission of communications through the Internet (including</w:t>
      </w:r>
      <w:r>
        <w:rPr>
          <w:rFonts w:ascii="Arial" w:cs="Arial" w:eastAsia="Arial" w:hAnsi="Arial"/>
          <w:sz w:val="17"/>
          <w:szCs w:val="17"/>
          <w:color w:val="FF0000"/>
          <w:strike w:val="1"/>
        </w:rPr>
        <w:t>, without limitation,</w:t>
      </w:r>
      <w:r>
        <w:rPr>
          <w:rFonts w:ascii="Arial" w:cs="Arial" w:eastAsia="Arial" w:hAnsi="Arial"/>
          <w:sz w:val="17"/>
          <w:szCs w:val="17"/>
          <w:color w:val="000000"/>
        </w:rPr>
        <w:t xml:space="preserve"> the Platform), except to the extent that such losses, claims, damages, liabilities or expenses are determined by a court of competent jurisdiction by final and non</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appealable judgment to have resulted from the gross negligence or willful misconduct of such Agent Party;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in no event shall any Agent Party have any liability to any Credit Party, any Lender,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any</w:t>
      </w:r>
      <w:r>
        <w:rPr>
          <w:rFonts w:ascii="Arial" w:cs="Arial" w:eastAsia="Arial" w:hAnsi="Arial"/>
          <w:sz w:val="17"/>
          <w:szCs w:val="17"/>
          <w:color w:val="000000"/>
        </w:rPr>
        <w:t xml:space="preserve"> Issuing Lender</w:t>
      </w:r>
      <w:r>
        <w:rPr>
          <w:rFonts w:ascii="Arial" w:cs="Arial" w:eastAsia="Arial" w:hAnsi="Arial"/>
          <w:sz w:val="17"/>
          <w:szCs w:val="17"/>
          <w:color w:val="FF0000"/>
          <w:strike w:val="1"/>
        </w:rPr>
        <w:t>s</w:t>
      </w:r>
      <w:r>
        <w:rPr>
          <w:rFonts w:ascii="Arial" w:cs="Arial" w:eastAsia="Arial" w:hAnsi="Arial"/>
          <w:sz w:val="17"/>
          <w:szCs w:val="17"/>
          <w:color w:val="000000"/>
        </w:rPr>
        <w:t xml:space="preserve"> or any other Person for indirect, special, incidental, consequential or punitive damages, losses or expenses (as opposed to actual damages, losses or expenses).</w:t>
      </w:r>
    </w:p>
    <w:p>
      <w:pPr>
        <w:spacing w:after="0" w:line="77" w:lineRule="exact"/>
        <w:rPr>
          <w:sz w:val="20"/>
          <w:szCs w:val="20"/>
          <w:color w:val="auto"/>
        </w:rPr>
      </w:pPr>
    </w:p>
    <w:p>
      <w:pPr>
        <w:ind w:right="80" w:firstLine="436"/>
        <w:spacing w:after="0" w:line="255" w:lineRule="auto"/>
        <w:tabs>
          <w:tab w:leader="none" w:pos="665"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Private Side Designation</w:t>
      </w:r>
      <w:r>
        <w:rPr>
          <w:rFonts w:ascii="Arial" w:cs="Arial" w:eastAsia="Arial" w:hAnsi="Arial"/>
          <w:sz w:val="18"/>
          <w:szCs w:val="18"/>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Applicable Laws.</w:t>
      </w:r>
    </w:p>
    <w:p>
      <w:pPr>
        <w:spacing w:after="0" w:line="192"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u w:val="single" w:color="auto"/>
          <w:color w:val="auto"/>
        </w:rPr>
        <w:t>Amendments, Waivers and Consents</w:t>
      </w:r>
      <w:r>
        <w:rPr>
          <w:rFonts w:ascii="Arial" w:cs="Arial" w:eastAsia="Arial" w:hAnsi="Arial"/>
          <w:sz w:val="17"/>
          <w:szCs w:val="17"/>
          <w:color w:val="auto"/>
        </w:rPr>
        <w:t xml:space="preserve">. Except as set forth below or as specifically provided in any Loan Document </w:t>
      </w:r>
      <w:r>
        <w:rPr>
          <w:rFonts w:ascii="Arial" w:cs="Arial" w:eastAsia="Arial" w:hAnsi="Arial"/>
          <w:sz w:val="17"/>
          <w:szCs w:val="17"/>
          <w:u w:val="single" w:color="auto"/>
          <w:color w:val="0000FF"/>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Section 5.8(c))</w:t>
      </w:r>
      <w:r>
        <w:rPr>
          <w:rFonts w:ascii="Arial" w:cs="Arial" w:eastAsia="Arial" w:hAnsi="Arial"/>
          <w:sz w:val="17"/>
          <w:szCs w:val="17"/>
          <w:color w:val="000000"/>
        </w:rPr>
        <w:t>, any term, covenant, agreement or condition of this Agreement or any of the other Loan Documents may be amended or waived by the</w:t>
      </w:r>
      <w:r>
        <w:rPr>
          <w:rFonts w:ascii="Arial" w:cs="Arial" w:eastAsia="Arial" w:hAnsi="Arial"/>
          <w:sz w:val="17"/>
          <w:szCs w:val="17"/>
          <w:color w:val="0000FF"/>
        </w:rPr>
        <w:t xml:space="preserve"> </w:t>
      </w:r>
      <w:r>
        <w:rPr>
          <w:rFonts w:ascii="Arial" w:cs="Arial" w:eastAsia="Arial" w:hAnsi="Arial"/>
          <w:sz w:val="17"/>
          <w:szCs w:val="17"/>
          <w:color w:val="000000"/>
        </w:rPr>
        <w:t xml:space="preserve">Lenders, and any consent given by the Lenders, if, but only if, such amendment, waiver or consent is in writing </w:t>
      </w:r>
      <w:r>
        <w:rPr>
          <w:rFonts w:ascii="Arial" w:cs="Arial" w:eastAsia="Arial" w:hAnsi="Arial"/>
          <w:sz w:val="17"/>
          <w:szCs w:val="17"/>
          <w:color w:val="FF0000"/>
          <w:strike w:val="1"/>
        </w:rPr>
        <w:t>signed</w:t>
      </w:r>
      <w:r>
        <w:rPr>
          <w:rFonts w:ascii="Arial" w:cs="Arial" w:eastAsia="Arial" w:hAnsi="Arial"/>
          <w:sz w:val="17"/>
          <w:szCs w:val="17"/>
          <w:u w:val="single" w:color="auto"/>
          <w:color w:val="0000FF"/>
        </w:rPr>
        <w:t>and approved</w:t>
      </w:r>
      <w:r>
        <w:rPr>
          <w:rFonts w:ascii="Arial" w:cs="Arial" w:eastAsia="Arial" w:hAnsi="Arial"/>
          <w:sz w:val="17"/>
          <w:szCs w:val="17"/>
          <w:color w:val="000000"/>
        </w:rPr>
        <w:t xml:space="preserve"> by the Required Lenders (or by the Administrative Agent with the consent of the Required Lenders) and delivered to the Administrative Agent and, in the case of an amendment, signed by the Borrower; </w:t>
      </w:r>
      <w:r>
        <w:rPr>
          <w:rFonts w:ascii="Arial" w:cs="Arial" w:eastAsia="Arial" w:hAnsi="Arial"/>
          <w:sz w:val="17"/>
          <w:szCs w:val="17"/>
          <w:u w:val="single" w:color="auto"/>
          <w:color w:val="000000"/>
        </w:rPr>
        <w:t>provided</w:t>
      </w:r>
      <w:r>
        <w:rPr>
          <w:rFonts w:ascii="Arial" w:cs="Arial" w:eastAsia="Arial" w:hAnsi="Arial"/>
          <w:sz w:val="17"/>
          <w:szCs w:val="17"/>
          <w:color w:val="000000"/>
        </w:rPr>
        <w:t>, that no amendment, waiver or consent shall:</w:t>
      </w:r>
    </w:p>
    <w:p>
      <w:pPr>
        <w:spacing w:after="0" w:line="68" w:lineRule="exact"/>
        <w:rPr>
          <w:sz w:val="20"/>
          <w:szCs w:val="20"/>
          <w:color w:val="auto"/>
        </w:rPr>
      </w:pPr>
    </w:p>
    <w:p>
      <w:pPr>
        <w:ind w:right="140" w:firstLine="436"/>
        <w:spacing w:after="0" w:line="277" w:lineRule="auto"/>
        <w:tabs>
          <w:tab w:leader="none" w:pos="68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increase or extend the Commitment of any Lender (or reinstate any Commitment terminated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or increase the amount of Loans of any Lender, in any case, without the written consent of such Lender;</w:t>
      </w:r>
    </w:p>
    <w:p>
      <w:pPr>
        <w:spacing w:after="0" w:line="62" w:lineRule="exact"/>
        <w:rPr>
          <w:rFonts w:ascii="Arial" w:cs="Arial" w:eastAsia="Arial" w:hAnsi="Arial"/>
          <w:sz w:val="18"/>
          <w:szCs w:val="18"/>
          <w:color w:val="auto"/>
        </w:rPr>
      </w:pPr>
    </w:p>
    <w:p>
      <w:pPr>
        <w:ind w:right="160" w:firstLine="436"/>
        <w:spacing w:after="0" w:line="263" w:lineRule="auto"/>
        <w:tabs>
          <w:tab w:leader="none" w:pos="69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waive, extend or postpone any date fixed by this Agreement or any other Loan Document for any payment of principal, interest, fees or other amounts due to the Lenders (or any of them) hereunder or under any other Loan Document without the written consent of each Lender directly and adversely affected thereby;</w:t>
      </w:r>
    </w:p>
    <w:p>
      <w:pPr>
        <w:spacing w:after="0" w:line="75" w:lineRule="exact"/>
        <w:rPr>
          <w:rFonts w:ascii="Arial" w:cs="Arial" w:eastAsia="Arial" w:hAnsi="Arial"/>
          <w:sz w:val="18"/>
          <w:szCs w:val="18"/>
          <w:color w:val="auto"/>
        </w:rPr>
      </w:pPr>
    </w:p>
    <w:p>
      <w:pPr>
        <w:ind w:firstLine="436"/>
        <w:spacing w:after="0" w:line="255" w:lineRule="auto"/>
        <w:tabs>
          <w:tab w:leader="none" w:pos="68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Reimbursement Obligation, or (subject to clause (iv) of the proviso set forth in the paragraph below) any fees or other amounts payable hereunder or under any other Loan Document without the written consent of each Lender directly and adversely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(i) to waive any obligation of the Borrower to pay interest at the rate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0"/>
          </w:cols>
          <w:pgMar w:left="440" w:top="490" w:right="459" w:bottom="1440" w:gutter="0" w:footer="0" w:header="0"/>
        </w:sectPr>
      </w:pPr>
    </w:p>
    <w:bookmarkStart w:id="202" w:name="page203"/>
    <w:bookmarkEnd w:id="202"/>
    <w:p>
      <w:pPr>
        <w:ind w:right="480" w:firstLine="436"/>
        <w:spacing w:after="0" w:line="277" w:lineRule="auto"/>
        <w:tabs>
          <w:tab w:leader="none" w:pos="695"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change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in a manner that would alter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sharing of payments or order of application required thereby without the written consent of each Lender directly and adversely affected thereby;</w:t>
      </w:r>
    </w:p>
    <w:p>
      <w:pPr>
        <w:spacing w:after="0" w:line="62" w:lineRule="exact"/>
        <w:rPr>
          <w:rFonts w:ascii="Arial" w:cs="Arial" w:eastAsia="Arial" w:hAnsi="Arial"/>
          <w:sz w:val="18"/>
          <w:szCs w:val="18"/>
          <w:color w:val="auto"/>
        </w:rPr>
      </w:pPr>
    </w:p>
    <w:p>
      <w:pPr>
        <w:ind w:firstLine="436"/>
        <w:spacing w:after="0" w:line="259" w:lineRule="auto"/>
        <w:tabs>
          <w:tab w:leader="none" w:pos="68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except as otherwise permitted by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change any provision of this Section or reduce the percentages specified in the definitions of “Required Lenders”, “Required Revolving Credit Lenders”, </w:t>
      </w:r>
      <w:r>
        <w:rPr>
          <w:rFonts w:ascii="Arial" w:cs="Arial" w:eastAsia="Arial" w:hAnsi="Arial"/>
          <w:sz w:val="18"/>
          <w:szCs w:val="18"/>
          <w:u w:val="single" w:color="auto"/>
          <w:color w:val="0000FF"/>
        </w:rPr>
        <w:t>“Super Majority Required Lenders”</w:t>
      </w:r>
      <w:r>
        <w:rPr>
          <w:rFonts w:ascii="Arial" w:cs="Arial" w:eastAsia="Arial" w:hAnsi="Arial"/>
          <w:sz w:val="18"/>
          <w:szCs w:val="18"/>
          <w:color w:val="auto"/>
        </w:rPr>
        <w:t xml:space="preserve">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78" w:lineRule="exact"/>
        <w:rPr>
          <w:rFonts w:ascii="Arial" w:cs="Arial" w:eastAsia="Arial" w:hAnsi="Arial"/>
          <w:sz w:val="18"/>
          <w:szCs w:val="18"/>
          <w:color w:val="auto"/>
        </w:rPr>
      </w:pPr>
    </w:p>
    <w:p>
      <w:pPr>
        <w:ind w:right="80" w:firstLine="436"/>
        <w:spacing w:after="0" w:line="277" w:lineRule="auto"/>
        <w:tabs>
          <w:tab w:leader="none" w:pos="66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consent to the assignment or transfer by any Credit Party of such Credit Party’s rights and obligations under any Loan Document to which it is a party (except as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in each case, without the written consent of each Lender;</w:t>
      </w:r>
    </w:p>
    <w:p>
      <w:pPr>
        <w:spacing w:after="0" w:line="62" w:lineRule="exact"/>
        <w:rPr>
          <w:rFonts w:ascii="Arial" w:cs="Arial" w:eastAsia="Arial" w:hAnsi="Arial"/>
          <w:sz w:val="18"/>
          <w:szCs w:val="18"/>
          <w:color w:val="auto"/>
        </w:rPr>
      </w:pPr>
    </w:p>
    <w:p>
      <w:pPr>
        <w:ind w:right="260" w:firstLine="436"/>
        <w:spacing w:after="0" w:line="308" w:lineRule="auto"/>
        <w:tabs>
          <w:tab w:leader="none" w:pos="69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release (i) all of the Guarantors or (ii) Guarantors comprising substantially all of the credit support for the Secured Obligations, in any case, from any Guaranty Agreement </w:t>
      </w:r>
      <w:r>
        <w:rPr>
          <w:rFonts w:ascii="Arial" w:cs="Arial" w:eastAsia="Arial" w:hAnsi="Arial"/>
          <w:sz w:val="17"/>
          <w:szCs w:val="17"/>
          <w:color w:val="FF0000"/>
          <w:strike w:val="1"/>
        </w:rPr>
        <w:t>(other than as authorized in</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Section 11.9</w:t>
      </w:r>
      <w:r>
        <w:rPr>
          <w:rFonts w:ascii="Arial" w:cs="Arial" w:eastAsia="Arial" w:hAnsi="Arial"/>
          <w:sz w:val="17"/>
          <w:szCs w:val="17"/>
          <w:color w:val="FF0000"/>
          <w:strike w:val="1"/>
        </w:rPr>
        <w:t>),</w:t>
      </w:r>
      <w:r>
        <w:rPr>
          <w:rFonts w:ascii="Arial" w:cs="Arial" w:eastAsia="Arial" w:hAnsi="Arial"/>
          <w:sz w:val="17"/>
          <w:szCs w:val="17"/>
          <w:u w:val="single" w:color="auto"/>
          <w:color w:val="0000FF"/>
        </w:rPr>
        <w:t>, in each case</w:t>
      </w:r>
      <w:r>
        <w:rPr>
          <w:rFonts w:ascii="Arial" w:cs="Arial" w:eastAsia="Arial" w:hAnsi="Arial"/>
          <w:sz w:val="17"/>
          <w:szCs w:val="17"/>
          <w:color w:val="auto"/>
        </w:rPr>
        <w:t xml:space="preserve"> without the written consent of each Lender;</w:t>
      </w:r>
    </w:p>
    <w:p>
      <w:pPr>
        <w:spacing w:after="0" w:line="38" w:lineRule="exact"/>
        <w:rPr>
          <w:rFonts w:ascii="Arial" w:cs="Arial" w:eastAsia="Arial" w:hAnsi="Arial"/>
          <w:sz w:val="17"/>
          <w:szCs w:val="17"/>
          <w:color w:val="auto"/>
        </w:rPr>
      </w:pPr>
    </w:p>
    <w:p>
      <w:pPr>
        <w:ind w:right="60" w:firstLine="436"/>
        <w:spacing w:after="0" w:line="296" w:lineRule="auto"/>
        <w:tabs>
          <w:tab w:leader="none" w:pos="69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release </w:t>
      </w:r>
      <w:r>
        <w:rPr>
          <w:rFonts w:ascii="Arial" w:cs="Arial" w:eastAsia="Arial" w:hAnsi="Arial"/>
          <w:sz w:val="16"/>
          <w:szCs w:val="16"/>
          <w:u w:val="single" w:color="auto"/>
          <w:color w:val="0000FF"/>
        </w:rPr>
        <w:t>or subordinate</w:t>
      </w:r>
      <w:r>
        <w:rPr>
          <w:rFonts w:ascii="Arial" w:cs="Arial" w:eastAsia="Arial" w:hAnsi="Arial"/>
          <w:sz w:val="16"/>
          <w:szCs w:val="16"/>
          <w:color w:val="auto"/>
        </w:rPr>
        <w:t xml:space="preserve"> all or substantially all of the Collateral or release </w:t>
      </w:r>
      <w:r>
        <w:rPr>
          <w:rFonts w:ascii="Arial" w:cs="Arial" w:eastAsia="Arial" w:hAnsi="Arial"/>
          <w:sz w:val="16"/>
          <w:szCs w:val="16"/>
          <w:u w:val="single" w:color="auto"/>
          <w:color w:val="0000FF"/>
        </w:rPr>
        <w:t>or subordinate</w:t>
      </w:r>
      <w:r>
        <w:rPr>
          <w:rFonts w:ascii="Arial" w:cs="Arial" w:eastAsia="Arial" w:hAnsi="Arial"/>
          <w:sz w:val="16"/>
          <w:szCs w:val="16"/>
          <w:color w:val="auto"/>
        </w:rPr>
        <w:t xml:space="preserve"> any Collateral Document (</w:t>
      </w:r>
      <w:r>
        <w:rPr>
          <w:rFonts w:ascii="Arial" w:cs="Arial" w:eastAsia="Arial" w:hAnsi="Arial"/>
          <w:sz w:val="16"/>
          <w:szCs w:val="16"/>
          <w:color w:val="FF0000"/>
          <w:strike w:val="1"/>
        </w:rPr>
        <w:t>other than as authorized in</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 xml:space="preserve">Section 11.9 </w:t>
      </w:r>
      <w:r>
        <w:rPr>
          <w:rFonts w:ascii="Arial" w:cs="Arial" w:eastAsia="Arial" w:hAnsi="Arial"/>
          <w:sz w:val="16"/>
          <w:szCs w:val="16"/>
          <w:color w:val="FF0000"/>
          <w:strike w:val="1"/>
        </w:rPr>
        <w:t>or as otherwise specifically permitted or contemplated in this Agreement or the applicable Security Document)</w:t>
      </w:r>
      <w:r>
        <w:rPr>
          <w:rFonts w:ascii="Arial" w:cs="Arial" w:eastAsia="Arial" w:hAnsi="Arial"/>
          <w:sz w:val="16"/>
          <w:szCs w:val="16"/>
          <w:u w:val="single" w:color="auto"/>
          <w:color w:val="0000FF"/>
          <w:strike w:val="1"/>
        </w:rPr>
        <w:t>or any Lien created thereby)</w:t>
      </w:r>
      <w:r>
        <w:rPr>
          <w:rFonts w:ascii="Arial" w:cs="Arial" w:eastAsia="Arial" w:hAnsi="Arial"/>
          <w:sz w:val="16"/>
          <w:szCs w:val="16"/>
          <w:u w:val="single" w:color="auto"/>
          <w:color w:val="FF0000"/>
          <w:strike w:val="1"/>
        </w:rPr>
        <w:t xml:space="preserve"> </w:t>
      </w:r>
      <w:r>
        <w:rPr>
          <w:rFonts w:ascii="Arial" w:cs="Arial" w:eastAsia="Arial" w:hAnsi="Arial"/>
          <w:sz w:val="16"/>
          <w:szCs w:val="16"/>
          <w:u w:val="single" w:color="auto"/>
          <w:color w:val="0000FF"/>
          <w:strike w:val="1"/>
        </w:rPr>
        <w:t>which would have the effect of releasing all or substantially all of the Collateral</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without the written consent of each Lender</w:t>
      </w:r>
      <w:r>
        <w:rPr>
          <w:rFonts w:ascii="Arial" w:cs="Arial" w:eastAsia="Arial" w:hAnsi="Arial"/>
          <w:sz w:val="16"/>
          <w:szCs w:val="16"/>
          <w:color w:val="FF0000"/>
          <w:strike w:val="1"/>
        </w:rPr>
        <w:t>;</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(other than, in the case of</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subordination of the Collateral or the Collateral Documents (or any Lien created thereby), in connection with any debtor-in-possession or equivalent financing in a bankruptcy or other insolvency proceeding or the use of Collateral in an insolvency proceeding) without the consent of each Lender;</w:t>
      </w:r>
    </w:p>
    <w:p>
      <w:pPr>
        <w:spacing w:after="0" w:line="53" w:lineRule="exact"/>
        <w:rPr>
          <w:rFonts w:ascii="Arial" w:cs="Arial" w:eastAsia="Arial" w:hAnsi="Arial"/>
          <w:sz w:val="16"/>
          <w:szCs w:val="16"/>
          <w:color w:val="auto"/>
        </w:rPr>
      </w:pPr>
    </w:p>
    <w:p>
      <w:pPr>
        <w:ind w:right="300" w:firstLine="436"/>
        <w:spacing w:after="0" w:line="277" w:lineRule="auto"/>
        <w:tabs>
          <w:tab w:leader="none" w:pos="6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amend the definition of “Alternative Currency”, the definition of “Alternative L/C Currency” or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without the written consent of each Revolving Credit Lender and each Issuing Lender; </w:t>
      </w:r>
      <w:r>
        <w:rPr>
          <w:rFonts w:ascii="Arial" w:cs="Arial" w:eastAsia="Arial" w:hAnsi="Arial"/>
          <w:sz w:val="18"/>
          <w:szCs w:val="18"/>
          <w:color w:val="FF0000"/>
          <w:strike w:val="1"/>
        </w:rPr>
        <w:t>or</w:t>
      </w:r>
    </w:p>
    <w:p>
      <w:pPr>
        <w:spacing w:after="0" w:line="62" w:lineRule="exact"/>
        <w:rPr>
          <w:rFonts w:ascii="Arial" w:cs="Arial" w:eastAsia="Arial" w:hAnsi="Arial"/>
          <w:sz w:val="18"/>
          <w:szCs w:val="18"/>
          <w:color w:val="auto"/>
        </w:rPr>
      </w:pPr>
    </w:p>
    <w:p>
      <w:pPr>
        <w:ind w:right="60" w:firstLine="436"/>
        <w:spacing w:after="0" w:line="275" w:lineRule="auto"/>
        <w:tabs>
          <w:tab w:leader="none" w:pos="65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(i) waive any condition precedent to any Extension of Credit under the Revolving Credit Facility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(ii) amend or otherwise modify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if the effect of such amendment or modification is to require the Revolving Credit Lenders to make Revolving Credit Loans, the Swingline Lender to make any Swingline Loans or any Issuing Lender to issue any Letter of Credit (in each case, pursuant to a substantially concurrent request by the Borrower) when the Revolving Credit Lenders, Swingline Lender or Issuing Lender would not otherwise be required to do so, in each case, without the written consent of Required Revolving Credit Lenders; </w:t>
      </w:r>
      <w:r>
        <w:rPr>
          <w:rFonts w:ascii="Arial" w:cs="Arial" w:eastAsia="Arial" w:hAnsi="Arial"/>
          <w:sz w:val="17"/>
          <w:szCs w:val="17"/>
          <w:u w:val="single" w:color="auto"/>
          <w:color w:val="0000FF"/>
        </w:rPr>
        <w:t>or</w:t>
      </w:r>
    </w:p>
    <w:p>
      <w:pPr>
        <w:spacing w:after="0" w:line="68" w:lineRule="exact"/>
        <w:rPr>
          <w:rFonts w:ascii="Arial" w:cs="Arial" w:eastAsia="Arial" w:hAnsi="Arial"/>
          <w:sz w:val="17"/>
          <w:szCs w:val="17"/>
          <w:color w:val="auto"/>
        </w:rPr>
      </w:pPr>
    </w:p>
    <w:p>
      <w:pPr>
        <w:ind w:right="180" w:firstLine="436"/>
        <w:spacing w:after="0" w:line="342" w:lineRule="auto"/>
        <w:tabs>
          <w:tab w:leader="none" w:pos="695" w:val="left"/>
        </w:tabs>
        <w:numPr>
          <w:ilvl w:val="0"/>
          <w:numId w:val="26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subordinate in right of payment or amend the priority of payment in an adverse manner any of the Obligations without the written consent of each Lender (other than in connection with any debtor-in-possession or equivalent financing in a bankruptcy or other insolvency proceeding); or</w:t>
      </w:r>
    </w:p>
    <w:p>
      <w:pPr>
        <w:spacing w:after="0" w:line="15" w:lineRule="exact"/>
        <w:rPr>
          <w:rFonts w:ascii="Arial" w:cs="Arial" w:eastAsia="Arial" w:hAnsi="Arial"/>
          <w:sz w:val="16"/>
          <w:szCs w:val="16"/>
          <w:u w:val="single" w:color="auto"/>
          <w:color w:val="0000FF"/>
        </w:rPr>
      </w:pPr>
    </w:p>
    <w:p>
      <w:pPr>
        <w:ind w:right="340" w:firstLine="436"/>
        <w:spacing w:after="0" w:line="277" w:lineRule="auto"/>
        <w:tabs>
          <w:tab w:leader="none" w:pos="655" w:val="left"/>
        </w:tabs>
        <w:numPr>
          <w:ilvl w:val="0"/>
          <w:numId w:val="26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waive, extend or postpone any date for any mandatory principal prepayments under Section 4.4(b) without the written consent of the Super Majority Required Lenders;</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 no amendment, waiver or consent shall, unless in writing and signed by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each</w:t>
      </w:r>
      <w:r>
        <w:rPr>
          <w:rFonts w:ascii="Arial" w:cs="Arial" w:eastAsia="Arial" w:hAnsi="Arial"/>
          <w:sz w:val="18"/>
          <w:szCs w:val="18"/>
          <w:color w:val="auto"/>
        </w:rPr>
        <w:t xml:space="preserve"> affected Issuing Lender in addition to the Lenders required above, affect the rights or duties of </w:t>
      </w:r>
      <w:r>
        <w:rPr>
          <w:rFonts w:ascii="Arial" w:cs="Arial" w:eastAsia="Arial" w:hAnsi="Arial"/>
          <w:sz w:val="18"/>
          <w:szCs w:val="18"/>
          <w:color w:val="FF0000"/>
          <w:strike w:val="1"/>
        </w:rPr>
        <w:t>each</w:t>
      </w:r>
      <w:r>
        <w:rPr>
          <w:rFonts w:ascii="Arial" w:cs="Arial" w:eastAsia="Arial" w:hAnsi="Arial"/>
          <w:sz w:val="18"/>
          <w:szCs w:val="18"/>
          <w:u w:val="single" w:color="auto"/>
          <w:color w:val="0000FF"/>
        </w:rPr>
        <w:t>such</w:t>
      </w:r>
      <w:r>
        <w:rPr>
          <w:rFonts w:ascii="Arial" w:cs="Arial" w:eastAsia="Arial" w:hAnsi="Arial"/>
          <w:sz w:val="18"/>
          <w:szCs w:val="18"/>
          <w:color w:val="auto"/>
        </w:rPr>
        <w:t xml:space="preserve"> Issuing Lender under this Agreement </w:t>
      </w:r>
      <w:r>
        <w:rPr>
          <w:rFonts w:ascii="Arial" w:cs="Arial" w:eastAsia="Arial" w:hAnsi="Arial"/>
          <w:sz w:val="18"/>
          <w:szCs w:val="18"/>
          <w:u w:val="single" w:color="auto"/>
          <w:color w:val="0000FF"/>
        </w:rPr>
        <w:t>(including Section 11.9(c))</w:t>
      </w:r>
      <w:r>
        <w:rPr>
          <w:rFonts w:ascii="Arial" w:cs="Arial" w:eastAsia="Arial" w:hAnsi="Arial"/>
          <w:sz w:val="18"/>
          <w:szCs w:val="18"/>
          <w:color w:val="auto"/>
        </w:rPr>
        <w:t xml:space="preserve"> or any Letter of Credit </w:t>
      </w:r>
      <w:r>
        <w:rPr>
          <w:rFonts w:ascii="Arial" w:cs="Arial" w:eastAsia="Arial" w:hAnsi="Arial"/>
          <w:sz w:val="18"/>
          <w:szCs w:val="18"/>
          <w:color w:val="FF0000"/>
          <w:strike w:val="1"/>
        </w:rPr>
        <w:t>Application</w:t>
      </w:r>
      <w:r>
        <w:rPr>
          <w:rFonts w:ascii="Arial" w:cs="Arial" w:eastAsia="Arial" w:hAnsi="Arial"/>
          <w:sz w:val="18"/>
          <w:szCs w:val="18"/>
          <w:u w:val="single" w:color="auto"/>
          <w:color w:val="0000FF"/>
        </w:rPr>
        <w:t>Documents</w:t>
      </w:r>
      <w:r>
        <w:rPr>
          <w:rFonts w:ascii="Arial" w:cs="Arial" w:eastAsia="Arial" w:hAnsi="Arial"/>
          <w:sz w:val="18"/>
          <w:szCs w:val="18"/>
          <w:color w:val="FF0000"/>
        </w:rPr>
        <w:t xml:space="preserve"> </w:t>
      </w:r>
      <w:r>
        <w:rPr>
          <w:rFonts w:ascii="Arial" w:cs="Arial" w:eastAsia="Arial" w:hAnsi="Arial"/>
          <w:sz w:val="18"/>
          <w:szCs w:val="18"/>
          <w:color w:val="000000"/>
        </w:rPr>
        <w:t>relating to any Letter of Credit issued or to be issued by it; (ii) no amendment,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00"/>
          </w:cols>
          <w:pgMar w:left="440" w:top="490" w:right="459" w:bottom="1440" w:gutter="0" w:footer="0" w:header="0"/>
        </w:sectPr>
      </w:pPr>
    </w:p>
    <w:bookmarkStart w:id="203" w:name="page204"/>
    <w:bookmarkEnd w:id="20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w:t>
      </w:r>
      <w:r>
        <w:rPr>
          <w:rFonts w:ascii="Arial" w:cs="Arial" w:eastAsia="Arial" w:hAnsi="Arial"/>
          <w:sz w:val="16"/>
          <w:szCs w:val="16"/>
          <w:color w:val="0000FF"/>
        </w:rPr>
        <w:t>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modify Section 12.1(e), Section 12.20 or Article XI hereof</w:t>
      </w:r>
      <w:r>
        <w:rPr>
          <w:rFonts w:ascii="Arial" w:cs="Arial" w:eastAsia="Arial" w:hAnsi="Arial"/>
          <w:sz w:val="16"/>
          <w:szCs w:val="16"/>
          <w:color w:val="000000"/>
        </w:rPr>
        <w:t>; (iv) the Engagement Letter may be amended, or rights or privileges thereunder waived, in a</w:t>
      </w:r>
      <w:r>
        <w:rPr>
          <w:rFonts w:ascii="Arial" w:cs="Arial" w:eastAsia="Arial" w:hAnsi="Arial"/>
          <w:sz w:val="16"/>
          <w:szCs w:val="16"/>
          <w:color w:val="0000FF"/>
        </w:rPr>
        <w:t xml:space="preserve"> </w:t>
      </w:r>
      <w:r>
        <w:rPr>
          <w:rFonts w:ascii="Arial" w:cs="Arial" w:eastAsia="Arial" w:hAnsi="Arial"/>
          <w:sz w:val="16"/>
          <w:szCs w:val="16"/>
          <w:color w:val="000000"/>
        </w:rPr>
        <w:t xml:space="preserve">writing executed only by the parties thereto; (v)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each</w:t>
      </w:r>
      <w:r>
        <w:rPr>
          <w:rFonts w:ascii="Arial" w:cs="Arial" w:eastAsia="Arial" w:hAnsi="Arial"/>
          <w:sz w:val="16"/>
          <w:szCs w:val="16"/>
          <w:color w:val="000000"/>
        </w:rPr>
        <w:t xml:space="preserve"> Fee Letter may be amended, or rights or privileges thereunder waived, in a writing executed only by the parties thereto; (vi) the Administrative Agent Fee Letter may be amended, or rights or privileges thereunder waived, in a writing executed only by the parties thereto; (vii) each Letter of Credit </w:t>
      </w:r>
      <w:r>
        <w:rPr>
          <w:rFonts w:ascii="Arial" w:cs="Arial" w:eastAsia="Arial" w:hAnsi="Arial"/>
          <w:sz w:val="16"/>
          <w:szCs w:val="16"/>
          <w:color w:val="FF0000"/>
          <w:strike w:val="1"/>
        </w:rPr>
        <w:t>Application</w:t>
      </w:r>
      <w:r>
        <w:rPr>
          <w:rFonts w:ascii="Arial" w:cs="Arial" w:eastAsia="Arial" w:hAnsi="Arial"/>
          <w:sz w:val="16"/>
          <w:szCs w:val="16"/>
          <w:u w:val="single" w:color="auto"/>
          <w:color w:val="0000FF"/>
        </w:rPr>
        <w:t>Document</w:t>
      </w:r>
      <w:r>
        <w:rPr>
          <w:rFonts w:ascii="Arial" w:cs="Arial" w:eastAsia="Arial" w:hAnsi="Arial"/>
          <w:sz w:val="16"/>
          <w:szCs w:val="16"/>
          <w:color w:val="000000"/>
        </w:rPr>
        <w:t xml:space="preserve"> may be amended, or rights or privileges thereunder waived, in a writing executed only by the parties thereto;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copy of such amended Letter of Credit </w:t>
      </w:r>
      <w:r>
        <w:rPr>
          <w:rFonts w:ascii="Arial" w:cs="Arial" w:eastAsia="Arial" w:hAnsi="Arial"/>
          <w:sz w:val="16"/>
          <w:szCs w:val="16"/>
          <w:color w:val="FF0000"/>
          <w:strike w:val="1"/>
        </w:rPr>
        <w:t>Application</w:t>
      </w:r>
      <w:r>
        <w:rPr>
          <w:rFonts w:ascii="Arial" w:cs="Arial" w:eastAsia="Arial" w:hAnsi="Arial"/>
          <w:sz w:val="16"/>
          <w:szCs w:val="16"/>
          <w:u w:val="single" w:color="auto"/>
          <w:color w:val="0000FF"/>
        </w:rPr>
        <w:t>Document</w:t>
      </w:r>
      <w:r>
        <w:rPr>
          <w:rFonts w:ascii="Arial" w:cs="Arial" w:eastAsia="Arial" w:hAnsi="Arial"/>
          <w:sz w:val="16"/>
          <w:szCs w:val="16"/>
          <w:color w:val="000000"/>
        </w:rPr>
        <w:t xml:space="preserve"> shall be promptly delivered to the Administrative Agent upon such amendment or waiver, </w:t>
      </w:r>
      <w:r>
        <w:rPr>
          <w:rFonts w:ascii="Arial" w:cs="Arial" w:eastAsia="Arial" w:hAnsi="Arial"/>
          <w:sz w:val="16"/>
          <w:szCs w:val="16"/>
          <w:u w:val="single" w:color="auto"/>
          <w:color w:val="0000FF"/>
        </w:rPr>
        <w:t>(viii) the Administrative Agent and the Borrower</w:t>
      </w:r>
      <w:r>
        <w:rPr>
          <w:rFonts w:ascii="Arial" w:cs="Arial" w:eastAsia="Arial" w:hAnsi="Arial"/>
          <w:sz w:val="16"/>
          <w:szCs w:val="16"/>
          <w:color w:val="000000"/>
        </w:rPr>
        <w:t xml:space="preserve">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ambiguity, defect or inconsistency or omission of a technical or immaterial nature in any such provision and (</w:t>
      </w:r>
      <w:r>
        <w:rPr>
          <w:rFonts w:ascii="Arial" w:cs="Arial" w:eastAsia="Arial" w:hAnsi="Arial"/>
          <w:sz w:val="16"/>
          <w:szCs w:val="16"/>
          <w:color w:val="FF0000"/>
          <w:strike w:val="1"/>
        </w:rPr>
        <w:t>viii</w:t>
      </w:r>
      <w:r>
        <w:rPr>
          <w:rFonts w:ascii="Arial" w:cs="Arial" w:eastAsia="Arial" w:hAnsi="Arial"/>
          <w:sz w:val="16"/>
          <w:szCs w:val="16"/>
          <w:u w:val="single" w:color="auto"/>
          <w:color w:val="0000FF"/>
        </w:rPr>
        <w:t>ix</w:t>
      </w:r>
      <w:r>
        <w:rPr>
          <w:rFonts w:ascii="Arial" w:cs="Arial" w:eastAsia="Arial" w:hAnsi="Arial"/>
          <w:sz w:val="16"/>
          <w:szCs w:val="16"/>
          <w:color w:val="000000"/>
        </w:rPr>
        <w:t xml:space="preserve">) the Administrative Agent </w:t>
      </w:r>
      <w:r>
        <w:rPr>
          <w:rFonts w:ascii="Arial" w:cs="Arial" w:eastAsia="Arial" w:hAnsi="Arial"/>
          <w:sz w:val="16"/>
          <w:szCs w:val="16"/>
          <w:u w:val="single" w:color="auto"/>
          <w:color w:val="0000FF"/>
        </w:rPr>
        <w:t>(and, if applicable, the Borrower)</w:t>
      </w:r>
      <w:r>
        <w:rPr>
          <w:rFonts w:ascii="Arial" w:cs="Arial" w:eastAsia="Arial" w:hAnsi="Arial"/>
          <w:sz w:val="16"/>
          <w:szCs w:val="16"/>
          <w:color w:val="000000"/>
        </w:rPr>
        <w:t xml:space="preserve"> may, without the consent of any Lender, enter into amendments or modifications to this Agreement or any of the other Loan Documents or to enter into additional Loan Documents as the Administrative Agent reasonably deems appropriate in order to implement any </w:t>
      </w:r>
      <w:r>
        <w:rPr>
          <w:rFonts w:ascii="Arial" w:cs="Arial" w:eastAsia="Arial" w:hAnsi="Arial"/>
          <w:sz w:val="16"/>
          <w:szCs w:val="16"/>
          <w:u w:val="single" w:color="auto"/>
          <w:color w:val="0000FF"/>
        </w:rPr>
        <w:t>Benchmark</w:t>
      </w:r>
      <w:r>
        <w:rPr>
          <w:rFonts w:ascii="Arial" w:cs="Arial" w:eastAsia="Arial" w:hAnsi="Arial"/>
          <w:sz w:val="16"/>
          <w:szCs w:val="16"/>
          <w:color w:val="000000"/>
        </w:rPr>
        <w:t xml:space="preserve"> Replacement </w:t>
      </w:r>
      <w:r>
        <w:rPr>
          <w:rFonts w:ascii="Arial" w:cs="Arial" w:eastAsia="Arial" w:hAnsi="Arial"/>
          <w:sz w:val="16"/>
          <w:szCs w:val="16"/>
          <w:color w:val="FF0000"/>
          <w:strike w:val="1"/>
        </w:rPr>
        <w:t>Rate</w:t>
      </w:r>
      <w:r>
        <w:rPr>
          <w:rFonts w:ascii="Arial" w:cs="Arial" w:eastAsia="Arial" w:hAnsi="Arial"/>
          <w:sz w:val="16"/>
          <w:szCs w:val="16"/>
          <w:u w:val="single" w:color="auto"/>
          <w:color w:val="0000FF"/>
        </w:rPr>
        <w:t>or any Conforming Changes</w:t>
      </w:r>
      <w:r>
        <w:rPr>
          <w:rFonts w:ascii="Arial" w:cs="Arial" w:eastAsia="Arial" w:hAnsi="Arial"/>
          <w:sz w:val="16"/>
          <w:szCs w:val="16"/>
          <w:color w:val="000000"/>
        </w:rPr>
        <w:t xml:space="preserve"> or otherwise effectuate the terms of </w:t>
      </w:r>
      <w:r>
        <w:rPr>
          <w:rFonts w:ascii="Arial" w:cs="Arial" w:eastAsia="Arial" w:hAnsi="Arial"/>
          <w:sz w:val="16"/>
          <w:szCs w:val="16"/>
          <w:u w:val="single" w:color="auto"/>
          <w:color w:val="000000"/>
        </w:rPr>
        <w:t>Section 5.8(c)</w:t>
      </w:r>
      <w:r>
        <w:rPr>
          <w:rFonts w:ascii="Arial" w:cs="Arial" w:eastAsia="Arial" w:hAnsi="Arial"/>
          <w:sz w:val="16"/>
          <w:szCs w:val="16"/>
          <w:color w:val="000000"/>
        </w:rPr>
        <w:t xml:space="preserve"> in accordance with the terms of </w:t>
      </w:r>
      <w:r>
        <w:rPr>
          <w:rFonts w:ascii="Arial" w:cs="Arial" w:eastAsia="Arial" w:hAnsi="Arial"/>
          <w:sz w:val="16"/>
          <w:szCs w:val="16"/>
          <w:u w:val="single" w:color="auto"/>
          <w:color w:val="000000"/>
        </w:rPr>
        <w:t>Section 5.8(c)</w:t>
      </w:r>
      <w:r>
        <w:rPr>
          <w:rFonts w:ascii="Arial" w:cs="Arial" w:eastAsia="Arial" w:hAnsi="Arial"/>
          <w:sz w:val="16"/>
          <w:szCs w:val="16"/>
          <w:color w:val="000000"/>
        </w:rPr>
        <w:t>. Notwithstanding anything to the contrary herein, no Defaulting Lender shall have any right to approve or disapprove any amendment, waiver or consent hereunder, except that (A) the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6626225</wp:posOffset>
            </wp:positionH>
            <wp:positionV relativeFrom="paragraph">
              <wp:posOffset>-2214880</wp:posOffset>
            </wp:positionV>
            <wp:extent cx="12001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-2240280</wp:posOffset>
            </wp:positionV>
            <wp:extent cx="1238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49"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Notwithstanding anything in this Agreement to the contrary, each Lender hereby irrevocably authorizes the Administrative Agent on its behalf, and without further consent</w:t>
      </w:r>
      <w:r>
        <w:rPr>
          <w:rFonts w:ascii="Arial" w:cs="Arial" w:eastAsia="Arial" w:hAnsi="Arial"/>
          <w:sz w:val="16"/>
          <w:szCs w:val="16"/>
          <w:color w:val="FF0000"/>
          <w:strike w:val="1"/>
        </w:rPr>
        <w:t>, to enter into amendments or modifications to this Agreement (including, without limitation, amendments to this Section 12.2) or</w:t>
      </w:r>
      <w:r>
        <w:rPr>
          <w:rFonts w:ascii="Arial" w:cs="Arial" w:eastAsia="Arial" w:hAnsi="Arial"/>
          <w:sz w:val="16"/>
          <w:szCs w:val="16"/>
          <w:color w:val="auto"/>
        </w:rPr>
        <w:t xml:space="preserve"> </w:t>
      </w:r>
      <w:r>
        <w:rPr>
          <w:rFonts w:ascii="Arial" w:cs="Arial" w:eastAsia="Arial" w:hAnsi="Arial"/>
          <w:sz w:val="16"/>
          <w:szCs w:val="16"/>
          <w:color w:val="FF0000"/>
          <w:strike w:val="1"/>
        </w:rPr>
        <w:t>any of the other Loan Documents or to enter into additional Loan Documents as</w:t>
      </w:r>
      <w:r>
        <w:rPr>
          <w:rFonts w:ascii="Arial" w:cs="Arial" w:eastAsia="Arial" w:hAnsi="Arial"/>
          <w:sz w:val="16"/>
          <w:szCs w:val="16"/>
          <w:color w:val="FF0000"/>
        </w:rPr>
        <w:t xml:space="preserve"> </w:t>
      </w:r>
      <w:r>
        <w:rPr>
          <w:rFonts w:ascii="Arial" w:cs="Arial" w:eastAsia="Arial" w:hAnsi="Arial"/>
          <w:sz w:val="16"/>
          <w:szCs w:val="16"/>
          <w:color w:val="0000FF"/>
        </w:rPr>
        <w:t>of any Lender (but with the consent of the Borrower and</w:t>
      </w:r>
      <w:r>
        <w:rPr>
          <w:rFonts w:ascii="Arial" w:cs="Arial" w:eastAsia="Arial" w:hAnsi="Arial"/>
          <w:sz w:val="16"/>
          <w:szCs w:val="16"/>
          <w:color w:val="FF0000"/>
        </w:rPr>
        <w:t xml:space="preserve"> </w:t>
      </w:r>
      <w:r>
        <w:rPr>
          <w:rFonts w:ascii="Arial" w:cs="Arial" w:eastAsia="Arial" w:hAnsi="Arial"/>
          <w:sz w:val="16"/>
          <w:szCs w:val="16"/>
          <w:color w:val="000000"/>
        </w:rPr>
        <w:t>the</w:t>
      </w:r>
      <w:r>
        <w:rPr>
          <w:rFonts w:ascii="Arial" w:cs="Arial" w:eastAsia="Arial" w:hAnsi="Arial"/>
          <w:sz w:val="16"/>
          <w:szCs w:val="16"/>
          <w:color w:val="FF0000"/>
        </w:rPr>
        <w:t xml:space="preserve"> </w:t>
      </w:r>
      <w:r>
        <w:rPr>
          <w:rFonts w:ascii="Arial" w:cs="Arial" w:eastAsia="Arial" w:hAnsi="Arial"/>
          <w:sz w:val="16"/>
          <w:szCs w:val="16"/>
          <w:color w:val="000000"/>
        </w:rPr>
        <w:t xml:space="preserve">Administrative Agent </w:t>
      </w:r>
      <w:r>
        <w:rPr>
          <w:rFonts w:ascii="Arial" w:cs="Arial" w:eastAsia="Arial" w:hAnsi="Arial"/>
          <w:sz w:val="16"/>
          <w:szCs w:val="16"/>
          <w:color w:val="FF0000"/>
          <w:strike w:val="1"/>
        </w:rPr>
        <w:t>reasonably deems appropriate in order to effectuate the terms of</w:t>
      </w:r>
      <w:r>
        <w:rPr>
          <w:rFonts w:ascii="Arial" w:cs="Arial" w:eastAsia="Arial" w:hAnsi="Arial"/>
          <w:sz w:val="16"/>
          <w:szCs w:val="16"/>
          <w:color w:val="000000"/>
        </w:rPr>
        <w:t xml:space="preserve"> </w:t>
      </w:r>
      <w:r>
        <w:rPr>
          <w:rFonts w:ascii="Arial" w:cs="Arial" w:eastAsia="Arial" w:hAnsi="Arial"/>
          <w:sz w:val="16"/>
          <w:szCs w:val="16"/>
          <w:u w:val="single" w:color="auto"/>
          <w:color w:val="FF0000"/>
          <w:strike w:val="1"/>
        </w:rPr>
        <w:t>Section 5.13</w:t>
      </w:r>
      <w:r>
        <w:rPr>
          <w:rFonts w:ascii="Arial" w:cs="Arial" w:eastAsia="Arial" w:hAnsi="Arial"/>
          <w:sz w:val="16"/>
          <w:szCs w:val="16"/>
          <w:color w:val="000000"/>
        </w:rPr>
        <w:t xml:space="preserve"> </w:t>
      </w:r>
      <w:r>
        <w:rPr>
          <w:rFonts w:ascii="Arial" w:cs="Arial" w:eastAsia="Arial" w:hAnsi="Arial"/>
          <w:sz w:val="16"/>
          <w:szCs w:val="16"/>
          <w:color w:val="FF0000"/>
          <w:strike w:val="1"/>
        </w:rPr>
        <w:t>(including, without limitation, as applicable, (1) to</w:t>
      </w:r>
      <w:r>
        <w:rPr>
          <w:rFonts w:ascii="Arial" w:cs="Arial" w:eastAsia="Arial" w:hAnsi="Arial"/>
          <w:sz w:val="16"/>
          <w:szCs w:val="16"/>
          <w:color w:val="000000"/>
        </w:rPr>
        <w:t xml:space="preserve"> </w:t>
      </w:r>
      <w:r>
        <w:rPr>
          <w:rFonts w:ascii="Arial" w:cs="Arial" w:eastAsia="Arial" w:hAnsi="Arial"/>
          <w:sz w:val="16"/>
          <w:szCs w:val="16"/>
          <w:color w:val="FF0000"/>
          <w:strike w:val="1"/>
        </w:rPr>
        <w:t>permit the Incremental Term Loans and the Incremental Revolving Credit Increases to share ratably in the benefits of</w:t>
      </w:r>
      <w:r>
        <w:rPr>
          <w:rFonts w:ascii="Arial" w:cs="Arial" w:eastAsia="Arial" w:hAnsi="Arial"/>
          <w:sz w:val="16"/>
          <w:szCs w:val="16"/>
          <w:u w:val="single" w:color="auto"/>
          <w:color w:val="0000FF"/>
        </w:rPr>
        <w:t>), to amend and restate</w:t>
      </w:r>
      <w:r>
        <w:rPr>
          <w:rFonts w:ascii="Arial" w:cs="Arial" w:eastAsia="Arial" w:hAnsi="Arial"/>
          <w:sz w:val="16"/>
          <w:szCs w:val="16"/>
          <w:color w:val="FF0000"/>
        </w:rPr>
        <w:t xml:space="preserve"> </w:t>
      </w:r>
      <w:r>
        <w:rPr>
          <w:rFonts w:ascii="Arial" w:cs="Arial" w:eastAsia="Arial" w:hAnsi="Arial"/>
          <w:sz w:val="16"/>
          <w:szCs w:val="16"/>
          <w:color w:val="000000"/>
        </w:rPr>
        <w:t>this</w:t>
      </w:r>
      <w:r>
        <w:rPr>
          <w:rFonts w:ascii="Arial" w:cs="Arial" w:eastAsia="Arial" w:hAnsi="Arial"/>
          <w:sz w:val="16"/>
          <w:szCs w:val="16"/>
          <w:color w:val="FF0000"/>
        </w:rPr>
        <w:t xml:space="preserve"> </w:t>
      </w:r>
      <w:r>
        <w:rPr>
          <w:rFonts w:ascii="Arial" w:cs="Arial" w:eastAsia="Arial" w:hAnsi="Arial"/>
          <w:sz w:val="16"/>
          <w:szCs w:val="16"/>
          <w:color w:val="000000"/>
        </w:rPr>
        <w:t xml:space="preserve">Agreement and the other Loan Documents </w:t>
      </w:r>
      <w:r>
        <w:rPr>
          <w:rFonts w:ascii="Arial" w:cs="Arial" w:eastAsia="Arial" w:hAnsi="Arial"/>
          <w:sz w:val="16"/>
          <w:szCs w:val="16"/>
          <w:color w:val="FF0000"/>
          <w:strike w:val="1"/>
        </w:rPr>
        <w:t>or (2) to include the Incremental Term Loan Commitments and the Incremental Revolving Credit Increase, as</w:t>
      </w:r>
      <w:r>
        <w:rPr>
          <w:rFonts w:ascii="Arial" w:cs="Arial" w:eastAsia="Arial" w:hAnsi="Arial"/>
          <w:sz w:val="16"/>
          <w:szCs w:val="16"/>
          <w:color w:val="000000"/>
        </w:rPr>
        <w:t xml:space="preserve"> </w:t>
      </w:r>
      <w:r>
        <w:rPr>
          <w:rFonts w:ascii="Arial" w:cs="Arial" w:eastAsia="Arial" w:hAnsi="Arial"/>
          <w:sz w:val="16"/>
          <w:szCs w:val="16"/>
          <w:color w:val="FF0000"/>
          <w:strike w:val="1"/>
        </w:rPr>
        <w:t>applicable, or outstanding Incremental Term Loans and outstanding Incremental Revolving Credit Increase, as applicable, in any determination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-546735</wp:posOffset>
            </wp:positionV>
            <wp:extent cx="260604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-572135</wp:posOffset>
            </wp:positionV>
            <wp:extent cx="26111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11120" cy="8255"/>
                    </a:xfrm>
                    <a:prstGeom prst="rect">
                      <a:avLst/>
                    </a:prstGeom>
                    <a:noFill/>
                  </pic:spPr>
                </pic:pic>
              </a:graphicData>
            </a:graphic>
          </wp:anchor>
        </w:drawing>
      </w:r>
    </w:p>
    <w:p>
      <w:pPr>
        <w:ind w:left="4" w:right="80" w:hanging="4"/>
        <w:spacing w:after="0" w:line="252" w:lineRule="auto"/>
        <w:tabs>
          <w:tab w:leader="none" w:pos="219" w:val="left"/>
        </w:tabs>
        <w:numPr>
          <w:ilvl w:val="0"/>
          <w:numId w:val="26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Required Lenders or (ii) similar required lender terms applicable thereto);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no amendment or modification shall result in any increase in the amount of any Lender’s Commitment or any increase in any Lender’s Commitment Percentage, in each case, without the written consent of such affected Lender.</w:t>
      </w:r>
      <w:r>
        <w:rPr>
          <w:rFonts w:ascii="Arial" w:cs="Arial" w:eastAsia="Arial" w:hAnsi="Arial"/>
          <w:sz w:val="18"/>
          <w:szCs w:val="18"/>
          <w:u w:val="single" w:color="auto"/>
          <w:color w:val="0000FF"/>
          <w:strike w:val="1"/>
        </w:rPr>
        <w:t>if, upon giving effect to such amendment and restatement, such Lender shall no longer be a party to this Agreement (as so amended and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4"/>
          </w:cols>
          <w:pgMar w:left="436" w:top="490" w:right="459" w:bottom="1440" w:gutter="0" w:footer="0" w:header="0"/>
        </w:sectPr>
      </w:pPr>
    </w:p>
    <w:bookmarkStart w:id="204" w:name="page205"/>
    <w:bookmarkEnd w:id="20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12.3 </w:t>
      </w:r>
      <w:r>
        <w:rPr>
          <w:rFonts w:ascii="Arial" w:cs="Arial" w:eastAsia="Arial" w:hAnsi="Arial"/>
          <w:sz w:val="18"/>
          <w:szCs w:val="18"/>
          <w:u w:val="single" w:color="auto"/>
          <w:color w:val="auto"/>
        </w:rPr>
        <w:t>Expenses; Indemnity</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86" w:lineRule="auto"/>
        <w:tabs>
          <w:tab w:leader="none" w:pos="689"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The Borrower and each other Credit Party, jointly and severally, shall pay (i) all reasonable out of pocket expenses incurred by the Administrative Agent and its Affiliates (including the reasonable fees, charges and disbursements of one primary counsel for the Administrative Agent and, if reasonably necessary, a single local counsel for the Administrative Agent in each relevant jurisdiction),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 subject to the terms and limitations in the Engagement Letter, in the </w:t>
      </w:r>
      <w:r>
        <w:rPr>
          <w:rFonts w:ascii="Arial" w:cs="Arial" w:eastAsia="Arial" w:hAnsi="Arial"/>
          <w:sz w:val="16"/>
          <w:szCs w:val="16"/>
          <w:u w:val="single" w:color="auto"/>
          <w:color w:val="0000FF"/>
        </w:rPr>
        <w:t>applicable</w:t>
      </w:r>
      <w:r>
        <w:rPr>
          <w:rFonts w:ascii="Arial" w:cs="Arial" w:eastAsia="Arial" w:hAnsi="Arial"/>
          <w:sz w:val="16"/>
          <w:szCs w:val="16"/>
          <w:color w:val="auto"/>
        </w:rPr>
        <w:t xml:space="preserve"> Fee Letter and in the Administrative Agent Fee Letter, in each case, with respect to amounts incurred on or prior to the Closing Date, (ii) all reasonable out of pocket expenses incurred by any Issuing Lender in connection with the issuance, amendment, renewal or extension of any Letter of Credit or any demand for payment thereunder and (iii) all out of pocket expenses incurred by the Administrative Agent, any Lender or any Issuing Lender (including the fees, charges and disbursements of one primary counsel for the Administrative Agent, any Lender or any Issuing Lender and, if reasonably necessary, a single local counsel in each relevant jurisdiction (unless there is an actual or perceived conflict of interest in which case each such Person may retain its own counsel)),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62" w:lineRule="exact"/>
        <w:rPr>
          <w:rFonts w:ascii="Arial" w:cs="Arial" w:eastAsia="Arial" w:hAnsi="Arial"/>
          <w:sz w:val="16"/>
          <w:szCs w:val="16"/>
          <w:color w:val="auto"/>
        </w:rPr>
      </w:pPr>
    </w:p>
    <w:p>
      <w:pPr>
        <w:ind w:left="4" w:firstLine="436"/>
        <w:spacing w:after="0" w:line="282" w:lineRule="auto"/>
        <w:tabs>
          <w:tab w:leader="none" w:pos="699"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each Lender and each Issuing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and shall pay or reimburse any such Indemnitee for, any and all losses, claims (including, without limitation, any Environmental Claims), penalties, damages, liabilities and related expenses (including the fees, charges and disbursements of one primary counsel for all Indemnitees and, if reasonably necessary, a single local counsel in each relevant jurisdiction (unless there is an actual or perceived conflict of interest in which case each such Indemnitee may retain its own counsel)), incurred by any Indemnitee or asserted against any Indemnitee by any Person (including the Borrower or any other Credit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out-of-pocket attorneys and consultant’s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bad faith or willful misconduct of such Indemnitee,</w:t>
      </w:r>
    </w:p>
    <w:p>
      <w:pPr>
        <w:spacing w:after="0" w:line="10" w:lineRule="exact"/>
        <w:rPr>
          <w:rFonts w:ascii="Arial" w:cs="Arial" w:eastAsia="Arial" w:hAnsi="Arial"/>
          <w:sz w:val="16"/>
          <w:szCs w:val="16"/>
          <w:color w:val="auto"/>
        </w:rPr>
      </w:pPr>
    </w:p>
    <w:p>
      <w:pPr>
        <w:ind w:left="4" w:right="20" w:hanging="4"/>
        <w:spacing w:after="0" w:line="260" w:lineRule="auto"/>
        <w:tabs>
          <w:tab w:leader="none" w:pos="28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result from a claim brought by any Credit Party or any Subsidiary thereof against an Indemnitee for material breach of such Indemnitee’s obligations hereunder or under any other Loan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24"/>
          </w:cols>
          <w:pgMar w:left="436" w:top="490" w:right="439" w:bottom="1440" w:gutter="0" w:footer="0" w:header="0"/>
        </w:sectPr>
      </w:pPr>
    </w:p>
    <w:bookmarkStart w:id="205" w:name="page206"/>
    <w:bookmarkEnd w:id="205"/>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Document, if such Credit Party or such Subsidiary has obtained a final and nonappealable judgment in its favor on such claim as determined by a court of competent jurisdiction or (C) arise out of a dispute that is solely between Lenders in their capacities as Lenders (and not in any Lender’s capacity as Arranger, Administrative Agent, Swingline Lender or Issuing Lender) and not arising out of any act or omission of any Credit Party or any Subsidiary or Affiliate thereof. This </w:t>
      </w:r>
      <w:r>
        <w:rPr>
          <w:rFonts w:ascii="Arial" w:cs="Arial" w:eastAsia="Arial" w:hAnsi="Arial"/>
          <w:sz w:val="18"/>
          <w:szCs w:val="18"/>
          <w:u w:val="single" w:color="auto"/>
          <w:color w:val="auto"/>
        </w:rPr>
        <w:t>Section 12.3(b)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80" w:lineRule="exact"/>
        <w:rPr>
          <w:sz w:val="20"/>
          <w:szCs w:val="20"/>
          <w:color w:val="auto"/>
        </w:rPr>
      </w:pPr>
    </w:p>
    <w:p>
      <w:pPr>
        <w:ind w:left="684" w:hanging="244"/>
        <w:spacing w:after="0"/>
        <w:tabs>
          <w:tab w:leader="none" w:pos="684"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the Borrower for any reason fails to indefeasibly pay any amount required under clause (a) or</w:t>
      </w:r>
    </w:p>
    <w:p>
      <w:pPr>
        <w:spacing w:after="0" w:line="46" w:lineRule="exact"/>
        <w:rPr>
          <w:rFonts w:ascii="Arial" w:cs="Arial" w:eastAsia="Arial" w:hAnsi="Arial"/>
          <w:sz w:val="16"/>
          <w:szCs w:val="16"/>
          <w:color w:val="auto"/>
        </w:rPr>
      </w:pPr>
    </w:p>
    <w:p>
      <w:pPr>
        <w:ind w:left="4" w:hanging="4"/>
        <w:spacing w:after="0" w:line="267" w:lineRule="auto"/>
        <w:tabs>
          <w:tab w:leader="none" w:pos="259"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of this Section to be paid by it to the Administrative Agent (or any sub-agent thereof), any Issuing Lender, the Swingline Lender or any Related Party of any of the foregoing, each Lender severally agrees to pay to the Administrative Agent (or any such sub-agent), such Issuing Lender, the Swingline Lender or such Related Party, as the case may be, such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such unpaid amounts owed to any Issuing Lender or the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such Issuing Lender or the Swingline Lender in its capacity as such, or against any Related Party of any of the foregoing acting for the Administrative Agent (or any such sub-agent), such Issuing Lender or the Swingline Lender in connection with such capacity. The obligations of the Lenders under this clause (c) are subject to the provisions of </w:t>
      </w:r>
      <w:r>
        <w:rPr>
          <w:rFonts w:ascii="Arial" w:cs="Arial" w:eastAsia="Arial" w:hAnsi="Arial"/>
          <w:sz w:val="17"/>
          <w:szCs w:val="17"/>
          <w:u w:val="single" w:color="auto"/>
          <w:color w:val="auto"/>
        </w:rPr>
        <w:t>Section 5.7</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4" w:right="80" w:firstLine="436"/>
        <w:spacing w:after="0" w:line="272" w:lineRule="auto"/>
        <w:tabs>
          <w:tab w:leader="none" w:pos="696" w:val="left"/>
        </w:tabs>
        <w:numPr>
          <w:ilvl w:val="1"/>
          <w:numId w:val="271"/>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the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69" w:lineRule="exact"/>
        <w:rPr>
          <w:rFonts w:ascii="Arial" w:cs="Arial" w:eastAsia="Arial" w:hAnsi="Arial"/>
          <w:sz w:val="17"/>
          <w:szCs w:val="17"/>
          <w:color w:val="auto"/>
        </w:rPr>
      </w:pPr>
    </w:p>
    <w:p>
      <w:pPr>
        <w:ind w:left="684" w:hanging="244"/>
        <w:spacing w:after="0"/>
        <w:tabs>
          <w:tab w:leader="none" w:pos="684"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demand therefor.</w:t>
      </w:r>
    </w:p>
    <w:p>
      <w:pPr>
        <w:spacing w:after="0" w:line="117" w:lineRule="exact"/>
        <w:rPr>
          <w:rFonts w:ascii="Arial" w:cs="Arial" w:eastAsia="Arial" w:hAnsi="Arial"/>
          <w:sz w:val="18"/>
          <w:szCs w:val="18"/>
          <w:color w:val="auto"/>
        </w:rPr>
      </w:pPr>
    </w:p>
    <w:p>
      <w:pPr>
        <w:ind w:left="4" w:right="440" w:firstLine="436"/>
        <w:spacing w:after="0" w:line="277" w:lineRule="auto"/>
        <w:tabs>
          <w:tab w:leader="none" w:pos="669"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shall survive the termination of the Loan Documents and payment of the obligations hereunder.</w:t>
      </w:r>
    </w:p>
    <w:p>
      <w:pPr>
        <w:spacing w:after="0" w:line="170"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shall have occurred and be continuing, each Lender, each Issuing Lender, the Swingline Lender and each of their respective Affiliates (with the consent of or at the direction of the Required Lenders) is hereby authorized at any time and from time to time, to the fullest extent permitted by Applicable Law, to setoff and apply any and all deposits (general or special, time or demand, provisional or final, in whatever currency) at any time held and other obligations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4"/>
          </w:cols>
          <w:pgMar w:left="436" w:top="490" w:right="459" w:bottom="1440" w:gutter="0" w:footer="0" w:header="0"/>
        </w:sectPr>
      </w:pPr>
    </w:p>
    <w:bookmarkStart w:id="206" w:name="page207"/>
    <w:bookmarkEnd w:id="206"/>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whatever currency) at any time owing by such Lender, such Issuing Lender, the Swingline Lender or any such Affiliate to or for the credit or the account of the Borrower or any other Credit Party against any and all of the obligations of the Borrower or such Credit Party now or hereafter existing under this Agreement or any other Loan Document to such Lender, such Issuing Lender or the Swingline Lender or any of their respective Affiliates, irrespective of whether or not such Lender, such Issuing Lender, the Swingline Lender or any such Affiliate shall have made any demand under this Agreement or any other Loan Document and although such obligations of the Borrower or such Credit Party may be contingent or unmatured or are owed to a branch or office of such Lender, such Issuing Lender, the Swingline Lender or such Affiliate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or any Affiliate thereof shall exercise any such right of setoff, (x) all amounts so setoff shall be paid over immediately to the Administrative Agent for further application in accordance with the provisions of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and, pending such payment, shall be segregated by such Defaulting Lender or Affiliate of a Defaulting Lender from its other funds and deemed held in trust for the benefit of the Administrative Agent, the Issuing Lenders, the Swingline Lender and the Lenders, and (y) the Defaulting Lender or its Affiliate shall provide promptly to the Administrative Agent a statement describing in reasonable detail the Secured Obligations owing to such Defaulting Lender or any of its Affiliates as to which such right of setoff was exercised.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Notwithstanding the provisions of this Section, if at any time any Lender, any Issuing Lender or any of their respective Affiliates maintains one or more deposit accounts for the Borrower or any other Credit Party into which Medicare or Medicaid receivables are deposited, such Person shall waive the right of setoff set forth herein.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Governing Law; Jurisdiction, Etc.</w:t>
      </w:r>
    </w:p>
    <w:p>
      <w:pPr>
        <w:spacing w:after="0" w:line="117" w:lineRule="exact"/>
        <w:rPr>
          <w:sz w:val="20"/>
          <w:szCs w:val="20"/>
          <w:color w:val="auto"/>
        </w:rPr>
      </w:pPr>
    </w:p>
    <w:p>
      <w:pPr>
        <w:ind w:right="40" w:firstLine="436"/>
        <w:spacing w:after="0" w:line="259" w:lineRule="auto"/>
        <w:tabs>
          <w:tab w:leader="none" w:pos="685"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78" w:lineRule="exact"/>
        <w:rPr>
          <w:rFonts w:ascii="Arial" w:cs="Arial" w:eastAsia="Arial" w:hAnsi="Arial"/>
          <w:sz w:val="18"/>
          <w:szCs w:val="18"/>
          <w:color w:val="auto"/>
        </w:rPr>
      </w:pPr>
    </w:p>
    <w:p>
      <w:pPr>
        <w:ind w:firstLine="436"/>
        <w:spacing w:after="0" w:line="269" w:lineRule="auto"/>
        <w:tabs>
          <w:tab w:leader="none" w:pos="695"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The Borrower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the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w:t>
      </w:r>
      <w:r>
        <w:rPr>
          <w:rFonts w:ascii="Arial" w:cs="Arial" w:eastAsia="Arial" w:hAnsi="Arial"/>
          <w:sz w:val="17"/>
          <w:szCs w:val="17"/>
          <w:u w:val="single" w:color="auto"/>
          <w:color w:val="0000FF"/>
        </w:rPr>
        <w:t>sitting in New York County</w:t>
      </w:r>
      <w:r>
        <w:rPr>
          <w:rFonts w:ascii="Arial" w:cs="Arial" w:eastAsia="Arial" w:hAnsi="Arial"/>
          <w:sz w:val="17"/>
          <w:szCs w:val="17"/>
          <w:color w:val="auto"/>
        </w:rPr>
        <w:t>,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the Swingline Lender may otherwise have to bring any action or proceeding relating to this Agreement or any other Loan Document against the Borrower or any other Credit Party or its properties in the courts of any jurisdiction.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980"/>
          </w:cols>
          <w:pgMar w:left="440" w:top="490" w:right="479" w:bottom="1440" w:gutter="0" w:footer="0" w:header="0"/>
        </w:sectPr>
      </w:pPr>
    </w:p>
    <w:bookmarkStart w:id="207" w:name="page208"/>
    <w:bookmarkEnd w:id="207"/>
    <w:p>
      <w:pPr>
        <w:ind w:left="4" w:right="120" w:firstLine="436"/>
        <w:spacing w:after="0" w:line="257" w:lineRule="auto"/>
        <w:tabs>
          <w:tab w:leader="none" w:pos="686"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Waiver of Venue</w:t>
      </w:r>
      <w:r>
        <w:rPr>
          <w:rFonts w:ascii="Arial" w:cs="Arial" w:eastAsia="Arial" w:hAnsi="Arial"/>
          <w:sz w:val="18"/>
          <w:szCs w:val="18"/>
          <w:color w:val="auto"/>
        </w:rPr>
        <w:t>. The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79" w:lineRule="exact"/>
        <w:rPr>
          <w:rFonts w:ascii="Arial" w:cs="Arial" w:eastAsia="Arial" w:hAnsi="Arial"/>
          <w:sz w:val="18"/>
          <w:szCs w:val="18"/>
          <w:color w:val="auto"/>
        </w:rPr>
      </w:pPr>
    </w:p>
    <w:p>
      <w:pPr>
        <w:ind w:left="4" w:firstLine="436"/>
        <w:spacing w:after="0" w:line="277" w:lineRule="auto"/>
        <w:tabs>
          <w:tab w:leader="none" w:pos="699"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12.1</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70"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80" w:hanging="4"/>
        <w:spacing w:after="0" w:line="253" w:lineRule="auto"/>
        <w:tabs>
          <w:tab w:leader="none" w:pos="29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SECTION 12.7 </w:t>
      </w:r>
      <w:r>
        <w:rPr>
          <w:rFonts w:ascii="Arial" w:cs="Arial" w:eastAsia="Arial" w:hAnsi="Arial"/>
          <w:sz w:val="16"/>
          <w:szCs w:val="16"/>
          <w:u w:val="single" w:color="auto"/>
          <w:color w:val="auto"/>
        </w:rPr>
        <w:t>Reversal of Payments</w:t>
      </w:r>
      <w:r>
        <w:rPr>
          <w:rFonts w:ascii="Arial" w:cs="Arial" w:eastAsia="Arial" w:hAnsi="Arial"/>
          <w:sz w:val="16"/>
          <w:szCs w:val="16"/>
          <w:color w:val="auto"/>
        </w:rPr>
        <w:t>. 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66"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u w:val="single" w:color="auto"/>
          <w:color w:val="auto"/>
        </w:rPr>
        <w:t>Injunctive Relief</w:t>
      </w:r>
      <w:r>
        <w:rPr>
          <w:rFonts w:ascii="Arial" w:cs="Arial" w:eastAsia="Arial" w:hAnsi="Arial"/>
          <w:sz w:val="18"/>
          <w:szCs w:val="18"/>
          <w:color w:val="auto"/>
        </w:rPr>
        <w:t>. The Borrower recognizes that, in the event the Borrower fails to perform, observe or discharge any of its obligations or liabilities under this Agreement, any remedy of law may prove to be inadequate relief to the Lenders. Therefore, the Borrower agrees that the Lenders, at the Lenders’ option, shall be entitled to temporary and permanent injunctive relief in any such case without the necessity of proving actual damages.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44"/>
          </w:cols>
          <w:pgMar w:left="436" w:top="490" w:right="519" w:bottom="1440" w:gutter="0" w:footer="0" w:header="0"/>
        </w:sectPr>
      </w:pPr>
    </w:p>
    <w:bookmarkStart w:id="208" w:name="page209"/>
    <w:bookmarkEnd w:id="20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12.9 </w:t>
      </w:r>
      <w:r>
        <w:rPr>
          <w:rFonts w:ascii="Arial" w:cs="Arial" w:eastAsia="Arial" w:hAnsi="Arial"/>
          <w:sz w:val="18"/>
          <w:szCs w:val="18"/>
          <w:u w:val="single" w:color="auto"/>
          <w:color w:val="auto"/>
        </w:rPr>
        <w:t>Successors and Assigns; Participations</w:t>
      </w:r>
      <w:r>
        <w:rPr>
          <w:rFonts w:ascii="Arial" w:cs="Arial" w:eastAsia="Arial" w:hAnsi="Arial"/>
          <w:sz w:val="18"/>
          <w:szCs w:val="18"/>
          <w:color w:val="auto"/>
        </w:rPr>
        <w:t>.</w:t>
      </w:r>
    </w:p>
    <w:p>
      <w:pPr>
        <w:spacing w:after="0" w:line="117" w:lineRule="exact"/>
        <w:rPr>
          <w:sz w:val="20"/>
          <w:szCs w:val="20"/>
          <w:color w:val="auto"/>
        </w:rPr>
      </w:pPr>
    </w:p>
    <w:p>
      <w:pPr>
        <w:ind w:left="4" w:right="80" w:firstLine="436"/>
        <w:spacing w:after="0" w:line="286" w:lineRule="auto"/>
        <w:tabs>
          <w:tab w:leader="none" w:pos="689"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w:t>
      </w:r>
    </w:p>
    <w:p>
      <w:pPr>
        <w:spacing w:after="0" w:line="1" w:lineRule="exact"/>
        <w:rPr>
          <w:rFonts w:ascii="Arial" w:cs="Arial" w:eastAsia="Arial" w:hAnsi="Arial"/>
          <w:sz w:val="16"/>
          <w:szCs w:val="16"/>
          <w:color w:val="auto"/>
        </w:rPr>
      </w:pPr>
    </w:p>
    <w:p>
      <w:pPr>
        <w:ind w:left="4" w:right="20" w:hanging="4"/>
        <w:spacing w:after="0" w:line="252" w:lineRule="auto"/>
        <w:tabs>
          <w:tab w:leader="none" w:pos="26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85" w:lineRule="exact"/>
        <w:rPr>
          <w:rFonts w:ascii="Arial" w:cs="Arial" w:eastAsia="Arial" w:hAnsi="Arial"/>
          <w:sz w:val="18"/>
          <w:szCs w:val="18"/>
          <w:color w:val="auto"/>
        </w:rPr>
      </w:pPr>
    </w:p>
    <w:p>
      <w:pPr>
        <w:ind w:left="4" w:right="140" w:firstLine="436"/>
        <w:spacing w:after="0" w:line="263" w:lineRule="auto"/>
        <w:tabs>
          <w:tab w:leader="none" w:pos="689"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Credit Facility, any such assignment shall be subject to the following conditions:</w:t>
      </w:r>
    </w:p>
    <w:p>
      <w:pPr>
        <w:spacing w:after="0" w:line="75" w:lineRule="exact"/>
        <w:rPr>
          <w:rFonts w:ascii="Arial" w:cs="Arial" w:eastAsia="Arial" w:hAnsi="Arial"/>
          <w:sz w:val="18"/>
          <w:szCs w:val="18"/>
          <w:color w:val="auto"/>
        </w:rPr>
      </w:pPr>
    </w:p>
    <w:p>
      <w:pPr>
        <w:ind w:left="444" w:firstLine="419"/>
        <w:spacing w:after="0" w:line="269" w:lineRule="auto"/>
        <w:tabs>
          <w:tab w:leader="none" w:pos="1082" w:val="left"/>
        </w:tabs>
        <w:numPr>
          <w:ilvl w:val="2"/>
          <w:numId w:val="276"/>
        </w:numPr>
        <w:rPr>
          <w:rFonts w:ascii="Arial" w:cs="Arial" w:eastAsia="Arial" w:hAnsi="Arial"/>
          <w:sz w:val="17"/>
          <w:szCs w:val="17"/>
          <w:color w:val="auto"/>
        </w:rPr>
      </w:pPr>
      <w:r>
        <w:rPr>
          <w:rFonts w:ascii="Arial" w:cs="Arial" w:eastAsia="Arial" w:hAnsi="Arial"/>
          <w:sz w:val="17"/>
          <w:szCs w:val="17"/>
          <w:u w:val="single" w:color="auto"/>
          <w:color w:val="auto"/>
        </w:rPr>
        <w:t>Minimum Amounts</w:t>
      </w:r>
      <w:r>
        <w:rPr>
          <w:rFonts w:ascii="Arial" w:cs="Arial" w:eastAsia="Arial" w:hAnsi="Arial"/>
          <w:sz w:val="17"/>
          <w:szCs w:val="17"/>
          <w:color w:val="auto"/>
        </w:rPr>
        <w:t xml:space="preserve">.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or, if less, then the remaining amount of the assigning Lender’s Revolving Credit Commitment or Term Loans, unless each of the Administrative Agent and, so long as no Event of Default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given its consent ten (10) Business Days after the date written notice thereof has been delivered by the assigning Lender (through the Administrative Agent) unless such consent is expressly refused by the Borrower prior to such tenth (10th) Business Day;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case of an assignment to a Lender, an Affiliate of a Lender or an Approved Fund, no minimum amount need be assigned;</w:t>
      </w:r>
    </w:p>
    <w:p>
      <w:pPr>
        <w:spacing w:after="0" w:line="77" w:lineRule="exact"/>
        <w:rPr>
          <w:rFonts w:ascii="Arial" w:cs="Arial" w:eastAsia="Arial" w:hAnsi="Arial"/>
          <w:sz w:val="17"/>
          <w:szCs w:val="17"/>
          <w:color w:val="auto"/>
        </w:rPr>
      </w:pPr>
    </w:p>
    <w:p>
      <w:pPr>
        <w:ind w:left="444" w:right="280" w:firstLine="419"/>
        <w:spacing w:after="0" w:line="277" w:lineRule="auto"/>
        <w:tabs>
          <w:tab w:leader="none" w:pos="1132" w:val="left"/>
        </w:tabs>
        <w:numPr>
          <w:ilvl w:val="2"/>
          <w:numId w:val="276"/>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62" w:lineRule="exact"/>
        <w:rPr>
          <w:rFonts w:ascii="Arial" w:cs="Arial" w:eastAsia="Arial" w:hAnsi="Arial"/>
          <w:sz w:val="18"/>
          <w:szCs w:val="18"/>
          <w:color w:val="auto"/>
        </w:rPr>
      </w:pPr>
    </w:p>
    <w:p>
      <w:pPr>
        <w:ind w:left="444" w:right="240" w:firstLine="419"/>
        <w:spacing w:after="0" w:line="277" w:lineRule="auto"/>
        <w:tabs>
          <w:tab w:leader="none" w:pos="1182" w:val="left"/>
        </w:tabs>
        <w:numPr>
          <w:ilvl w:val="2"/>
          <w:numId w:val="276"/>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paragraph (b)(i) of this Section and, in addition:</w:t>
      </w:r>
    </w:p>
    <w:p>
      <w:pPr>
        <w:spacing w:after="0" w:line="62" w:lineRule="exact"/>
        <w:rPr>
          <w:rFonts w:ascii="Arial" w:cs="Arial" w:eastAsia="Arial" w:hAnsi="Arial"/>
          <w:sz w:val="18"/>
          <w:szCs w:val="18"/>
          <w:color w:val="auto"/>
        </w:rPr>
      </w:pPr>
    </w:p>
    <w:p>
      <w:pPr>
        <w:ind w:left="984" w:right="20" w:firstLine="408"/>
        <w:spacing w:after="0" w:line="296" w:lineRule="auto"/>
        <w:tabs>
          <w:tab w:leader="none" w:pos="1680" w:val="left"/>
        </w:tabs>
        <w:numPr>
          <w:ilvl w:val="3"/>
          <w:numId w:val="276"/>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(x) an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has occurred and is continuing at the time of such assignment or (y) such assignment is to a Lender or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be deemed to have consented to any such assignment unless it shall object thereto by written notice to the Administrative Agent within ten (10) Business Days after having received notice thereof; and provided, further, that the Borrower’s consent shall not be required during the primary syndication of the Credit Facility.</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944"/>
          </w:cols>
          <w:pgMar w:left="436" w:top="490" w:right="519" w:bottom="1440" w:gutter="0" w:footer="0" w:header="0"/>
        </w:sectPr>
      </w:pPr>
    </w:p>
    <w:bookmarkStart w:id="209" w:name="page210"/>
    <w:bookmarkEnd w:id="209"/>
    <w:p>
      <w:pPr>
        <w:ind w:left="1680" w:hanging="292"/>
        <w:spacing w:after="0"/>
        <w:tabs>
          <w:tab w:leader="none" w:pos="1680" w:val="left"/>
        </w:tabs>
        <w:numPr>
          <w:ilvl w:val="1"/>
          <w:numId w:val="2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consent of the Administrative Agent (such consent not to be unreasonably withheld or delayed) shall be required for</w:t>
      </w:r>
    </w:p>
    <w:p>
      <w:pPr>
        <w:spacing w:after="0" w:line="34" w:lineRule="exact"/>
        <w:rPr>
          <w:rFonts w:ascii="Arial" w:cs="Arial" w:eastAsia="Arial" w:hAnsi="Arial"/>
          <w:sz w:val="17"/>
          <w:szCs w:val="17"/>
          <w:color w:val="auto"/>
        </w:rPr>
      </w:pPr>
    </w:p>
    <w:p>
      <w:pPr>
        <w:ind w:left="980"/>
        <w:spacing w:after="0" w:line="253" w:lineRule="auto"/>
        <w:rPr>
          <w:rFonts w:ascii="Arial" w:cs="Arial" w:eastAsia="Arial" w:hAnsi="Arial"/>
          <w:sz w:val="17"/>
          <w:szCs w:val="17"/>
          <w:color w:val="auto"/>
        </w:rPr>
      </w:pPr>
      <w:r>
        <w:rPr>
          <w:rFonts w:ascii="Arial" w:cs="Arial" w:eastAsia="Arial" w:hAnsi="Arial"/>
          <w:sz w:val="18"/>
          <w:szCs w:val="18"/>
          <w:color w:val="auto"/>
        </w:rPr>
        <w:t>assignments in respect of (i) the Revolving Credit Facility or any unfunded Term Loan Commitments if such assignment is to a Person that is not a Lender with a Revolving Credit Commitment or a Term Loan Commitment, as applicable, an Affiliate of such Lender or an Approved Fund with respect to such Lender or (ii) the Term Loans to a Person that is not a Lender, an Affiliate of a Lender or an Approved Fund; and</w:t>
      </w:r>
    </w:p>
    <w:p>
      <w:pPr>
        <w:spacing w:after="0" w:line="84" w:lineRule="exact"/>
        <w:rPr>
          <w:rFonts w:ascii="Arial" w:cs="Arial" w:eastAsia="Arial" w:hAnsi="Arial"/>
          <w:sz w:val="17"/>
          <w:szCs w:val="17"/>
          <w:color w:val="auto"/>
        </w:rPr>
      </w:pPr>
    </w:p>
    <w:p>
      <w:pPr>
        <w:ind w:left="980" w:right="200" w:firstLine="408"/>
        <w:spacing w:after="0" w:line="277" w:lineRule="auto"/>
        <w:tabs>
          <w:tab w:leader="none" w:pos="1666"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consents of the Issuing Lenders and the Swingline Lender (such consents not to be unreasonably withheld or delayed) shall be required for any assignment in respect of the Revolving Credit Facility.</w:t>
      </w:r>
    </w:p>
    <w:p>
      <w:pPr>
        <w:spacing w:after="0" w:line="62" w:lineRule="exact"/>
        <w:rPr>
          <w:rFonts w:ascii="Arial" w:cs="Arial" w:eastAsia="Arial" w:hAnsi="Arial"/>
          <w:sz w:val="18"/>
          <w:szCs w:val="18"/>
          <w:color w:val="auto"/>
        </w:rPr>
      </w:pPr>
    </w:p>
    <w:p>
      <w:pPr>
        <w:ind w:left="440" w:right="80" w:firstLine="419"/>
        <w:spacing w:after="0" w:line="257" w:lineRule="auto"/>
        <w:tabs>
          <w:tab w:leader="none" w:pos="1158"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9" w:lineRule="exact"/>
        <w:rPr>
          <w:rFonts w:ascii="Arial" w:cs="Arial" w:eastAsia="Arial" w:hAnsi="Arial"/>
          <w:sz w:val="18"/>
          <w:szCs w:val="18"/>
          <w:color w:val="auto"/>
        </w:rPr>
      </w:pPr>
    </w:p>
    <w:p>
      <w:pPr>
        <w:jc w:val="both"/>
        <w:ind w:left="440" w:right="40" w:firstLine="419"/>
        <w:spacing w:after="0" w:line="259" w:lineRule="auto"/>
        <w:tabs>
          <w:tab w:leader="none" w:pos="1118"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a natural Person (or a holding company, investment vehicle or trust for, or owned and operated for the primary benefit of, a natural Person), (B) the Borrower or any of the Borrower’s respective Subsidiaries or Affiliates or (C) any Defaulting Lender or any of its Subsidiaries, or any Person who, upon becoming a Lender hereunder, would constitute any of the foregoing Persons described in this clause (C).</w:t>
      </w:r>
    </w:p>
    <w:p>
      <w:pPr>
        <w:spacing w:after="0" w:line="78" w:lineRule="exact"/>
        <w:rPr>
          <w:rFonts w:ascii="Arial" w:cs="Arial" w:eastAsia="Arial" w:hAnsi="Arial"/>
          <w:sz w:val="18"/>
          <w:szCs w:val="18"/>
          <w:color w:val="auto"/>
        </w:rPr>
      </w:pPr>
    </w:p>
    <w:p>
      <w:pPr>
        <w:ind w:left="440" w:right="80" w:firstLine="419"/>
        <w:spacing w:after="0" w:line="269" w:lineRule="auto"/>
        <w:tabs>
          <w:tab w:leader="none" w:pos="1168"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 (B) acquire (and fund as appropriate) its full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5.8</w:t>
      </w:r>
      <w:r>
        <w:rPr>
          <w:rFonts w:ascii="Arial" w:cs="Arial" w:eastAsia="Arial" w:hAnsi="Arial"/>
          <w:sz w:val="17"/>
          <w:szCs w:val="17"/>
          <w:color w:val="auto"/>
        </w:rPr>
        <w:t xml:space="preserve">, </w:t>
      </w:r>
      <w:r>
        <w:rPr>
          <w:rFonts w:ascii="Arial" w:cs="Arial" w:eastAsia="Arial" w:hAnsi="Arial"/>
          <w:sz w:val="17"/>
          <w:szCs w:val="17"/>
          <w:u w:val="single" w:color="auto"/>
          <w:color w:val="auto"/>
        </w:rPr>
        <w:t>5.9</w:t>
      </w:r>
      <w:r>
        <w:rPr>
          <w:rFonts w:ascii="Arial" w:cs="Arial" w:eastAsia="Arial" w:hAnsi="Arial"/>
          <w:sz w:val="17"/>
          <w:szCs w:val="17"/>
          <w:color w:val="auto"/>
        </w:rPr>
        <w:t xml:space="preserve">, </w:t>
      </w:r>
      <w:r>
        <w:rPr>
          <w:rFonts w:ascii="Arial" w:cs="Arial" w:eastAsia="Arial" w:hAnsi="Arial"/>
          <w:sz w:val="17"/>
          <w:szCs w:val="17"/>
          <w:u w:val="single" w:color="auto"/>
          <w:color w:val="auto"/>
        </w:rPr>
        <w:t>5.10</w:t>
      </w:r>
      <w:r>
        <w:rPr>
          <w:rFonts w:ascii="Arial" w:cs="Arial" w:eastAsia="Arial" w:hAnsi="Arial"/>
          <w:sz w:val="17"/>
          <w:szCs w:val="17"/>
          <w:color w:val="auto"/>
        </w:rPr>
        <w:t xml:space="preserve">,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12.3</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00"/>
          </w:cols>
          <w:pgMar w:left="440" w:top="490" w:right="459" w:bottom="1440" w:gutter="0" w:footer="0" w:header="0"/>
        </w:sectPr>
      </w:pPr>
    </w:p>
    <w:bookmarkStart w:id="210" w:name="page211"/>
    <w:bookmarkEnd w:id="210"/>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the Borrower or any of the Borrower’s respective Subsidiaries or Affiliates, which shall be null and void).</w:t>
      </w:r>
    </w:p>
    <w:p>
      <w:pPr>
        <w:spacing w:after="0" w:line="68" w:lineRule="exact"/>
        <w:rPr>
          <w:sz w:val="20"/>
          <w:szCs w:val="20"/>
          <w:color w:val="auto"/>
        </w:rPr>
      </w:pPr>
    </w:p>
    <w:p>
      <w:pPr>
        <w:ind w:right="40" w:firstLine="436"/>
        <w:spacing w:after="0" w:line="291" w:lineRule="auto"/>
        <w:tabs>
          <w:tab w:leader="none" w:pos="685"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Administrative Agent, acting solely for this purpose as a non-fiduciary agent of the Borrower, shall maintain at one of its offices in Charlotte, North Carolina, a copy of each Assignment and Assumption </w:t>
      </w:r>
      <w:r>
        <w:rPr>
          <w:rFonts w:ascii="Arial" w:cs="Arial" w:eastAsia="Arial" w:hAnsi="Arial"/>
          <w:sz w:val="16"/>
          <w:szCs w:val="16"/>
          <w:color w:val="FF0000"/>
          <w:strike w:val="1"/>
        </w:rPr>
        <w:t>and each Incremental Facility Amendment</w:t>
      </w:r>
      <w:r>
        <w:rPr>
          <w:rFonts w:ascii="Arial" w:cs="Arial" w:eastAsia="Arial" w:hAnsi="Arial"/>
          <w:sz w:val="16"/>
          <w:szCs w:val="16"/>
          <w:color w:val="auto"/>
        </w:rPr>
        <w:t xml:space="preserve"> delivered to it and a register for the recordation of the names and addresses of the Lenders, and the Commitment of, and principal amounts of (and stated interest on)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w:t>
      </w:r>
    </w:p>
    <w:p>
      <w:pPr>
        <w:spacing w:after="0" w:line="58" w:lineRule="exact"/>
        <w:rPr>
          <w:rFonts w:ascii="Arial" w:cs="Arial" w:eastAsia="Arial" w:hAnsi="Arial"/>
          <w:sz w:val="16"/>
          <w:szCs w:val="16"/>
          <w:color w:val="auto"/>
        </w:rPr>
      </w:pPr>
    </w:p>
    <w:p>
      <w:pPr>
        <w:ind w:firstLine="436"/>
        <w:spacing w:after="0" w:line="270" w:lineRule="auto"/>
        <w:tabs>
          <w:tab w:leader="none" w:pos="69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the Administrative Agent, any Issuing Lender or the Swingline Lender, sell participations to any Person (other than a natural Person (or a holding company, investment vehicle or trust for, or owned and operated for the primary benefit of, a natural Person) or the Borrower or any of the Borrower’s respective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each</w:t>
      </w:r>
      <w:r>
        <w:rPr>
          <w:rFonts w:ascii="Arial" w:cs="Arial" w:eastAsia="Arial" w:hAnsi="Arial"/>
          <w:sz w:val="17"/>
          <w:szCs w:val="17"/>
          <w:color w:val="auto"/>
        </w:rPr>
        <w:t xml:space="preserve"> Issuing Lender, the Swingline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12.3(c)</w:t>
      </w:r>
      <w:r>
        <w:rPr>
          <w:rFonts w:ascii="Arial" w:cs="Arial" w:eastAsia="Arial" w:hAnsi="Arial"/>
          <w:sz w:val="17"/>
          <w:szCs w:val="17"/>
          <w:color w:val="auto"/>
        </w:rPr>
        <w:t xml:space="preserve"> with respect to any payments made by such Lender to its Participant(s).</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w:t>
      </w:r>
    </w:p>
    <w:p>
      <w:pPr>
        <w:spacing w:after="0" w:line="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u w:val="single" w:color="auto"/>
          <w:color w:val="auto"/>
        </w:rPr>
        <w:t>Section 12.2(b)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that directly and adversely affects such Participant. The Borrower agrees that each Participant shall be entitled to the benefits of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5.11(g)</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5.11(g)</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5.10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5.12(b)</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as though it were a Lender.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00"/>
          </w:cols>
          <w:pgMar w:left="440" w:top="490" w:right="459" w:bottom="1440" w:gutter="0" w:footer="0" w:header="0"/>
        </w:sectPr>
      </w:pPr>
    </w:p>
    <w:bookmarkStart w:id="211" w:name="page212"/>
    <w:bookmarkEnd w:id="21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58" w:lineRule="exact"/>
        <w:rPr>
          <w:sz w:val="20"/>
          <w:szCs w:val="20"/>
          <w:color w:val="auto"/>
        </w:rPr>
      </w:pPr>
    </w:p>
    <w:p>
      <w:pPr>
        <w:ind w:right="60" w:firstLine="436"/>
        <w:spacing w:after="0" w:line="259" w:lineRule="auto"/>
        <w:tabs>
          <w:tab w:leader="none" w:pos="685"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right="40" w:firstLine="436"/>
        <w:spacing w:after="0" w:line="286" w:lineRule="auto"/>
        <w:tabs>
          <w:tab w:leader="none" w:pos="665"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Cashless Settlement</w:t>
      </w:r>
      <w:r>
        <w:rPr>
          <w:rFonts w:ascii="Arial" w:cs="Arial" w:eastAsia="Arial" w:hAnsi="Arial"/>
          <w:sz w:val="17"/>
          <w:szCs w:val="17"/>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6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xml:space="preserve">. Each of the Administrative Agent, the Lenders and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each</w:t>
      </w:r>
      <w:r>
        <w:rPr>
          <w:rFonts w:ascii="Arial" w:cs="Arial" w:eastAsia="Arial" w:hAnsi="Arial"/>
          <w:sz w:val="16"/>
          <w:szCs w:val="16"/>
          <w:color w:val="auto"/>
        </w:rPr>
        <w:t xml:space="preserve"> Issuing Lender</w:t>
      </w:r>
      <w:r>
        <w:rPr>
          <w:rFonts w:ascii="Arial" w:cs="Arial" w:eastAsia="Arial" w:hAnsi="Arial"/>
          <w:sz w:val="16"/>
          <w:szCs w:val="16"/>
          <w:color w:val="FF0000"/>
          <w:strike w:val="1"/>
        </w:rPr>
        <w:t>s</w:t>
      </w:r>
      <w:r>
        <w:rPr>
          <w:rFonts w:ascii="Arial" w:cs="Arial" w:eastAsia="Arial" w:hAnsi="Arial"/>
          <w:sz w:val="16"/>
          <w:szCs w:val="16"/>
          <w:color w:val="auto"/>
        </w:rPr>
        <w:t xml:space="preserve">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(in which case, the Administrative Agent,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such</w:t>
      </w:r>
      <w:r>
        <w:rPr>
          <w:rFonts w:ascii="Arial" w:cs="Arial" w:eastAsia="Arial" w:hAnsi="Arial"/>
          <w:sz w:val="16"/>
          <w:szCs w:val="16"/>
          <w:color w:val="auto"/>
        </w:rPr>
        <w:t xml:space="preserve"> Issuing Lender or such Lender, as applicable, shall use commercially reasonable efforts to, except with respect to any audit or examination conducted by bank accountants or any governmental bank regulatory authority exercising examination or regulatory authority, promptly notify the Borrower, in advance, to the extent practicable and otherwise permitted by Applicable Law), (c) as to the extent required by Applicable Laws or regulations or in any legal, judicial, administrative proceeding or other compulsory process,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and in each case, their respective financing sources or (ii) any actual or prospective party (or its Related Parties) to any swap, derivative or other transaction under which payments are to be made by reference to the Borrower and their respective obligations, this Agreement or payments 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00"/>
          </w:cols>
          <w:pgMar w:left="440" w:top="490" w:right="459" w:bottom="1440" w:gutter="0" w:footer="0" w:header="0"/>
        </w:sectPr>
      </w:pPr>
    </w:p>
    <w:bookmarkStart w:id="212" w:name="page213"/>
    <w:bookmarkEnd w:id="212"/>
    <w:p>
      <w:pPr>
        <w:ind w:left="4" w:hanging="4"/>
        <w:spacing w:after="0" w:line="267" w:lineRule="auto"/>
        <w:tabs>
          <w:tab w:leader="none" w:pos="259" w:val="left"/>
        </w:tabs>
        <w:numPr>
          <w:ilvl w:val="0"/>
          <w:numId w:val="2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on a confidential basis to (i) any rating agency in connection with rating the Borrower or its Subsidiaries or the Credit Facility or (ii) the CUSIP Service Bureau or any similar agency in connection with the issuance and monitoring of CUSIP numbers with respect to the Credit Facility; (h) with the consent of the Borrower, (i)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 or (k) to the extent that such information is independently developed by such Person, or (l) for purposes of establishing a “due diligence” defense. In addition, the Administrative Agent and the Lenders may disclose the existence of this Agreement and information about this Agreement to market data collectors, similar service providers to the lending industry and service providers to the </w:t>
      </w:r>
      <w:r>
        <w:rPr>
          <w:rFonts w:ascii="Arial" w:cs="Arial" w:eastAsia="Arial" w:hAnsi="Arial"/>
          <w:sz w:val="17"/>
          <w:szCs w:val="17"/>
          <w:u w:val="single" w:color="auto"/>
          <w:color w:val="0000FF"/>
        </w:rPr>
        <w:t>Administrative</w:t>
      </w:r>
      <w:r>
        <w:rPr>
          <w:rFonts w:ascii="Arial" w:cs="Arial" w:eastAsia="Arial" w:hAnsi="Arial"/>
          <w:sz w:val="17"/>
          <w:szCs w:val="17"/>
          <w:color w:val="0000FF"/>
        </w:rPr>
        <w:t xml:space="preserve"> </w:t>
      </w:r>
      <w:r>
        <w:rPr>
          <w:rFonts w:ascii="Arial" w:cs="Arial" w:eastAsia="Arial" w:hAnsi="Arial"/>
          <w:sz w:val="17"/>
          <w:szCs w:val="17"/>
          <w:color w:val="000000"/>
        </w:rPr>
        <w:t>Agent</w:t>
      </w:r>
      <w:r>
        <w:rPr>
          <w:rFonts w:ascii="Arial" w:cs="Arial" w:eastAsia="Arial" w:hAnsi="Arial"/>
          <w:sz w:val="17"/>
          <w:szCs w:val="17"/>
          <w:color w:val="FF0000"/>
          <w:strike w:val="1"/>
        </w:rPr>
        <w:t>s</w:t>
      </w:r>
      <w:r>
        <w:rPr>
          <w:rFonts w:ascii="Arial" w:cs="Arial" w:eastAsia="Arial" w:hAnsi="Arial"/>
          <w:sz w:val="17"/>
          <w:szCs w:val="17"/>
          <w:color w:val="0000FF"/>
        </w:rPr>
        <w:t xml:space="preserve"> </w:t>
      </w:r>
      <w:r>
        <w:rPr>
          <w:rFonts w:ascii="Arial" w:cs="Arial" w:eastAsia="Arial" w:hAnsi="Arial"/>
          <w:sz w:val="17"/>
          <w:szCs w:val="17"/>
          <w:color w:val="000000"/>
        </w:rPr>
        <w:t>and the Lenders in connection with the administration of this Agreement, the other Loan Documents, and the Commitments. For</w:t>
      </w:r>
      <w:r>
        <w:rPr>
          <w:rFonts w:ascii="Arial" w:cs="Arial" w:eastAsia="Arial" w:hAnsi="Arial"/>
          <w:sz w:val="17"/>
          <w:szCs w:val="17"/>
          <w:color w:val="0000FF"/>
        </w:rPr>
        <w:t xml:space="preserve"> </w:t>
      </w:r>
      <w:r>
        <w:rPr>
          <w:rFonts w:ascii="Arial" w:cs="Arial" w:eastAsia="Arial" w:hAnsi="Arial"/>
          <w:sz w:val="17"/>
          <w:szCs w:val="17"/>
          <w:color w:val="000000"/>
        </w:rPr>
        <w:t>purposes of this Section, “</w:t>
      </w:r>
      <w:r>
        <w:rPr>
          <w:rFonts w:ascii="Arial" w:cs="Arial" w:eastAsia="Arial" w:hAnsi="Arial"/>
          <w:sz w:val="17"/>
          <w:szCs w:val="17"/>
          <w:u w:val="single" w:color="auto"/>
          <w:color w:val="000000"/>
        </w:rPr>
        <w:t>Information</w:t>
      </w:r>
      <w:r>
        <w:rPr>
          <w:rFonts w:ascii="Arial" w:cs="Arial" w:eastAsia="Arial" w:hAnsi="Arial"/>
          <w:sz w:val="17"/>
          <w:szCs w:val="17"/>
          <w:color w:val="000000"/>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Performance of Duties</w:t>
      </w:r>
      <w:r>
        <w:rPr>
          <w:rFonts w:ascii="Arial" w:cs="Arial" w:eastAsia="Arial" w:hAnsi="Arial"/>
          <w:sz w:val="18"/>
          <w:szCs w:val="18"/>
          <w:color w:val="auto"/>
        </w:rPr>
        <w:t>. Each of the Credit Party’s obligations under this Agreement and each of the other Loan Documents shall be performed by such Credit Party at its sole cost and expense.</w:t>
      </w:r>
    </w:p>
    <w:p>
      <w:pPr>
        <w:spacing w:after="0" w:line="170"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All Powers Coupled with Interest</w:t>
      </w:r>
      <w:r>
        <w:rPr>
          <w:rFonts w:ascii="Arial" w:cs="Arial" w:eastAsia="Arial" w:hAnsi="Arial"/>
          <w:sz w:val="18"/>
          <w:szCs w:val="18"/>
          <w:color w:val="auto"/>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96" w:lineRule="auto"/>
        <w:tabs>
          <w:tab w:leader="none" w:pos="679"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All representations and warranties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53" w:lineRule="exact"/>
        <w:rPr>
          <w:rFonts w:ascii="Arial" w:cs="Arial" w:eastAsia="Arial" w:hAnsi="Arial"/>
          <w:sz w:val="16"/>
          <w:szCs w:val="16"/>
          <w:color w:val="auto"/>
        </w:rPr>
      </w:pPr>
    </w:p>
    <w:p>
      <w:pPr>
        <w:ind w:left="4" w:right="120" w:firstLine="436"/>
        <w:spacing w:after="0" w:line="286" w:lineRule="auto"/>
        <w:tabs>
          <w:tab w:leader="none" w:pos="699"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Notwithstanding any termination of this Agreement, the indemnities to which the Administrative Agent and the Lenders are entitled under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04"/>
          </w:cols>
          <w:pgMar w:left="436" w:top="490" w:right="459" w:bottom="1440" w:gutter="0" w:footer="0" w:header="0"/>
        </w:sectPr>
      </w:pPr>
    </w:p>
    <w:bookmarkStart w:id="213" w:name="page214"/>
    <w:bookmarkEnd w:id="213"/>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12.14 </w:t>
      </w:r>
      <w:r>
        <w:rPr>
          <w:rFonts w:ascii="Arial" w:cs="Arial" w:eastAsia="Arial" w:hAnsi="Arial"/>
          <w:sz w:val="18"/>
          <w:szCs w:val="18"/>
          <w:u w:val="single" w:color="auto"/>
          <w:color w:val="auto"/>
        </w:rPr>
        <w:t>Titles and Captions</w:t>
      </w:r>
      <w:r>
        <w:rPr>
          <w:rFonts w:ascii="Arial" w:cs="Arial" w:eastAsia="Arial" w:hAnsi="Arial"/>
          <w:sz w:val="18"/>
          <w:szCs w:val="18"/>
          <w:color w:val="auto"/>
        </w:rPr>
        <w:t>. Titles and captions of Articles, Sections and subSections in, and the table of contents of, this Agreement are for convenience only, and neither limit nor amplify the provisions of this Agreement.</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12.15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 In the event that any provision is held to be so prohibited or unenforceable in any jurisdiction, the Administrative Agent, the Lenders and the Borrower shall negotiate in good faith to amend such provision to preserve the original intent thereof in such jurisdiction (subject to the approval of the Required Lenders).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90" w:lineRule="auto"/>
        <w:tabs>
          <w:tab w:leader="none" w:pos="685"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w:t>
      </w:r>
      <w:r>
        <w:rPr>
          <w:rFonts w:ascii="Arial" w:cs="Arial" w:eastAsia="Arial" w:hAnsi="Arial"/>
          <w:sz w:val="16"/>
          <w:szCs w:val="16"/>
          <w:color w:val="auto"/>
        </w:rPr>
        <w:t xml:space="preserve"> Issuing Lender, the Swingline Lender and/or the Arranger,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6.1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57" w:lineRule="exact"/>
        <w:rPr>
          <w:rFonts w:ascii="Arial" w:cs="Arial" w:eastAsia="Arial" w:hAnsi="Arial"/>
          <w:sz w:val="16"/>
          <w:szCs w:val="16"/>
          <w:color w:val="auto"/>
        </w:rPr>
      </w:pPr>
    </w:p>
    <w:p>
      <w:pPr>
        <w:ind w:firstLine="436"/>
        <w:spacing w:after="0" w:line="286" w:lineRule="auto"/>
        <w:tabs>
          <w:tab w:leader="none" w:pos="695"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Electronic Execution</w:t>
      </w:r>
      <w:r>
        <w:rPr>
          <w:rFonts w:ascii="Arial" w:cs="Arial" w:eastAsia="Arial" w:hAnsi="Arial"/>
          <w:sz w:val="16"/>
          <w:szCs w:val="16"/>
          <w:color w:val="auto"/>
        </w:rPr>
        <w:t xml:space="preserve"> </w:t>
      </w:r>
      <w:r>
        <w:rPr>
          <w:rFonts w:ascii="Arial" w:cs="Arial" w:eastAsia="Arial" w:hAnsi="Arial"/>
          <w:sz w:val="16"/>
          <w:szCs w:val="16"/>
          <w:u w:val="single" w:color="auto"/>
          <w:color w:val="FF0000"/>
        </w:rPr>
        <w:t>of Assignments</w:t>
      </w:r>
      <w:r>
        <w:rPr>
          <w:rFonts w:ascii="Arial" w:cs="Arial" w:eastAsia="Arial" w:hAnsi="Arial"/>
          <w:sz w:val="16"/>
          <w:szCs w:val="16"/>
          <w:color w:val="auto"/>
        </w:rPr>
        <w:t>. The words “</w:t>
      </w:r>
      <w:r>
        <w:rPr>
          <w:rFonts w:ascii="Arial" w:cs="Arial" w:eastAsia="Arial" w:hAnsi="Arial"/>
          <w:sz w:val="16"/>
          <w:szCs w:val="16"/>
          <w:u w:val="single" w:color="auto"/>
          <w:color w:val="0000FF"/>
        </w:rPr>
        <w:t>execute,” “</w:t>
      </w:r>
      <w:r>
        <w:rPr>
          <w:rFonts w:ascii="Arial" w:cs="Arial" w:eastAsia="Arial" w:hAnsi="Arial"/>
          <w:sz w:val="16"/>
          <w:szCs w:val="16"/>
          <w:color w:val="auto"/>
        </w:rPr>
        <w:t xml:space="preserve">execution,” “signed,” “signature,” </w:t>
      </w:r>
      <w:r>
        <w:rPr>
          <w:rFonts w:ascii="Arial" w:cs="Arial" w:eastAsia="Arial" w:hAnsi="Arial"/>
          <w:sz w:val="16"/>
          <w:szCs w:val="16"/>
          <w:u w:val="single" w:color="auto"/>
          <w:color w:val="0000FF"/>
        </w:rPr>
        <w:t>“delivery”</w:t>
      </w:r>
      <w:r>
        <w:rPr>
          <w:rFonts w:ascii="Arial" w:cs="Arial" w:eastAsia="Arial" w:hAnsi="Arial"/>
          <w:sz w:val="16"/>
          <w:szCs w:val="16"/>
          <w:color w:val="auto"/>
        </w:rPr>
        <w:t xml:space="preserve"> and words of like import in </w:t>
      </w:r>
      <w:r>
        <w:rPr>
          <w:rFonts w:ascii="Arial" w:cs="Arial" w:eastAsia="Arial" w:hAnsi="Arial"/>
          <w:sz w:val="16"/>
          <w:szCs w:val="16"/>
          <w:color w:val="FF0000"/>
          <w:strike w:val="1"/>
        </w:rPr>
        <w:t>any</w:t>
      </w:r>
      <w:r>
        <w:rPr>
          <w:rFonts w:ascii="Arial" w:cs="Arial" w:eastAsia="Arial" w:hAnsi="Arial"/>
          <w:sz w:val="16"/>
          <w:szCs w:val="16"/>
          <w:color w:val="auto"/>
        </w:rPr>
        <w:t xml:space="preserve"> </w:t>
      </w:r>
      <w:r>
        <w:rPr>
          <w:rFonts w:ascii="Arial" w:cs="Arial" w:eastAsia="Arial" w:hAnsi="Arial"/>
          <w:sz w:val="16"/>
          <w:szCs w:val="16"/>
          <w:color w:val="FF0000"/>
          <w:strike w:val="1"/>
        </w:rPr>
        <w:t>Assignment and Assumption</w:t>
      </w:r>
      <w:r>
        <w:rPr>
          <w:rFonts w:ascii="Arial" w:cs="Arial" w:eastAsia="Arial" w:hAnsi="Arial"/>
          <w:sz w:val="16"/>
          <w:szCs w:val="16"/>
          <w:u w:val="single" w:color="auto"/>
          <w:color w:val="0000FF"/>
          <w:strike w:val="1"/>
        </w:rPr>
        <w:t>or related to this Agreement, any other Loan Document or any document, amendment, approval, consent, waiver,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modification, information, notice, certificate, report, statement, disclosure, or authorization to be signed or delivered in connection with this Agreement or any other Loan Document or the transactions contemplated hereby</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shall be deemed to include</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Electronic Signatures or execution in the form of an</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Electronic Record, and contract formations on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electronic</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signatures</w:t>
      </w:r>
      <w:r>
        <w:rPr>
          <w:rFonts w:ascii="Arial" w:cs="Arial" w:eastAsia="Arial" w:hAnsi="Arial"/>
          <w:sz w:val="16"/>
          <w:szCs w:val="16"/>
          <w:u w:val="single" w:color="auto"/>
          <w:color w:val="0000FF"/>
          <w:strike w:val="1"/>
        </w:rPr>
        <w:t>platforms approved by the Administrative Agent, deliveries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or the keeping of records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0000FF"/>
          <w:strike w:val="1"/>
        </w:rPr>
        <w:t>Each party hereto agrees that any Electronic Signature or execution in the form of an Electronic Record shall be valid and binding on</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-1879600</wp:posOffset>
            </wp:positionV>
            <wp:extent cx="7366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3660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20"/>
          </w:cols>
          <w:pgMar w:left="440" w:top="490" w:right="439" w:bottom="1440" w:gutter="0" w:footer="0" w:header="0"/>
        </w:sectPr>
      </w:pPr>
    </w:p>
    <w:bookmarkStart w:id="214" w:name="page215"/>
    <w:bookmarkEnd w:id="214"/>
    <w:p>
      <w:pPr>
        <w:ind w:left="4" w:right="160"/>
        <w:spacing w:after="0" w:line="286"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w:t>
      </w:r>
    </w:p>
    <w:p>
      <w:pPr>
        <w:spacing w:after="0" w:line="1" w:lineRule="exact"/>
        <w:rPr>
          <w:sz w:val="20"/>
          <w:szCs w:val="20"/>
          <w:color w:val="auto"/>
        </w:rPr>
      </w:pPr>
    </w:p>
    <w:p>
      <w:pPr>
        <w:ind w:left="4" w:right="40" w:hanging="4"/>
        <w:spacing w:after="0" w:line="271" w:lineRule="auto"/>
        <w:tabs>
          <w:tab w:leader="none" w:pos="299" w:val="left"/>
        </w:tabs>
        <w:numPr>
          <w:ilvl w:val="0"/>
          <w:numId w:val="28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78"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 xml:space="preserve">SECTION 12.17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w:t>
      </w:r>
      <w:r>
        <w:rPr>
          <w:rFonts w:ascii="Arial" w:cs="Arial" w:eastAsia="Arial" w:hAnsi="Arial"/>
          <w:sz w:val="18"/>
          <w:szCs w:val="18"/>
          <w:color w:val="FF0000"/>
          <w:strike w:val="1"/>
        </w:rPr>
        <w:t>)</w:t>
      </w:r>
      <w:r>
        <w:rPr>
          <w:rFonts w:ascii="Arial" w:cs="Arial" w:eastAsia="Arial" w:hAnsi="Arial"/>
          <w:sz w:val="18"/>
          <w:szCs w:val="18"/>
          <w:color w:val="auto"/>
        </w:rPr>
        <w:t xml:space="preserve"> or otherwise satisfied in a manner acceptable to the </w:t>
      </w:r>
      <w:r>
        <w:rPr>
          <w:rFonts w:ascii="Arial" w:cs="Arial" w:eastAsia="Arial" w:hAnsi="Arial"/>
          <w:sz w:val="18"/>
          <w:szCs w:val="18"/>
          <w:u w:val="single" w:color="auto"/>
          <w:color w:val="0000FF"/>
        </w:rPr>
        <w:t>applicable</w:t>
      </w:r>
      <w:r>
        <w:rPr>
          <w:rFonts w:ascii="Arial" w:cs="Arial" w:eastAsia="Arial" w:hAnsi="Arial"/>
          <w:sz w:val="18"/>
          <w:szCs w:val="18"/>
          <w:color w:val="auto"/>
        </w:rPr>
        <w:t xml:space="preserv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92"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 xml:space="preserve">SECTION 12.18 </w:t>
      </w:r>
      <w:r>
        <w:rPr>
          <w:rFonts w:ascii="Arial" w:cs="Arial" w:eastAsia="Arial" w:hAnsi="Arial"/>
          <w:sz w:val="17"/>
          <w:szCs w:val="17"/>
          <w:u w:val="single" w:color="auto"/>
          <w:color w:val="auto"/>
        </w:rPr>
        <w:t>USA PATRIOT Act; Anti-Money Laundering Laws</w:t>
      </w:r>
      <w:r>
        <w:rPr>
          <w:rFonts w:ascii="Arial" w:cs="Arial" w:eastAsia="Arial" w:hAnsi="Arial"/>
          <w:sz w:val="17"/>
          <w:szCs w:val="17"/>
          <w:color w:val="auto"/>
        </w:rPr>
        <w:t>. The Administrative Agent and each Lender hereby notifies the Borrower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7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Independent Effect of Covenants</w:t>
      </w:r>
      <w:r>
        <w:rPr>
          <w:rFonts w:ascii="Arial" w:cs="Arial" w:eastAsia="Arial" w:hAnsi="Arial"/>
          <w:sz w:val="18"/>
          <w:szCs w:val="18"/>
          <w:color w:val="auto"/>
        </w:rPr>
        <w:t xml:space="preserve">. The Borrower expressly acknowledges and agrees that each covenant contained in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hereof shall be given independent effect. Accordingly, the Borrower shall not engage in any transaction or other act otherwise permitted under any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before or after giving effect to such transaction or act, the Borrower shall or would be in breach of any other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12.20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69" w:lineRule="auto"/>
        <w:tabs>
          <w:tab w:leader="none" w:pos="689"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Subsidiaries, on the one hand, and the Administrative Agent, the Arrangers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 or any of its Affiliates, stockholders, creditors or employees or any other Person, (iii) none of the Administrative Agent, the Arrangers or the Lenders has assumed or will assume an advisory, agency or fiduciary responsibility in favor of the Borrower with respect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04"/>
          </w:cols>
          <w:pgMar w:left="436" w:top="490" w:right="459" w:bottom="1440" w:gutter="0" w:footer="0" w:header="0"/>
        </w:sectPr>
      </w:pPr>
    </w:p>
    <w:bookmarkStart w:id="215" w:name="page216"/>
    <w:bookmarkEnd w:id="215"/>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 or any of its Affiliates on other matters) and none of the Administrative Agent, the Arrangers or the Lenders has any obligation to the Borrower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 and its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60" w:lineRule="exact"/>
        <w:rPr>
          <w:sz w:val="20"/>
          <w:szCs w:val="20"/>
          <w:color w:val="auto"/>
        </w:rPr>
      </w:pPr>
    </w:p>
    <w:p>
      <w:pPr>
        <w:ind w:right="20" w:firstLine="436"/>
        <w:spacing w:after="0" w:line="272" w:lineRule="auto"/>
        <w:tabs>
          <w:tab w:leader="none" w:pos="695" w:val="left"/>
        </w:tabs>
        <w:numPr>
          <w:ilvl w:val="0"/>
          <w:numId w:val="286"/>
        </w:numPr>
        <w:rPr>
          <w:rFonts w:ascii="Arial" w:cs="Arial" w:eastAsia="Arial" w:hAnsi="Arial"/>
          <w:sz w:val="17"/>
          <w:szCs w:val="17"/>
          <w:color w:val="auto"/>
        </w:rPr>
      </w:pPr>
      <w:r>
        <w:rPr>
          <w:rFonts w:ascii="Arial" w:cs="Arial" w:eastAsia="Arial" w:hAnsi="Arial"/>
          <w:sz w:val="17"/>
          <w:szCs w:val="17"/>
          <w:color w:val="auto"/>
        </w:rPr>
        <w:t>Each Credit Party acknowledges and agrees that each Lender, the Arrangers and any Affiliate thereof may lend money to, invest in, and generally engage in any kind of business with, any of the Borrower,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 or any Affiliate of the foregoing. Each Lender, the Arrangers and any Affiliate thereof may accept fees and other consideration from the Borrower or any Affiliate thereof for services in connection with this Agreement, the Credit Facilities or otherwise without having to account for the same to any other Lender, the Arrangers, the Borrower or any Affiliate of the foregoing.</w:t>
      </w:r>
    </w:p>
    <w:p>
      <w:pPr>
        <w:spacing w:after="0" w:line="177"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 xml:space="preserve">SECTION 12.21 </w:t>
      </w:r>
      <w:r>
        <w:rPr>
          <w:rFonts w:ascii="Arial" w:cs="Arial" w:eastAsia="Arial" w:hAnsi="Arial"/>
          <w:sz w:val="16"/>
          <w:szCs w:val="16"/>
          <w:u w:val="single" w:color="auto"/>
          <w:color w:val="auto"/>
        </w:rPr>
        <w:t>Inconsistencies with Other Documents</w:t>
      </w:r>
      <w:r>
        <w:rPr>
          <w:rFonts w:ascii="Arial" w:cs="Arial" w:eastAsia="Arial" w:hAnsi="Arial"/>
          <w:sz w:val="16"/>
          <w:szCs w:val="16"/>
          <w:color w:val="auto"/>
        </w:rPr>
        <w:t xml:space="preserve">. In the event there is a conflict or inconsistency between this Agreement and any other Loan Document, the terms of this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provision of the Collateral Documents which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5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12.22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00"/>
          </w:cols>
          <w:pgMar w:left="440" w:top="490" w:right="459" w:bottom="1440" w:gutter="0" w:footer="0" w:header="0"/>
        </w:sectPr>
      </w:pPr>
    </w:p>
    <w:bookmarkStart w:id="216" w:name="page217"/>
    <w:bookmarkEnd w:id="216"/>
    <w:p>
      <w:pPr>
        <w:ind w:right="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12.23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49" w:lineRule="exact"/>
        <w:rPr>
          <w:sz w:val="20"/>
          <w:szCs w:val="20"/>
          <w:color w:val="auto"/>
        </w:rPr>
      </w:pPr>
    </w:p>
    <w:p>
      <w:pPr>
        <w:ind w:right="260" w:firstLine="436"/>
        <w:spacing w:after="0" w:line="277" w:lineRule="auto"/>
        <w:tabs>
          <w:tab w:leader="none" w:pos="68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20" w:firstLine="419"/>
        <w:spacing w:after="0" w:line="311" w:lineRule="auto"/>
        <w:tabs>
          <w:tab w:leader="none" w:pos="112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80" w:firstLine="419"/>
        <w:spacing w:after="0" w:line="277" w:lineRule="auto"/>
        <w:tabs>
          <w:tab w:leader="none" w:pos="117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12.24 </w:t>
      </w:r>
      <w:r>
        <w:rPr>
          <w:rFonts w:ascii="Arial" w:cs="Arial" w:eastAsia="Arial" w:hAnsi="Arial"/>
          <w:sz w:val="17"/>
          <w:szCs w:val="17"/>
          <w:u w:val="single" w:color="auto"/>
          <w:color w:val="auto"/>
        </w:rPr>
        <w:t>Amendment and Restatement; No Novation</w:t>
      </w:r>
      <w:r>
        <w:rPr>
          <w:rFonts w:ascii="Arial" w:cs="Arial" w:eastAsia="Arial" w:hAnsi="Arial"/>
          <w:sz w:val="17"/>
          <w:szCs w:val="17"/>
          <w:color w:val="auto"/>
        </w:rPr>
        <w:t>. This Agreement constitutes an amendment and restatement of the Existing Credit Agreement in its entirety,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 all loans and other obligations of the Borrower outstanding as of such date under the Existing Credit Agreement, shall be deemed to be loans and obligations outstanding under the corresponding facilities described herein, (b) all Existing Letters of Credit which remain outstanding on the Closing Date shall continue as Letters of Credit under this Agreement, and (c) all Secured Hedge Agreement and Secured Cash Management Agreements existing on the Closing Date shall continue as Secured Hedge Agreements and Secured Cash Management Agreements under this Agreement, without any further action by any Person, except that the Administrative Agent shall make such transfers of funds as are necessary in order that the outstanding balance of such Loans, together with any Loans funded on the Closing Date, reflect the respective Revolving Credit Commitment of the Lenders hereunder. By execution of this Agreement, each of the parties hereto who are parties to the Existing Credit Agreement consents to the amendment and restatement of the Existing Credit Agreement pursuant to the terms hereof.</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920"/>
          </w:cols>
          <w:pgMar w:left="440" w:top="490" w:right="539" w:bottom="1440" w:gutter="0" w:footer="0" w:header="0"/>
        </w:sectPr>
      </w:pPr>
    </w:p>
    <w:bookmarkStart w:id="217" w:name="page218"/>
    <w:bookmarkEnd w:id="21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12.25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59" w:lineRule="auto"/>
        <w:tabs>
          <w:tab w:leader="none" w:pos="689" w:val="left"/>
        </w:tabs>
        <w:numPr>
          <w:ilvl w:val="1"/>
          <w:numId w:val="288"/>
        </w:numPr>
        <w:rPr>
          <w:rFonts w:ascii="Arial" w:cs="Arial" w:eastAsia="Arial" w:hAnsi="Arial"/>
          <w:sz w:val="18"/>
          <w:szCs w:val="18"/>
          <w:u w:val="single" w:color="auto"/>
          <w:color w:val="0000FF"/>
        </w:rPr>
      </w:pPr>
      <w:r>
        <w:rPr>
          <w:rFonts w:ascii="Arial" w:cs="Arial" w:eastAsia="Arial" w:hAnsi="Arial"/>
          <w:sz w:val="18"/>
          <w:szCs w:val="18"/>
          <w:color w:val="FF0000"/>
          <w:strike w:val="1"/>
        </w:rPr>
        <w:t>(a)</w:t>
      </w:r>
      <w:r>
        <w:rPr>
          <w:rFonts w:ascii="Arial" w:cs="Arial" w:eastAsia="Arial" w:hAnsi="Arial"/>
          <w:sz w:val="18"/>
          <w:szCs w:val="18"/>
          <w:color w:val="FF0000"/>
        </w:rPr>
        <w:t xml:space="preserve"> </w:t>
      </w:r>
      <w:r>
        <w:rPr>
          <w:rFonts w:ascii="Arial" w:cs="Arial" w:eastAsia="Arial" w:hAnsi="Arial"/>
          <w:sz w:val="18"/>
          <w:szCs w:val="18"/>
          <w:color w:val="000000"/>
        </w:rPr>
        <w:t>Each Lender (x) represents and warrants, as of the date such Person became a Lender party hereto,</w:t>
      </w:r>
      <w:r>
        <w:rPr>
          <w:rFonts w:ascii="Arial" w:cs="Arial" w:eastAsia="Arial" w:hAnsi="Arial"/>
          <w:sz w:val="18"/>
          <w:szCs w:val="18"/>
          <w:color w:val="FF0000"/>
        </w:rPr>
        <w:t xml:space="preserve"> </w:t>
      </w:r>
      <w:r>
        <w:rPr>
          <w:rFonts w:ascii="Arial" w:cs="Arial" w:eastAsia="Arial" w:hAnsi="Arial"/>
          <w:sz w:val="18"/>
          <w:szCs w:val="18"/>
          <w:color w:val="FF0000"/>
          <w:strike w:val="1"/>
        </w:rPr>
        <w:t>to,</w:t>
      </w:r>
      <w:r>
        <w:rPr>
          <w:rFonts w:ascii="Arial" w:cs="Arial" w:eastAsia="Arial" w:hAnsi="Arial"/>
          <w:sz w:val="18"/>
          <w:szCs w:val="18"/>
          <w:color w:val="FF0000"/>
        </w:rPr>
        <w:t xml:space="preserve"> </w:t>
      </w:r>
      <w:r>
        <w:rPr>
          <w:rFonts w:ascii="Arial" w:cs="Arial" w:eastAsia="Arial" w:hAnsi="Arial"/>
          <w:sz w:val="18"/>
          <w:szCs w:val="18"/>
          <w:color w:val="000000"/>
        </w:rPr>
        <w:t>and (y) covenants, from the date such</w:t>
      </w:r>
      <w:r>
        <w:rPr>
          <w:rFonts w:ascii="Arial" w:cs="Arial" w:eastAsia="Arial" w:hAnsi="Arial"/>
          <w:sz w:val="18"/>
          <w:szCs w:val="18"/>
          <w:color w:val="FF0000"/>
        </w:rPr>
        <w:t xml:space="preserve"> </w:t>
      </w:r>
      <w:r>
        <w:rPr>
          <w:rFonts w:ascii="Arial" w:cs="Arial" w:eastAsia="Arial" w:hAnsi="Arial"/>
          <w:sz w:val="18"/>
          <w:szCs w:val="18"/>
          <w:color w:val="000000"/>
        </w:rPr>
        <w:t>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78" w:lineRule="exact"/>
        <w:rPr>
          <w:rFonts w:ascii="Arial" w:cs="Arial" w:eastAsia="Arial" w:hAnsi="Arial"/>
          <w:sz w:val="18"/>
          <w:szCs w:val="18"/>
          <w:u w:val="single" w:color="auto"/>
          <w:color w:val="0000FF"/>
        </w:rPr>
      </w:pPr>
    </w:p>
    <w:p>
      <w:pPr>
        <w:ind w:left="444" w:right="20" w:firstLine="419"/>
        <w:spacing w:after="0" w:line="263" w:lineRule="auto"/>
        <w:tabs>
          <w:tab w:leader="none" w:pos="1082" w:val="left"/>
        </w:tabs>
        <w:numPr>
          <w:ilvl w:val="2"/>
          <w:numId w:val="288"/>
        </w:numPr>
        <w:rPr>
          <w:rFonts w:ascii="Arial" w:cs="Arial" w:eastAsia="Arial" w:hAnsi="Arial"/>
          <w:sz w:val="18"/>
          <w:szCs w:val="18"/>
          <w:u w:val="single" w:color="auto"/>
          <w:color w:val="0000FF"/>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such Lender is not using “plan assets” (within the meaning of Section 3(42) of ERISA or otherwise</w:t>
      </w:r>
      <w:r>
        <w:rPr>
          <w:rFonts w:ascii="Arial" w:cs="Arial" w:eastAsia="Arial" w:hAnsi="Arial"/>
          <w:sz w:val="18"/>
          <w:szCs w:val="18"/>
          <w:color w:val="FF0000"/>
        </w:rPr>
        <w:t xml:space="preserve"> </w:t>
      </w:r>
      <w:r>
        <w:rPr>
          <w:rFonts w:ascii="Arial" w:cs="Arial" w:eastAsia="Arial" w:hAnsi="Arial"/>
          <w:sz w:val="18"/>
          <w:szCs w:val="18"/>
          <w:color w:val="0000FF"/>
        </w:rPr>
        <w:t>for purposes of Title I of ERISA or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Section 4975 of the Code</w:t>
      </w:r>
      <w:r>
        <w:rPr>
          <w:rFonts w:ascii="Arial" w:cs="Arial" w:eastAsia="Arial" w:hAnsi="Arial"/>
          <w:sz w:val="18"/>
          <w:szCs w:val="18"/>
          <w:color w:val="000000"/>
        </w:rPr>
        <w:t>) of one or more Benefit Plans with respect to such Lender’s entrance into, participation in, administration of and</w:t>
      </w:r>
      <w:r>
        <w:rPr>
          <w:rFonts w:ascii="Arial" w:cs="Arial" w:eastAsia="Arial" w:hAnsi="Arial"/>
          <w:sz w:val="18"/>
          <w:szCs w:val="18"/>
          <w:color w:val="0000FF"/>
        </w:rPr>
        <w:t xml:space="preserve"> </w:t>
      </w:r>
      <w:r>
        <w:rPr>
          <w:rFonts w:ascii="Arial" w:cs="Arial" w:eastAsia="Arial" w:hAnsi="Arial"/>
          <w:sz w:val="18"/>
          <w:szCs w:val="18"/>
          <w:color w:val="000000"/>
        </w:rPr>
        <w:t xml:space="preserve">performance of the Loans, the Letters of Credit or the Commitments </w:t>
      </w:r>
      <w:r>
        <w:rPr>
          <w:rFonts w:ascii="Arial" w:cs="Arial" w:eastAsia="Arial" w:hAnsi="Arial"/>
          <w:sz w:val="18"/>
          <w:szCs w:val="18"/>
          <w:color w:val="0000FF"/>
        </w:rPr>
        <w:t>or this Agreement</w:t>
      </w:r>
      <w:r>
        <w:rPr>
          <w:rFonts w:ascii="Arial" w:cs="Arial" w:eastAsia="Arial" w:hAnsi="Arial"/>
          <w:sz w:val="18"/>
          <w:szCs w:val="18"/>
          <w:color w:val="000000"/>
        </w:rPr>
        <w:t>;</w:t>
      </w:r>
    </w:p>
    <w:p>
      <w:pPr>
        <w:spacing w:after="0" w:line="75" w:lineRule="exact"/>
        <w:rPr>
          <w:rFonts w:ascii="Arial" w:cs="Arial" w:eastAsia="Arial" w:hAnsi="Arial"/>
          <w:sz w:val="18"/>
          <w:szCs w:val="18"/>
          <w:u w:val="single" w:color="auto"/>
          <w:color w:val="0000FF"/>
        </w:rPr>
      </w:pPr>
    </w:p>
    <w:p>
      <w:pPr>
        <w:ind w:left="444" w:right="100" w:firstLine="419"/>
        <w:spacing w:after="0" w:line="254" w:lineRule="auto"/>
        <w:tabs>
          <w:tab w:leader="none" w:pos="1132" w:val="left"/>
        </w:tabs>
        <w:numPr>
          <w:ilvl w:val="2"/>
          <w:numId w:val="288"/>
        </w:numPr>
        <w:rPr>
          <w:rFonts w:ascii="Arial" w:cs="Arial" w:eastAsia="Arial" w:hAnsi="Arial"/>
          <w:sz w:val="18"/>
          <w:szCs w:val="18"/>
          <w:u w:val="single" w:color="auto"/>
          <w:color w:val="0000FF"/>
        </w:rPr>
      </w:pPr>
      <w:r>
        <w:rPr>
          <w:rFonts w:ascii="Arial" w:cs="Arial" w:eastAsia="Arial" w:hAnsi="Arial"/>
          <w:sz w:val="18"/>
          <w:szCs w:val="18"/>
          <w:color w:val="FF0000"/>
          <w:strike w:val="1"/>
        </w:rPr>
        <w:t>(ii)</w:t>
      </w:r>
      <w:r>
        <w:rPr>
          <w:rFonts w:ascii="Arial" w:cs="Arial" w:eastAsia="Arial" w:hAnsi="Arial"/>
          <w:sz w:val="18"/>
          <w:szCs w:val="18"/>
          <w:color w:val="FF0000"/>
        </w:rPr>
        <w:t xml:space="preserve"> </w:t>
      </w:r>
      <w:r>
        <w:rPr>
          <w:rFonts w:ascii="Arial" w:cs="Arial" w:eastAsia="Arial" w:hAnsi="Arial"/>
          <w:sz w:val="18"/>
          <w:szCs w:val="18"/>
          <w:color w:val="000000"/>
        </w:rPr>
        <w:t>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prohibited</w:t>
      </w:r>
      <w:r>
        <w:rPr>
          <w:rFonts w:ascii="Arial" w:cs="Arial" w:eastAsia="Arial" w:hAnsi="Arial"/>
          <w:sz w:val="18"/>
          <w:szCs w:val="18"/>
          <w:color w:val="FF0000"/>
        </w:rPr>
        <w:t xml:space="preserve"> </w:t>
      </w:r>
      <w:r>
        <w:rPr>
          <w:rFonts w:ascii="Arial" w:cs="Arial" w:eastAsia="Arial" w:hAnsi="Arial"/>
          <w:sz w:val="18"/>
          <w:szCs w:val="18"/>
          <w:color w:val="000000"/>
        </w:rPr>
        <w:t>transaction exemption set forth in one or more PTEs, such as PTE 84-14 (a class exemption for certain transactions</w:t>
      </w:r>
      <w:r>
        <w:rPr>
          <w:rFonts w:ascii="Arial" w:cs="Arial" w:eastAsia="Arial" w:hAnsi="Arial"/>
          <w:sz w:val="18"/>
          <w:szCs w:val="18"/>
          <w:color w:val="FF0000"/>
        </w:rPr>
        <w:t xml:space="preserve"> </w:t>
      </w:r>
      <w:r>
        <w:rPr>
          <w:rFonts w:ascii="Arial" w:cs="Arial" w:eastAsia="Arial" w:hAnsi="Arial"/>
          <w:sz w:val="18"/>
          <w:szCs w:val="18"/>
          <w:color w:val="000000"/>
        </w:rPr>
        <w:t xml:space="preserve">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t>
      </w:r>
      <w:r>
        <w:rPr>
          <w:rFonts w:ascii="Arial" w:cs="Arial" w:eastAsia="Arial" w:hAnsi="Arial"/>
          <w:sz w:val="18"/>
          <w:szCs w:val="18"/>
          <w:color w:val="FF0000"/>
          <w:strike w:val="1"/>
        </w:rPr>
        <w:t>with respect to</w:t>
      </w:r>
      <w:r>
        <w:rPr>
          <w:rFonts w:ascii="Arial" w:cs="Arial" w:eastAsia="Arial" w:hAnsi="Arial"/>
          <w:sz w:val="18"/>
          <w:szCs w:val="18"/>
          <w:u w:val="single" w:color="auto"/>
          <w:color w:val="0000FF"/>
        </w:rPr>
        <w:t>so as to exempt from the prohibitions of Section 406 of ERISA</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and Section 4975 of the Code</w:t>
      </w:r>
      <w:r>
        <w:rPr>
          <w:rFonts w:ascii="Arial" w:cs="Arial" w:eastAsia="Arial" w:hAnsi="Arial"/>
          <w:sz w:val="18"/>
          <w:szCs w:val="18"/>
          <w:color w:val="0000FF"/>
        </w:rPr>
        <w:t xml:space="preserve"> </w:t>
      </w:r>
      <w:r>
        <w:rPr>
          <w:rFonts w:ascii="Arial" w:cs="Arial" w:eastAsia="Arial" w:hAnsi="Arial"/>
          <w:sz w:val="18"/>
          <w:szCs w:val="18"/>
          <w:color w:val="000000"/>
        </w:rPr>
        <w:t>such Lender’s entrance into, participation in, administration of and performance of the Loans, the Letters of Credit,</w:t>
      </w:r>
      <w:r>
        <w:rPr>
          <w:rFonts w:ascii="Arial" w:cs="Arial" w:eastAsia="Arial" w:hAnsi="Arial"/>
          <w:sz w:val="18"/>
          <w:szCs w:val="18"/>
          <w:color w:val="0000FF"/>
        </w:rPr>
        <w:t xml:space="preserve"> </w:t>
      </w:r>
      <w:r>
        <w:rPr>
          <w:rFonts w:ascii="Arial" w:cs="Arial" w:eastAsia="Arial" w:hAnsi="Arial"/>
          <w:sz w:val="18"/>
          <w:szCs w:val="18"/>
          <w:color w:val="000000"/>
        </w:rPr>
        <w:t>the Commitments and this Agreement;</w:t>
      </w:r>
    </w:p>
    <w:p>
      <w:pPr>
        <w:spacing w:after="0" w:line="86" w:lineRule="exact"/>
        <w:rPr>
          <w:rFonts w:ascii="Arial" w:cs="Arial" w:eastAsia="Arial" w:hAnsi="Arial"/>
          <w:sz w:val="18"/>
          <w:szCs w:val="18"/>
          <w:u w:val="single" w:color="auto"/>
          <w:color w:val="0000FF"/>
        </w:rPr>
      </w:pPr>
    </w:p>
    <w:p>
      <w:pPr>
        <w:ind w:left="444" w:right="140" w:firstLine="419"/>
        <w:spacing w:after="0" w:line="254" w:lineRule="auto"/>
        <w:tabs>
          <w:tab w:leader="none" w:pos="1182" w:val="left"/>
        </w:tabs>
        <w:numPr>
          <w:ilvl w:val="2"/>
          <w:numId w:val="288"/>
        </w:numPr>
        <w:rPr>
          <w:rFonts w:ascii="Arial" w:cs="Arial" w:eastAsia="Arial" w:hAnsi="Arial"/>
          <w:sz w:val="18"/>
          <w:szCs w:val="18"/>
          <w:u w:val="single" w:color="auto"/>
          <w:color w:val="0000FF"/>
        </w:rPr>
      </w:pPr>
      <w:r>
        <w:rPr>
          <w:rFonts w:ascii="Arial" w:cs="Arial" w:eastAsia="Arial" w:hAnsi="Arial"/>
          <w:sz w:val="18"/>
          <w:szCs w:val="18"/>
          <w:color w:val="FF0000"/>
          <w:strike w:val="1"/>
        </w:rPr>
        <w:t>(iii)</w:t>
      </w:r>
      <w:r>
        <w:rPr>
          <w:rFonts w:ascii="Arial" w:cs="Arial" w:eastAsia="Arial" w:hAnsi="Arial"/>
          <w:sz w:val="18"/>
          <w:szCs w:val="18"/>
          <w:color w:val="FF0000"/>
        </w:rPr>
        <w:t xml:space="preserve"> </w:t>
      </w:r>
      <w:r>
        <w:rPr>
          <w:rFonts w:ascii="Arial" w:cs="Arial" w:eastAsia="Arial" w:hAnsi="Arial"/>
          <w:sz w:val="18"/>
          <w:szCs w:val="18"/>
          <w:color w:val="000000"/>
        </w:rPr>
        <w:t>(A) such Lender is an investment fund managed by a “Qualified Professional Asset Manager” (within the meaning of Part VI of</w:t>
      </w:r>
      <w:r>
        <w:rPr>
          <w:rFonts w:ascii="Arial" w:cs="Arial" w:eastAsia="Arial" w:hAnsi="Arial"/>
          <w:sz w:val="18"/>
          <w:szCs w:val="18"/>
          <w:color w:val="FF0000"/>
        </w:rPr>
        <w:t xml:space="preserve"> </w:t>
      </w:r>
      <w:r>
        <w:rPr>
          <w:rFonts w:ascii="Arial" w:cs="Arial" w:eastAsia="Arial" w:hAnsi="Arial"/>
          <w:sz w:val="18"/>
          <w:szCs w:val="18"/>
          <w:color w:val="000000"/>
        </w:rPr>
        <w:t>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u w:val="single" w:color="auto"/>
          <w:color w:val="0000FF"/>
        </w:rPr>
      </w:pPr>
    </w:p>
    <w:p>
      <w:pPr>
        <w:ind w:left="444" w:right="680" w:firstLine="419"/>
        <w:spacing w:after="0" w:line="277" w:lineRule="auto"/>
        <w:tabs>
          <w:tab w:leader="none" w:pos="1172" w:val="left"/>
        </w:tabs>
        <w:numPr>
          <w:ilvl w:val="2"/>
          <w:numId w:val="288"/>
        </w:numPr>
        <w:rPr>
          <w:rFonts w:ascii="Arial" w:cs="Arial" w:eastAsia="Arial" w:hAnsi="Arial"/>
          <w:sz w:val="18"/>
          <w:szCs w:val="18"/>
          <w:u w:val="single" w:color="auto"/>
          <w:color w:val="0000FF"/>
        </w:rPr>
      </w:pPr>
      <w:r>
        <w:rPr>
          <w:rFonts w:ascii="Arial" w:cs="Arial" w:eastAsia="Arial" w:hAnsi="Arial"/>
          <w:sz w:val="18"/>
          <w:szCs w:val="18"/>
          <w:color w:val="FF0000"/>
          <w:strike w:val="1"/>
        </w:rPr>
        <w:t>(iv)</w:t>
      </w:r>
      <w:r>
        <w:rPr>
          <w:rFonts w:ascii="Arial" w:cs="Arial" w:eastAsia="Arial" w:hAnsi="Arial"/>
          <w:sz w:val="18"/>
          <w:szCs w:val="18"/>
          <w:color w:val="FF0000"/>
        </w:rPr>
        <w:t xml:space="preserve"> </w:t>
      </w:r>
      <w:r>
        <w:rPr>
          <w:rFonts w:ascii="Arial" w:cs="Arial" w:eastAsia="Arial" w:hAnsi="Arial"/>
          <w:sz w:val="18"/>
          <w:szCs w:val="18"/>
          <w:color w:val="000000"/>
        </w:rPr>
        <w:t>such other representation, warranty and covenant as may be agreed in writing between the Administrative Agent, in its sole</w:t>
      </w:r>
      <w:r>
        <w:rPr>
          <w:rFonts w:ascii="Arial" w:cs="Arial" w:eastAsia="Arial" w:hAnsi="Arial"/>
          <w:sz w:val="18"/>
          <w:szCs w:val="18"/>
          <w:color w:val="FF0000"/>
        </w:rPr>
        <w:t xml:space="preserve"> </w:t>
      </w:r>
      <w:r>
        <w:rPr>
          <w:rFonts w:ascii="Arial" w:cs="Arial" w:eastAsia="Arial" w:hAnsi="Arial"/>
          <w:sz w:val="18"/>
          <w:szCs w:val="18"/>
          <w:color w:val="000000"/>
        </w:rPr>
        <w:t>discretion, and such Lender.</w:t>
      </w:r>
    </w:p>
    <w:p>
      <w:pPr>
        <w:spacing w:after="0" w:line="62" w:lineRule="exact"/>
        <w:rPr>
          <w:rFonts w:ascii="Arial" w:cs="Arial" w:eastAsia="Arial" w:hAnsi="Arial"/>
          <w:sz w:val="18"/>
          <w:szCs w:val="18"/>
          <w:u w:val="single" w:color="auto"/>
          <w:color w:val="0000FF"/>
        </w:rPr>
      </w:pPr>
    </w:p>
    <w:p>
      <w:pPr>
        <w:ind w:left="4" w:right="80" w:firstLine="436"/>
        <w:spacing w:after="0" w:line="291" w:lineRule="auto"/>
        <w:tabs>
          <w:tab w:leader="none" w:pos="699" w:val="left"/>
        </w:tabs>
        <w:numPr>
          <w:ilvl w:val="1"/>
          <w:numId w:val="288"/>
        </w:numPr>
        <w:rPr>
          <w:rFonts w:ascii="Arial" w:cs="Arial" w:eastAsia="Arial" w:hAnsi="Arial"/>
          <w:sz w:val="16"/>
          <w:szCs w:val="16"/>
          <w:u w:val="single" w:color="auto"/>
          <w:color w:val="0000FF"/>
        </w:rPr>
      </w:pPr>
      <w:r>
        <w:rPr>
          <w:rFonts w:ascii="Arial" w:cs="Arial" w:eastAsia="Arial" w:hAnsi="Arial"/>
          <w:sz w:val="16"/>
          <w:szCs w:val="16"/>
          <w:color w:val="FF0000"/>
          <w:strike w:val="1"/>
        </w:rPr>
        <w:t>(b)</w:t>
      </w:r>
      <w:r>
        <w:rPr>
          <w:rFonts w:ascii="Arial" w:cs="Arial" w:eastAsia="Arial" w:hAnsi="Arial"/>
          <w:sz w:val="16"/>
          <w:szCs w:val="16"/>
          <w:color w:val="FF0000"/>
        </w:rPr>
        <w:t xml:space="preserve"> </w:t>
      </w:r>
      <w:r>
        <w:rPr>
          <w:rFonts w:ascii="Arial" w:cs="Arial" w:eastAsia="Arial" w:hAnsi="Arial"/>
          <w:sz w:val="16"/>
          <w:szCs w:val="16"/>
          <w:color w:val="000000"/>
        </w:rPr>
        <w:t>In addition, unless either (1) sub-clause (i) in the immediately preceding clause (a) is true with respect to a Lender or (2) a Lender has</w:t>
      </w:r>
      <w:r>
        <w:rPr>
          <w:rFonts w:ascii="Arial" w:cs="Arial" w:eastAsia="Arial" w:hAnsi="Arial"/>
          <w:sz w:val="16"/>
          <w:szCs w:val="16"/>
          <w:color w:val="FF0000"/>
        </w:rPr>
        <w:t xml:space="preserve"> </w:t>
      </w:r>
      <w:r>
        <w:rPr>
          <w:rFonts w:ascii="Arial" w:cs="Arial" w:eastAsia="Arial" w:hAnsi="Arial"/>
          <w:sz w:val="16"/>
          <w:szCs w:val="16"/>
          <w:color w:val="000000"/>
        </w:rPr>
        <w:t>provided another representation, warranty and covenant in accordance with sub-clause (iv) in the immediately preceding clause (a), such Lender further</w:t>
      </w:r>
    </w:p>
    <w:p>
      <w:pPr>
        <w:ind w:left="4" w:hanging="4"/>
        <w:spacing w:after="0" w:line="290" w:lineRule="auto"/>
        <w:tabs>
          <w:tab w:leader="none" w:pos="259"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represents and warrants, as of the date such Person became a Lender party hereto, </w:t>
      </w:r>
      <w:r>
        <w:rPr>
          <w:rFonts w:ascii="Arial" w:cs="Arial" w:eastAsia="Arial" w:hAnsi="Arial"/>
          <w:sz w:val="16"/>
          <w:szCs w:val="16"/>
          <w:color w:val="FF0000"/>
          <w:strike w:val="1"/>
        </w:rPr>
        <w:t>to,</w:t>
      </w:r>
      <w:r>
        <w:rPr>
          <w:rFonts w:ascii="Arial" w:cs="Arial" w:eastAsia="Arial" w:hAnsi="Arial"/>
          <w:sz w:val="16"/>
          <w:szCs w:val="16"/>
          <w:color w:val="auto"/>
        </w:rPr>
        <w:t xml:space="preserve">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5349240</wp:posOffset>
            </wp:positionH>
            <wp:positionV relativeFrom="paragraph">
              <wp:posOffset>-3863975</wp:posOffset>
            </wp:positionV>
            <wp:extent cx="162877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628775" cy="825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-3889375</wp:posOffset>
            </wp:positionV>
            <wp:extent cx="162496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624965" cy="825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-3589655</wp:posOffset>
            </wp:positionV>
            <wp:extent cx="8483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-3615055</wp:posOffset>
            </wp:positionV>
            <wp:extent cx="8470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47090" cy="8890"/>
                    </a:xfrm>
                    <a:prstGeom prst="rect">
                      <a:avLst/>
                    </a:prstGeom>
                    <a:noFill/>
                  </pic:spPr>
                </pic:pic>
              </a:graphicData>
            </a:graphic>
          </wp:anchor>
        </w:drawing>
      </w:r>
    </w:p>
    <w:p>
      <w:pPr>
        <w:spacing w:after="0" w:line="14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12.26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04"/>
          </w:cols>
          <w:pgMar w:left="436" w:top="490" w:right="459" w:bottom="1440" w:gutter="0" w:footer="0" w:header="0"/>
        </w:sectPr>
      </w:pPr>
    </w:p>
    <w:bookmarkStart w:id="218" w:name="page219"/>
    <w:bookmarkEnd w:id="21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FDIC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79" w:lineRule="exact"/>
        <w:rPr>
          <w:sz w:val="20"/>
          <w:szCs w:val="20"/>
          <w:color w:val="auto"/>
        </w:rPr>
      </w:pPr>
    </w:p>
    <w:p>
      <w:pPr>
        <w:ind w:firstLine="436"/>
        <w:spacing w:after="0" w:line="269" w:lineRule="auto"/>
        <w:tabs>
          <w:tab w:leader="none" w:pos="685"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73" w:lineRule="exact"/>
        <w:rPr>
          <w:rFonts w:ascii="Arial" w:cs="Arial" w:eastAsia="Arial" w:hAnsi="Arial"/>
          <w:sz w:val="17"/>
          <w:szCs w:val="17"/>
          <w:color w:val="auto"/>
        </w:rPr>
      </w:pPr>
    </w:p>
    <w:p>
      <w:pPr>
        <w:ind w:left="680" w:hanging="244"/>
        <w:spacing w:after="0"/>
        <w:tabs>
          <w:tab w:leader="none" w:pos="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12.26</w:t>
      </w:r>
      <w:r>
        <w:rPr>
          <w:rFonts w:ascii="Arial" w:cs="Arial" w:eastAsia="Arial" w:hAnsi="Arial"/>
          <w:sz w:val="18"/>
          <w:szCs w:val="18"/>
          <w:color w:val="auto"/>
        </w:rPr>
        <w:t>, the following terms have the following meanings:</w:t>
      </w:r>
    </w:p>
    <w:p>
      <w:pPr>
        <w:spacing w:after="0" w:line="117" w:lineRule="exact"/>
        <w:rPr>
          <w:sz w:val="20"/>
          <w:szCs w:val="20"/>
          <w:color w:val="auto"/>
        </w:rPr>
      </w:pPr>
    </w:p>
    <w:p>
      <w:pPr>
        <w:ind w:left="440" w:right="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31" w:lineRule="exact"/>
        <w:rPr>
          <w:sz w:val="20"/>
          <w:szCs w:val="20"/>
          <w:color w:val="auto"/>
        </w:rPr>
      </w:pPr>
    </w:p>
    <w:p>
      <w:pPr>
        <w:ind w:left="1420" w:hanging="433"/>
        <w:spacing w:after="0"/>
        <w:tabs>
          <w:tab w:leader="none" w:pos="14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440"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(8)(D).</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[Signature pages </w:t>
      </w:r>
      <w:r>
        <w:rPr>
          <w:rFonts w:ascii="Arial" w:cs="Arial" w:eastAsia="Arial" w:hAnsi="Arial"/>
          <w:sz w:val="18"/>
          <w:szCs w:val="18"/>
          <w:color w:val="FF0000"/>
          <w:strike w:val="1"/>
        </w:rPr>
        <w:t>to follow</w:t>
      </w:r>
      <w:r>
        <w:rPr>
          <w:rFonts w:ascii="Arial" w:cs="Arial" w:eastAsia="Arial" w:hAnsi="Arial"/>
          <w:sz w:val="18"/>
          <w:szCs w:val="18"/>
          <w:u w:val="single" w:color="auto"/>
          <w:color w:val="0000FF"/>
        </w:rPr>
        <w:t>omitted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00"/>
          </w:cols>
          <w:pgMar w:left="440" w:top="490" w:right="459" w:bottom="1440" w:gutter="0" w:footer="0" w:header="0"/>
        </w:sectPr>
      </w:pPr>
    </w:p>
    <w:bookmarkStart w:id="219" w:name="page220"/>
    <w:bookmarkEnd w:id="219"/>
    <w:p>
      <w:pPr>
        <w:ind w:firstLine="44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hereto have caused this Agreement to be executed under seal by their duly authorized officers, all as of the day and year first written above.</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EMERGENT BIOSOLUTIONS INC., as Borrower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FF0000"/>
          <w:strike w:val="1"/>
        </w:rPr>
        <w:t>Emergent BioSolutions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FF0000"/>
          <w:strike w:val="1"/>
        </w:rPr>
        <w:t>Amended and Restated Credit Agreement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FF0000"/>
          <w:strike w:val="1"/>
        </w:rPr>
        <w:t>Signature Page</w:t>
      </w:r>
    </w:p>
    <w:p>
      <w:pPr>
        <w:sectPr>
          <w:pgSz w:w="11900" w:h="16838" w:orient="portrait"/>
          <w:cols w:equalWidth="0" w:num="1">
            <w:col w:w="10880"/>
          </w:cols>
          <w:pgMar w:left="440" w:top="490" w:right="579" w:bottom="1440" w:gutter="0" w:footer="0" w:header="0"/>
        </w:sectPr>
      </w:pPr>
    </w:p>
    <w:bookmarkStart w:id="220" w:name="page221"/>
    <w:bookmarkEnd w:id="220"/>
    <w:p>
      <w:pPr>
        <w:ind w:left="5600"/>
        <w:spacing w:after="0"/>
        <w:rPr>
          <w:sz w:val="20"/>
          <w:szCs w:val="20"/>
          <w:color w:val="auto"/>
        </w:rPr>
      </w:pPr>
      <w:r>
        <w:rPr>
          <w:rFonts w:ascii="Arial" w:cs="Arial" w:eastAsia="Arial" w:hAnsi="Arial"/>
          <w:sz w:val="18"/>
          <w:szCs w:val="18"/>
          <w:u w:val="single" w:color="auto"/>
          <w:color w:val="FF0000"/>
          <w:strike w:val="1"/>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AGENTS AND LENDERS: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7"/>
          <w:szCs w:val="17"/>
          <w:color w:val="FF0000"/>
          <w:strike w:val="1"/>
        </w:rPr>
        <w:t>WELLS FARGO BANK, NATIONAL ASSOCIATION, as</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6"/>
          <w:szCs w:val="16"/>
          <w:color w:val="FF0000"/>
          <w:strike w:val="1"/>
        </w:rPr>
        <w:t>Administrative Agent, Swingline Lender, Issuing Lender and</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FF0000"/>
          <w:strike w:val="1"/>
        </w:rPr>
        <w:t>Lender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FF0000"/>
          <w:strike w:val="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1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FF0000"/>
          <w:strike w:val="1"/>
        </w:rPr>
        <w:t>Emergent BioSolutions Inc.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FF0000"/>
          <w:strike w:val="1"/>
        </w:rPr>
        <w:t>Amended and Restated Credit Agreement</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FF0000"/>
          <w:strike w:val="1"/>
        </w:rPr>
        <w:t>Signature Page</w:t>
      </w:r>
    </w:p>
    <w:p>
      <w:pPr>
        <w:sectPr>
          <w:pgSz w:w="11900" w:h="16838" w:orient="portrait"/>
          <w:cols w:equalWidth="0" w:num="1">
            <w:col w:w="10000"/>
          </w:cols>
          <w:pgMar w:left="1440" w:top="490" w:right="45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EMERGENT BIOSOLUTIONS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Common Stock (par value $0.001 per share)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Having an Aggregate Offering Price of up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Up to $150,000,000</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17,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Evercore Group L.L.C.</w:t>
      </w:r>
    </w:p>
    <w:p>
      <w:pPr>
        <w:spacing w:after="0" w:line="23" w:lineRule="exact"/>
        <w:rPr>
          <w:sz w:val="20"/>
          <w:szCs w:val="20"/>
          <w:color w:val="auto"/>
        </w:rPr>
      </w:pPr>
    </w:p>
    <w:p>
      <w:pPr>
        <w:ind w:left="4" w:right="8860" w:hanging="4"/>
        <w:spacing w:after="0" w:line="265" w:lineRule="auto"/>
        <w:tabs>
          <w:tab w:leader="none" w:pos="229" w:val="left"/>
        </w:tabs>
        <w:numPr>
          <w:ilvl w:val="0"/>
          <w:numId w:val="292"/>
        </w:numPr>
        <w:rPr>
          <w:rFonts w:ascii="Arial" w:cs="Arial" w:eastAsia="Arial" w:hAnsi="Arial"/>
          <w:sz w:val="15"/>
          <w:szCs w:val="15"/>
          <w:color w:val="auto"/>
        </w:rPr>
      </w:pPr>
      <w:r>
        <w:rPr>
          <w:rFonts w:ascii="Arial" w:cs="Arial" w:eastAsia="Arial" w:hAnsi="Arial"/>
          <w:sz w:val="15"/>
          <w:szCs w:val="15"/>
          <w:color w:val="auto"/>
        </w:rPr>
        <w:t>East 52</w:t>
      </w:r>
      <w:r>
        <w:rPr>
          <w:rFonts w:ascii="Arial" w:cs="Arial" w:eastAsia="Arial" w:hAnsi="Arial"/>
          <w:sz w:val="21"/>
          <w:szCs w:val="21"/>
          <w:color w:val="auto"/>
          <w:vertAlign w:val="superscript"/>
        </w:rPr>
        <w:t>nd</w:t>
      </w:r>
      <w:r>
        <w:rPr>
          <w:rFonts w:ascii="Arial" w:cs="Arial" w:eastAsia="Arial" w:hAnsi="Arial"/>
          <w:sz w:val="15"/>
          <w:szCs w:val="15"/>
          <w:color w:val="auto"/>
        </w:rPr>
        <w:t xml:space="preserve"> Street, 36</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Floor New York, New York 10055</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Brookfield Place</w:t>
      </w:r>
    </w:p>
    <w:p>
      <w:pPr>
        <w:ind w:left="4"/>
        <w:spacing w:after="0" w:line="181" w:lineRule="auto"/>
        <w:rPr>
          <w:sz w:val="20"/>
          <w:szCs w:val="20"/>
          <w:color w:val="auto"/>
        </w:rPr>
      </w:pPr>
      <w:r>
        <w:rPr>
          <w:rFonts w:ascii="Arial" w:cs="Arial" w:eastAsia="Arial" w:hAnsi="Arial"/>
          <w:sz w:val="18"/>
          <w:szCs w:val="18"/>
          <w:color w:val="auto"/>
        </w:rPr>
        <w:t>200 Vesey Street,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10281</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7"/>
          <w:szCs w:val="17"/>
          <w:color w:val="auto"/>
        </w:rPr>
        <w:t>Emergent BioSolutions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confirms its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with Evercore Group L.L.C.</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Evercore</w:t>
      </w:r>
      <w:r>
        <w:rPr>
          <w:rFonts w:ascii="Arial" w:cs="Arial" w:eastAsia="Arial" w:hAnsi="Arial"/>
          <w:sz w:val="18"/>
          <w:szCs w:val="18"/>
          <w:color w:val="auto"/>
        </w:rPr>
        <w:t>”) and RBC Capital Markets, LLC (“</w:t>
      </w:r>
      <w:r>
        <w:rPr>
          <w:rFonts w:ascii="Arial" w:cs="Arial" w:eastAsia="Arial" w:hAnsi="Arial"/>
          <w:sz w:val="18"/>
          <w:szCs w:val="18"/>
          <w:b w:val="1"/>
          <w:bCs w:val="1"/>
          <w:color w:val="auto"/>
        </w:rPr>
        <w:t>RBC</w:t>
      </w:r>
      <w:r>
        <w:rPr>
          <w:rFonts w:ascii="Arial" w:cs="Arial" w:eastAsia="Arial" w:hAnsi="Arial"/>
          <w:sz w:val="18"/>
          <w:szCs w:val="18"/>
          <w:color w:val="auto"/>
        </w:rPr>
        <w:t>” and collectively with Evercore, the “</w:t>
      </w:r>
      <w:r>
        <w:rPr>
          <w:rFonts w:ascii="Arial" w:cs="Arial" w:eastAsia="Arial" w:hAnsi="Arial"/>
          <w:sz w:val="18"/>
          <w:szCs w:val="18"/>
          <w:b w:val="1"/>
          <w:bCs w:val="1"/>
          <w:color w:val="auto"/>
        </w:rPr>
        <w:t>Managers</w:t>
      </w:r>
      <w:r>
        <w:rPr>
          <w:rFonts w:ascii="Arial" w:cs="Arial" w:eastAsia="Arial" w:hAnsi="Arial"/>
          <w:sz w:val="18"/>
          <w:szCs w:val="18"/>
          <w:color w:val="auto"/>
        </w:rPr>
        <w:t>”), as follows:</w:t>
      </w:r>
    </w:p>
    <w:p>
      <w:pPr>
        <w:spacing w:after="0" w:line="103" w:lineRule="exact"/>
        <w:rPr>
          <w:sz w:val="20"/>
          <w:szCs w:val="20"/>
          <w:color w:val="auto"/>
        </w:rPr>
      </w:pPr>
    </w:p>
    <w:p>
      <w:pPr>
        <w:ind w:left="4" w:right="180" w:firstLine="436"/>
        <w:spacing w:after="0" w:line="257" w:lineRule="auto"/>
        <w:tabs>
          <w:tab w:leader="none" w:pos="624"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Description of Shares</w:t>
      </w:r>
      <w:r>
        <w:rPr>
          <w:rFonts w:ascii="Arial" w:cs="Arial" w:eastAsia="Arial" w:hAnsi="Arial"/>
          <w:sz w:val="18"/>
          <w:szCs w:val="18"/>
          <w:color w:val="auto"/>
        </w:rPr>
        <w:t>. The Company proposes to issue and sell through or to the Managers, as sales agents, shares of the Company’s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having an aggregate offering price of up to $150,000,000 (the “</w:t>
      </w:r>
      <w:r>
        <w:rPr>
          <w:rFonts w:ascii="Arial" w:cs="Arial" w:eastAsia="Arial" w:hAnsi="Arial"/>
          <w:sz w:val="18"/>
          <w:szCs w:val="18"/>
          <w:b w:val="1"/>
          <w:bCs w:val="1"/>
          <w:color w:val="auto"/>
        </w:rPr>
        <w:t>Shares</w:t>
      </w:r>
      <w:r>
        <w:rPr>
          <w:rFonts w:ascii="Arial" w:cs="Arial" w:eastAsia="Arial" w:hAnsi="Arial"/>
          <w:sz w:val="18"/>
          <w:szCs w:val="18"/>
          <w:color w:val="auto"/>
        </w:rPr>
        <w:t>”), from time to time during the term of this Agreement and on the terms set forth in Section 3 of this Agreement. The Company hereby appoints the Managers as exclusive agents of the Company for the purpose of soliciting purchases of the Shares from the Company pursuant to this Agreement. Certain terms used herein are defined in Section 19 hereof.</w:t>
      </w:r>
    </w:p>
    <w:p>
      <w:pPr>
        <w:spacing w:after="0" w:line="187" w:lineRule="exact"/>
        <w:rPr>
          <w:rFonts w:ascii="Arial" w:cs="Arial" w:eastAsia="Arial" w:hAnsi="Arial"/>
          <w:sz w:val="18"/>
          <w:szCs w:val="18"/>
          <w:color w:val="auto"/>
        </w:rPr>
      </w:pPr>
    </w:p>
    <w:p>
      <w:pPr>
        <w:ind w:left="4" w:right="280" w:firstLine="436"/>
        <w:spacing w:after="0" w:line="342" w:lineRule="auto"/>
        <w:tabs>
          <w:tab w:leader="none" w:pos="624"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Managers at the Execution Time and on each such time the following representations and warranties are repeated or deemed to be made pursuant to this Agreement, as set forth below.</w:t>
      </w:r>
    </w:p>
    <w:p>
      <w:pPr>
        <w:spacing w:after="0" w:line="123" w:lineRule="exact"/>
        <w:rPr>
          <w:rFonts w:ascii="Arial" w:cs="Arial" w:eastAsia="Arial" w:hAnsi="Arial"/>
          <w:sz w:val="16"/>
          <w:szCs w:val="16"/>
          <w:color w:val="auto"/>
        </w:rPr>
      </w:pPr>
    </w:p>
    <w:p>
      <w:pPr>
        <w:ind w:left="4" w:right="20" w:firstLine="987"/>
        <w:spacing w:after="0" w:line="293" w:lineRule="auto"/>
        <w:tabs>
          <w:tab w:leader="none" w:pos="1240" w:val="left"/>
        </w:tabs>
        <w:numPr>
          <w:ilvl w:val="1"/>
          <w:numId w:val="293"/>
        </w:numPr>
        <w:rPr>
          <w:rFonts w:ascii="Arial" w:cs="Arial" w:eastAsia="Arial" w:hAnsi="Arial"/>
          <w:sz w:val="16"/>
          <w:szCs w:val="16"/>
          <w:color w:val="auto"/>
        </w:rPr>
      </w:pPr>
      <w:r>
        <w:rPr>
          <w:rFonts w:ascii="Arial" w:cs="Arial" w:eastAsia="Arial" w:hAnsi="Arial"/>
          <w:sz w:val="16"/>
          <w:szCs w:val="16"/>
          <w:u w:val="single" w:color="auto"/>
          <w:color w:val="auto"/>
        </w:rPr>
        <w:t>Form S-3</w:t>
      </w:r>
      <w:r>
        <w:rPr>
          <w:rFonts w:ascii="Arial" w:cs="Arial" w:eastAsia="Arial" w:hAnsi="Arial"/>
          <w:sz w:val="16"/>
          <w:szCs w:val="16"/>
          <w:color w:val="auto"/>
        </w:rPr>
        <w:t>. The Company meets the requirements for use of Form S-3 under the Act and has prepared and filed with the Commission an automatic shelf registration statement on Form S-3, including a related Base Prospectus, for registration under the Act of the offering and sale of the Shares and other securities of the Company. Such Registration Statement, including any amendments thereto filed prior to the Execution Time or prior to any such time this representation is repeated or deemed to be made, became effective under the Act upon filing, and no stop order suspending the effectiveness of the Registration Statement has been issued under the Act and no proceedings for that purpose have been instituted or are pending or, to the knowledge of the Company, are contemplated or threatened by the Commission, and any request on the part</w:t>
      </w:r>
    </w:p>
    <w:p>
      <w:pPr>
        <w:sectPr>
          <w:pgSz w:w="11900" w:h="16838" w:orient="portrait"/>
          <w:cols w:equalWidth="0" w:num="1">
            <w:col w:w="11024"/>
          </w:cols>
          <w:pgMar w:left="436" w:top="121" w:right="439" w:bottom="1440" w:gutter="0" w:footer="0" w:header="0"/>
        </w:sectPr>
      </w:pPr>
    </w:p>
    <w:bookmarkStart w:id="222" w:name="page223"/>
    <w:bookmarkEnd w:id="2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of the Commission for additional or supplemental information has been complied with. The Company shall file with the Commission the Prospectus Supplement relating to the Shares in accordance with Rule 424(b) in the time period prescribed thereby. The Registration Statement, at the Execution Time and at each such time this representation is repeated or deemed to be made, and at all times during which a prospectus is required by the Act to be delivered (whether physically or through compliance with Rule 172 or any similar rule) in connection with any offer or sale of Shares, meets the requirements set forth in Rule 415(a)(1)(x). The initial Effective Date of the Registration Statement was not earlier than the date three years before the Execution Time. Any reference herein to the Registration Statement, the Base Prospectus, the Prospectus Supplement, any Interim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any Interim Prospectus Supplement or the Prospectus, as the case may be; and any reference herein to the terms “amend,” “amendment” or “supplement” with respect to the Registration Statement, the Base Prospectus, the Prospectus Supplement, any Interim Prospectus Supplement or the Prospectus shall be deemed to refer to and include the filing of any document under the Exchange Act after the Effective Date of the Registration Statement or the issue date of the Base Prospectus, the Prospectus Supplement, any Interim Prospectus Supplement or the Prospectus, as the case may be, deemed to be incorporated therein by reference. Notwithstanding the foregoing, the representations and warranties in this subsection shall not apply to statements in, or omissions from, the Registration Statement or any post-effective amendment or the Prospectus or any amendments or supplements thereto made in reliance upon, and in conformity with, information furnished to the Company by the Managers expressly for use therein.</w:t>
      </w:r>
    </w:p>
    <w:p>
      <w:pPr>
        <w:spacing w:after="0" w:line="167" w:lineRule="exact"/>
        <w:rPr>
          <w:sz w:val="20"/>
          <w:szCs w:val="20"/>
          <w:color w:val="auto"/>
        </w:rPr>
      </w:pPr>
    </w:p>
    <w:p>
      <w:pPr>
        <w:ind w:firstLine="987"/>
        <w:spacing w:after="0" w:line="272" w:lineRule="auto"/>
        <w:tabs>
          <w:tab w:leader="none" w:pos="1246"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Successor Registration Statement</w:t>
      </w:r>
      <w:r>
        <w:rPr>
          <w:rFonts w:ascii="Arial" w:cs="Arial" w:eastAsia="Arial" w:hAnsi="Arial"/>
          <w:sz w:val="17"/>
          <w:szCs w:val="17"/>
          <w:color w:val="auto"/>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177" w:lineRule="exact"/>
        <w:rPr>
          <w:rFonts w:ascii="Arial" w:cs="Arial" w:eastAsia="Arial" w:hAnsi="Arial"/>
          <w:sz w:val="17"/>
          <w:szCs w:val="17"/>
          <w:color w:val="auto"/>
        </w:rPr>
      </w:pPr>
    </w:p>
    <w:p>
      <w:pPr>
        <w:ind w:firstLine="987"/>
        <w:spacing w:after="0" w:line="255" w:lineRule="auto"/>
        <w:tabs>
          <w:tab w:leader="none" w:pos="1236"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No Material Misstatements or Omissions in the Registration Statement</w:t>
      </w:r>
      <w:r>
        <w:rPr>
          <w:rFonts w:ascii="Arial" w:cs="Arial" w:eastAsia="Arial" w:hAnsi="Arial"/>
          <w:sz w:val="18"/>
          <w:szCs w:val="18"/>
          <w:color w:val="auto"/>
        </w:rPr>
        <w:t>. On each Effective Date, at the Execution Time, at each deemed effective date with respect to the Managers pursuant to Rule 430B(f)(2) under the Act, at each Applicable Time, at each Settlement Date and at all times during which a prospectus is required by the Act to be delivered (whether physically or through compliance with Rule 172 or any similar rule) in connection with any offer or sale of Shares, the Registration Statement complied and will comply in all material respects with the applicable requirements of the Act and the rules thereunder and did not and will not contain any untrue statement of a material fact or omit to state any material fact required to be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90" w:right="459" w:bottom="1440" w:gutter="0" w:footer="0" w:header="0"/>
        </w:sectPr>
      </w:pPr>
    </w:p>
    <w:bookmarkStart w:id="223" w:name="page224"/>
    <w:bookmarkEnd w:id="223"/>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stated therein or necessary in order to make the statements therein not misleading; and on the date of any filing pursuant to Rule 424(b), at each Applicable Time, on each Settlement Date and at all times during which a prospectus is required by the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Act and the rules thereunder and did not and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the Managers specifically for inclusion in the Registration Statement or the Prospectus (or any supplement thereto), it being understood and agreed that the only such information furnished by the Managers to the Company consists solely of the information described in Section 7(b) below.</w:t>
      </w:r>
    </w:p>
    <w:p>
      <w:pPr>
        <w:spacing w:after="0" w:line="185" w:lineRule="exact"/>
        <w:rPr>
          <w:sz w:val="20"/>
          <w:szCs w:val="20"/>
          <w:color w:val="auto"/>
        </w:rPr>
      </w:pPr>
    </w:p>
    <w:p>
      <w:pPr>
        <w:ind w:right="220" w:firstLine="987"/>
        <w:spacing w:after="0" w:line="255" w:lineRule="auto"/>
        <w:tabs>
          <w:tab w:leader="none" w:pos="124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Disclosure Package</w:t>
      </w:r>
      <w:r>
        <w:rPr>
          <w:rFonts w:ascii="Arial" w:cs="Arial" w:eastAsia="Arial" w:hAnsi="Arial"/>
          <w:sz w:val="18"/>
          <w:szCs w:val="18"/>
          <w:color w:val="auto"/>
        </w:rPr>
        <w:t>. At the Execution Time, at each Applicable Time and at each Settlement Date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Managers specifically for use therein, it being understood and agreed that the only such information furnished by the Managers to the Company consists solely of the information described in Section 7(b) below.</w:t>
      </w:r>
    </w:p>
    <w:p>
      <w:pPr>
        <w:spacing w:after="0" w:line="192" w:lineRule="exact"/>
        <w:rPr>
          <w:rFonts w:ascii="Arial" w:cs="Arial" w:eastAsia="Arial" w:hAnsi="Arial"/>
          <w:sz w:val="18"/>
          <w:szCs w:val="18"/>
          <w:color w:val="auto"/>
        </w:rPr>
      </w:pPr>
    </w:p>
    <w:p>
      <w:pPr>
        <w:ind w:firstLine="987"/>
        <w:spacing w:after="0" w:line="273" w:lineRule="auto"/>
        <w:tabs>
          <w:tab w:leader="none" w:pos="1236"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Incorporated Documents</w:t>
      </w:r>
      <w:r>
        <w:rPr>
          <w:rFonts w:ascii="Arial" w:cs="Arial" w:eastAsia="Arial" w:hAnsi="Arial"/>
          <w:sz w:val="17"/>
          <w:szCs w:val="17"/>
          <w:color w:val="auto"/>
        </w:rPr>
        <w:t>. The documents incorporated or deemed to be incorporated by reference in the Registration Statement and the Prospectus (i) at the time they were or hereafter are filed with the Commission, complied and will comply in all material respects with the requirements of the Exchange Act and the rules and regulations of the Commission thereunder and (ii) when read together with the other information in the Prospectus and the Disclosure Package at any Applicable Time and when read together with the other information in the Prospectus at the date of the Prospectus and at any Settlement Date, will not include an untrue statement of a material fact or omit to state a material fact necessary in order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ind w:left="1220" w:hanging="233"/>
        <w:spacing w:after="0"/>
        <w:tabs>
          <w:tab w:leader="none" w:pos="122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Ineligible Issuer</w:t>
      </w:r>
      <w:r>
        <w:rPr>
          <w:rFonts w:ascii="Arial" w:cs="Arial" w:eastAsia="Arial" w:hAnsi="Arial"/>
          <w:sz w:val="18"/>
          <w:szCs w:val="18"/>
          <w:color w:val="auto"/>
        </w:rPr>
        <w:t>. The Company is not an “ineligible issuer” as defined under Rule 405 under the Act.</w:t>
      </w:r>
    </w:p>
    <w:p>
      <w:pPr>
        <w:spacing w:after="0" w:line="225" w:lineRule="exact"/>
        <w:rPr>
          <w:rFonts w:ascii="Arial" w:cs="Arial" w:eastAsia="Arial" w:hAnsi="Arial"/>
          <w:sz w:val="18"/>
          <w:szCs w:val="18"/>
          <w:color w:val="auto"/>
        </w:rPr>
      </w:pPr>
    </w:p>
    <w:p>
      <w:pPr>
        <w:ind w:firstLine="987"/>
        <w:spacing w:after="0" w:line="272" w:lineRule="auto"/>
        <w:tabs>
          <w:tab w:leader="none" w:pos="1246"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Notice of Other Sales</w:t>
      </w:r>
      <w:r>
        <w:rPr>
          <w:rFonts w:ascii="Arial" w:cs="Arial" w:eastAsia="Arial" w:hAnsi="Arial"/>
          <w:sz w:val="17"/>
          <w:szCs w:val="17"/>
          <w:color w:val="auto"/>
        </w:rPr>
        <w:t>. Prior to the execution of this Agreement, the Company has not, directly or indirectly, offered or sold any Shares by means of any “prospectus” (within the meaning of the Act) or used any “prospectus” (within the meaning of the Act) in connection with the offer or sale of the Shares, and from and after the execution of this Agreement, the Company will not, directly or indirectly, offer or sell any Shares by means of any “prospectus” (within the meaning of the Act) or use any “prospectus” (within the meaning of the Act) in connection with the offer or sale of the Shares, other than the Prospectus, as amended or supplemented from time to time in accordance with the provisions of this Agreement; the Company has not, directly or indirectly, prepared, used or referred to any Issuer Free Writing Prospectus in connection with sales of the Shares other than any Issuer Free Writing Prospectus reviewed and consented to by the Managers and identified in Schedule I hereto.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224" w:name="page225"/>
    <w:bookmarkEnd w:id="224"/>
    <w:p>
      <w:pPr>
        <w:ind w:left="-20" w:firstLine="987"/>
        <w:spacing w:after="0" w:line="308" w:lineRule="auto"/>
        <w:tabs>
          <w:tab w:leader="none" w:pos="1226"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 Stop Orders</w:t>
      </w:r>
      <w:r>
        <w:rPr>
          <w:rFonts w:ascii="Arial" w:cs="Arial" w:eastAsia="Arial" w:hAnsi="Arial"/>
          <w:sz w:val="17"/>
          <w:szCs w:val="17"/>
          <w:color w:val="auto"/>
        </w:rPr>
        <w:t>. The Registration Statement is not the subject of a pending proceeding or examination under Section 8(d) or 8(e) of the Act, and the Company is not the subject of a pending proceeding under Section 8A of the Act in connection with the offering of the Shares.</w:t>
      </w:r>
    </w:p>
    <w:p>
      <w:pPr>
        <w:spacing w:after="0" w:line="146" w:lineRule="exact"/>
        <w:rPr>
          <w:rFonts w:ascii="Arial" w:cs="Arial" w:eastAsia="Arial" w:hAnsi="Arial"/>
          <w:sz w:val="17"/>
          <w:szCs w:val="17"/>
          <w:color w:val="auto"/>
        </w:rPr>
      </w:pPr>
    </w:p>
    <w:p>
      <w:pPr>
        <w:ind w:left="-20" w:firstLine="987"/>
        <w:spacing w:after="0" w:line="277" w:lineRule="auto"/>
        <w:tabs>
          <w:tab w:leader="none" w:pos="1186"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Regulation M</w:t>
      </w:r>
      <w:r>
        <w:rPr>
          <w:rFonts w:ascii="Arial" w:cs="Arial" w:eastAsia="Arial" w:hAnsi="Arial"/>
          <w:sz w:val="18"/>
          <w:szCs w:val="18"/>
          <w:color w:val="auto"/>
        </w:rPr>
        <w:t>. The Common Stock constitutes an “actively-traded security” exempted from the requirements of Rule 101 of Regulation M under the Exchange Act by subsection (c)(1) of such rule.</w:t>
      </w:r>
    </w:p>
    <w:p>
      <w:pPr>
        <w:spacing w:after="0" w:line="170" w:lineRule="exact"/>
        <w:rPr>
          <w:rFonts w:ascii="Arial" w:cs="Arial" w:eastAsia="Arial" w:hAnsi="Arial"/>
          <w:sz w:val="18"/>
          <w:szCs w:val="18"/>
          <w:color w:val="auto"/>
        </w:rPr>
      </w:pPr>
    </w:p>
    <w:p>
      <w:pPr>
        <w:ind w:left="-20" w:right="260" w:firstLine="987"/>
        <w:spacing w:after="0" w:line="342" w:lineRule="auto"/>
        <w:tabs>
          <w:tab w:leader="none" w:pos="1186"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Sales Agency Agreements</w:t>
      </w:r>
      <w:r>
        <w:rPr>
          <w:rFonts w:ascii="Arial" w:cs="Arial" w:eastAsia="Arial" w:hAnsi="Arial"/>
          <w:sz w:val="16"/>
          <w:szCs w:val="16"/>
          <w:color w:val="auto"/>
        </w:rPr>
        <w:t>. The Company has not entered into any other sales agency agreements or other similar arrangements with any agent or any other representative in respect of any at the market offering (within the meaning of Rule 415(a)(4) under the Act) of the Shares.</w:t>
      </w:r>
    </w:p>
    <w:p>
      <w:pPr>
        <w:spacing w:after="0" w:line="123" w:lineRule="exact"/>
        <w:rPr>
          <w:rFonts w:ascii="Arial" w:cs="Arial" w:eastAsia="Arial" w:hAnsi="Arial"/>
          <w:sz w:val="16"/>
          <w:szCs w:val="16"/>
          <w:color w:val="auto"/>
        </w:rPr>
      </w:pPr>
    </w:p>
    <w:p>
      <w:pPr>
        <w:ind w:left="-20" w:right="20" w:firstLine="987"/>
        <w:spacing w:after="0" w:line="263" w:lineRule="auto"/>
        <w:tabs>
          <w:tab w:leader="none" w:pos="1226"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Offering Materials</w:t>
      </w:r>
      <w:r>
        <w:rPr>
          <w:rFonts w:ascii="Arial" w:cs="Arial" w:eastAsia="Arial" w:hAnsi="Arial"/>
          <w:sz w:val="18"/>
          <w:szCs w:val="18"/>
          <w:color w:val="auto"/>
        </w:rPr>
        <w:t>. The Company has not distributed and will not distribute, prior to the termination of this Agreement, any offering material in connection with the offering and sale of the Shares other than the Prospectus and any Issuer Free Writing Prospectus reviewed and consented to by the Managers and identified in Schedule I hereto.</w:t>
      </w:r>
    </w:p>
    <w:p>
      <w:pPr>
        <w:spacing w:after="0" w:line="183" w:lineRule="exact"/>
        <w:rPr>
          <w:rFonts w:ascii="Arial" w:cs="Arial" w:eastAsia="Arial" w:hAnsi="Arial"/>
          <w:sz w:val="18"/>
          <w:szCs w:val="18"/>
          <w:color w:val="auto"/>
        </w:rPr>
      </w:pPr>
    </w:p>
    <w:p>
      <w:pPr>
        <w:ind w:left="-20" w:firstLine="987"/>
        <w:spacing w:after="0" w:line="287" w:lineRule="auto"/>
        <w:tabs>
          <w:tab w:leader="none" w:pos="1186"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respective dates as of which information is given in the Disclosure Package and the Prospectus, (A) there has been no material adverse change or any development that would reasonably be expected to result in a material adverse change, in the financial condition, results of operations, business, properties or management of the Company and its subsidiaries taken as a whole, or that would materially interfere with or delay the consummation of the transactions contemplated by this Agreement, in each case whether or not arising in the ordinary course of business (in any such case, a “</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 (B) neither the Company nor any of its subsidiaries has incurred any liability or obligation, direct or contingent, or entered into any transaction or agreement that, individually or in the aggregate, is material with respect to the Company and its subsidiaries taken as a whole, and neither the Company nor any of its subsidiaries has sustained any loss or interference with its business or operations from fire, explosion, flood, earthquake or other natural disaster or calamity, whether or not covered by insurance, or from any labor dispute or disturbance or court or governmental action, order or decree which would reasonably be expected, individually or in the aggregate, to result in a Material Adverse Effect; and (C) there has been no dividend or distribution of any kind declared, paid or made by the Company on any class of its capital stock, in each case other than as disclosed in the Disclosure Package and the Prospectus.</w:t>
      </w:r>
    </w:p>
    <w:p>
      <w:pPr>
        <w:spacing w:after="0" w:line="171" w:lineRule="exact"/>
        <w:rPr>
          <w:rFonts w:ascii="Arial" w:cs="Arial" w:eastAsia="Arial" w:hAnsi="Arial"/>
          <w:sz w:val="16"/>
          <w:szCs w:val="16"/>
          <w:color w:val="auto"/>
        </w:rPr>
      </w:pPr>
    </w:p>
    <w:p>
      <w:pPr>
        <w:ind w:left="-20" w:right="100" w:firstLine="987"/>
        <w:spacing w:after="0" w:line="263" w:lineRule="auto"/>
        <w:tabs>
          <w:tab w:leader="none" w:pos="1273"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Title to Property</w:t>
      </w:r>
      <w:r>
        <w:rPr>
          <w:rFonts w:ascii="Arial" w:cs="Arial" w:eastAsia="Arial" w:hAnsi="Arial"/>
          <w:sz w:val="18"/>
          <w:szCs w:val="18"/>
          <w:color w:val="auto"/>
        </w:rPr>
        <w:t>. The Company and each of its subsidiaries have good and marketable title in fee simple to all real property and good and marketable title to all personal property owned by them that is material to the respective businesses of the Company and its subsidiaries, in each case free and clear of all liens, encumbrances and defects except as described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490" w:right="479" w:bottom="1440" w:gutter="0" w:footer="0" w:header="0"/>
        </w:sectPr>
      </w:pPr>
    </w:p>
    <w:bookmarkStart w:id="225" w:name="page226"/>
    <w:bookmarkEnd w:id="22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the Registration Statement, the Disclosure Package and the Prospectus or as do not materially affect the value of such property and do not interfere with the use made and proposed to be made of such property by the Company or any of its subsidiaries; and any real property and buildings held under lease by the Company or any of its subsidiaries are held by them under valid, subsisting and enforceable leases or subleases with such limitations on the Company or its subsidiaries as are not material and do not interfere with the use made and proposed to be made of such leased real property by the Company or any of its subsidiaries.</w:t>
      </w:r>
    </w:p>
    <w:p>
      <w:pPr>
        <w:spacing w:after="0" w:line="188" w:lineRule="exact"/>
        <w:rPr>
          <w:sz w:val="20"/>
          <w:szCs w:val="20"/>
          <w:color w:val="auto"/>
        </w:rPr>
      </w:pPr>
    </w:p>
    <w:p>
      <w:pPr>
        <w:ind w:right="60" w:firstLine="987"/>
        <w:spacing w:after="0" w:line="271" w:lineRule="auto"/>
        <w:tabs>
          <w:tab w:leader="none" w:pos="1246"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Good Standing</w:t>
      </w:r>
      <w:r>
        <w:rPr>
          <w:rFonts w:ascii="Arial" w:cs="Arial" w:eastAsia="Arial" w:hAnsi="Arial"/>
          <w:sz w:val="17"/>
          <w:szCs w:val="17"/>
          <w:color w:val="auto"/>
        </w:rPr>
        <w:t>. Each of the Company and its subsidiaries has been duly incorporated or organized, is validly existing as a corporation, limited partnership or limited liability company in good standing under the laws of its respective jurisdiction of incorporation or organization, with the requisite power and authority to enter into and perform its obligations under this Agreement (in the case of the Company), own its properties and conduct its business as described in the Registration Statement, the Disclosure Package and the Prospectus, and has been duly qualified as a foreign corporation or other business entity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or be in good standing in any such jurisdiction except where the failure to be so qualified would not, individually or in the aggregate, reasonably be expected to result in a Material Adverse Effect.</w:t>
      </w:r>
    </w:p>
    <w:p>
      <w:pPr>
        <w:spacing w:after="0" w:line="178" w:lineRule="exact"/>
        <w:rPr>
          <w:rFonts w:ascii="Arial" w:cs="Arial" w:eastAsia="Arial" w:hAnsi="Arial"/>
          <w:sz w:val="17"/>
          <w:szCs w:val="17"/>
          <w:color w:val="auto"/>
        </w:rPr>
      </w:pPr>
    </w:p>
    <w:p>
      <w:pPr>
        <w:ind w:firstLine="987"/>
        <w:spacing w:after="0" w:line="293" w:lineRule="auto"/>
        <w:tabs>
          <w:tab w:leader="none" w:pos="1246"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Registration Statement, the Disclosure Package and the Prospectus and all of the issued shares of capital stock of the Company have been duly and validly authorized and issued and are fully paid and non-assessable and conform in all material respects to the description thereof contained in the Registration Statement, the Disclosure Package and the Prospectus. Except as described in the Registration Statement, the Disclosure Package and the Prospectus, all of the issued and outstanding capital stock of, or other equity interests in, each subsidiary of the Company has been duly authorized and validly issued, is fully paid and non-assessable and is owned directly or indirectly by the Company, free and clear of any material security interest, mortgage, pledge, lien, encumbrance, claim or equity.</w:t>
      </w:r>
    </w:p>
    <w:p>
      <w:pPr>
        <w:spacing w:after="0" w:line="164" w:lineRule="exact"/>
        <w:rPr>
          <w:rFonts w:ascii="Arial" w:cs="Arial" w:eastAsia="Arial" w:hAnsi="Arial"/>
          <w:sz w:val="16"/>
          <w:szCs w:val="16"/>
          <w:color w:val="auto"/>
        </w:rPr>
      </w:pPr>
    </w:p>
    <w:p>
      <w:pPr>
        <w:ind w:right="400" w:firstLine="987"/>
        <w:spacing w:after="0" w:line="311" w:lineRule="auto"/>
        <w:tabs>
          <w:tab w:leader="none" w:pos="1246"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Due Authorization of the Shares</w:t>
      </w:r>
      <w:r>
        <w:rPr>
          <w:rFonts w:ascii="Arial" w:cs="Arial" w:eastAsia="Arial" w:hAnsi="Arial"/>
          <w:sz w:val="16"/>
          <w:szCs w:val="16"/>
          <w:color w:val="auto"/>
        </w:rPr>
        <w:t>. The Shares have been duly and validly authorized and, when the Shares are issued and delivered against payment therefor as provided herein, such Shares will be duly and validly issued and fully paid and non-assessable and will conform in all material respects to the description of the Common Stock contained in the Registration Statement, the Disclosure Package and the Prospectus.</w:t>
      </w:r>
    </w:p>
    <w:p>
      <w:pPr>
        <w:spacing w:after="0" w:line="148" w:lineRule="exact"/>
        <w:rPr>
          <w:rFonts w:ascii="Arial" w:cs="Arial" w:eastAsia="Arial" w:hAnsi="Arial"/>
          <w:sz w:val="16"/>
          <w:szCs w:val="16"/>
          <w:color w:val="auto"/>
        </w:rPr>
      </w:pPr>
    </w:p>
    <w:p>
      <w:pPr>
        <w:ind w:firstLine="987"/>
        <w:spacing w:after="0" w:line="275" w:lineRule="auto"/>
        <w:tabs>
          <w:tab w:leader="none" w:pos="1246"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No Preemptive or Registration Rights</w:t>
      </w:r>
      <w:r>
        <w:rPr>
          <w:rFonts w:ascii="Arial" w:cs="Arial" w:eastAsia="Arial" w:hAnsi="Arial"/>
          <w:sz w:val="17"/>
          <w:szCs w:val="17"/>
          <w:color w:val="auto"/>
        </w:rPr>
        <w:t>. Except as described in the Registration Statement, the Disclosure Package and the Prospectus, there are no (i) preemptive rights or other rights to subscribe for or to purchase or any restriction upon the voting or transfer of, any equity securities of the Company or any of its subsidiaries or (ii) outstanding warrants to purchase any securities of the Company or any of its subsidiaries. Neither the filing of the Registration Statement nor the offering or sale of the Shares as contemplated by this Agreement gives rise to any rights for or relating to the registration of any securities of the Company, except such rights as have been waived or satisfied.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90" w:right="459" w:bottom="1440" w:gutter="0" w:footer="0" w:header="0"/>
        </w:sectPr>
      </w:pPr>
    </w:p>
    <w:bookmarkStart w:id="226" w:name="page227"/>
    <w:bookmarkEnd w:id="226"/>
    <w:p>
      <w:pPr>
        <w:ind w:left="-40" w:firstLine="987"/>
        <w:spacing w:after="0" w:line="267" w:lineRule="auto"/>
        <w:tabs>
          <w:tab w:leader="none" w:pos="1176"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 Conflict or Violation</w:t>
      </w:r>
      <w:r>
        <w:rPr>
          <w:rFonts w:ascii="Arial" w:cs="Arial" w:eastAsia="Arial" w:hAnsi="Arial"/>
          <w:sz w:val="17"/>
          <w:szCs w:val="17"/>
          <w:color w:val="auto"/>
        </w:rPr>
        <w:t>. (i) The issuance and sale of the Shares by the Company and (ii) the execution, delivery and performance of this Agreement and the consummation of the transactions contemplated herein and in the Registration Statement, the Disclosure Package and the Prospectus (including the issuance and sale of the Shares, the use of the proceeds from the sale of the Shares as described therein under the caption “Use of Proceeds”) do not and will not, whether with or without the giving of notice or passage of time or both, (A) conflict with or result in a breach or violation of any of the terms or provisions of, or constitute a default under,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articles of incorporation or by-laws (or similar organizational documents) of the Company or any of its subsidiaries, or (C) result in the violation of any applicable statute or any judgment, order, rule or regulation of any court or governmental agency or body having jurisdiction over the Company, any of its subsidiaries or any of their respective properties, except, with respect to clauses (A) and (C), such conflicts or violations that would not, individually or in the aggregate, reasonably be expected to result in a Material Adverse Effect; and no consent, approval, authorization, order, registration or qualification of or with any such court or governmental agency or body having jurisdiction over the Company, any of its subsidiaries or any of their respective properties is required for the issue and sale of the Shares or the consummation by the Company of the transactions contemplated by this Agreement, except (i) such as may be required under the Act, or by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(ii) such consents, approvals, authorizations, registrations or qualifications as may be required under state securities or Blue Sky laws in connection with the purchase and distribution of the Shares by the Managers, (iii) any such consents, approvals, authorizations, registrations or qualifications of which failure to obtain would not, individually or in the aggregate, reasonably be expected to result in a Material Adverse Effect or (iv) for which a waiver has been obtained from the appropriate party or parties.</w:t>
      </w:r>
    </w:p>
    <w:p>
      <w:pPr>
        <w:spacing w:after="0" w:line="189" w:lineRule="exact"/>
        <w:rPr>
          <w:rFonts w:ascii="Arial" w:cs="Arial" w:eastAsia="Arial" w:hAnsi="Arial"/>
          <w:sz w:val="17"/>
          <w:szCs w:val="17"/>
          <w:color w:val="auto"/>
        </w:rPr>
      </w:pPr>
    </w:p>
    <w:p>
      <w:pPr>
        <w:ind w:left="-40" w:right="20" w:firstLine="987"/>
        <w:spacing w:after="0" w:line="272" w:lineRule="auto"/>
        <w:tabs>
          <w:tab w:leader="none" w:pos="1176"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Absence of Violations, Defaults and Conflicts</w:t>
      </w:r>
      <w:r>
        <w:rPr>
          <w:rFonts w:ascii="Arial" w:cs="Arial" w:eastAsia="Arial" w:hAnsi="Arial"/>
          <w:sz w:val="17"/>
          <w:szCs w:val="17"/>
          <w:color w:val="auto"/>
        </w:rPr>
        <w:t>. None of the Company or any of its subsidiaries is (i) in violation of its articles of incorporation or by-laws (or similar organizational documents),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or (iii) in violation of any applicable law, statute, rule, regulation, judgment, order, writ or decree of any arbitrator, court, governmental agency or body having jurisdiction over the Company, any of its subsidiaries or any of their respective properties, assets or operations, except in each case, with respect to clauses (ii) and (iii), for such violations that would not, individually or in the aggregate, reasonably be expected to result in a Material Adverse Effect.</w:t>
      </w:r>
    </w:p>
    <w:p>
      <w:pPr>
        <w:spacing w:after="0" w:line="177" w:lineRule="exact"/>
        <w:rPr>
          <w:rFonts w:ascii="Arial" w:cs="Arial" w:eastAsia="Arial" w:hAnsi="Arial"/>
          <w:sz w:val="17"/>
          <w:szCs w:val="17"/>
          <w:color w:val="auto"/>
        </w:rPr>
      </w:pPr>
    </w:p>
    <w:p>
      <w:pPr>
        <w:ind w:left="-40" w:right="400" w:firstLine="987"/>
        <w:spacing w:after="0" w:line="301" w:lineRule="auto"/>
        <w:tabs>
          <w:tab w:leader="none" w:pos="1166"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The execution and delivery of, and the performance by the Company of its obligations under, this Agreement (including but not limited to the issuance and sale of the Shares and the use of proceeds from the sale of the Shares as described in the Registration Statement, the Disclosure Package and the Prospectus under the caption “Use of Proceeds”) have been duly and validly authorized by all necessary corporate action on the part of the Company and this Agreement has been duly executed and delivered by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490" w:right="479" w:bottom="1440" w:gutter="0" w:footer="0" w:header="0"/>
        </w:sectPr>
      </w:pPr>
    </w:p>
    <w:bookmarkStart w:id="227" w:name="page228"/>
    <w:bookmarkEnd w:id="227"/>
    <w:p>
      <w:pPr>
        <w:ind w:firstLine="987"/>
        <w:spacing w:after="0" w:line="293" w:lineRule="auto"/>
        <w:tabs>
          <w:tab w:leader="none" w:pos="1246"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Summaries of Law</w:t>
      </w:r>
      <w:r>
        <w:rPr>
          <w:rFonts w:ascii="Arial" w:cs="Arial" w:eastAsia="Arial" w:hAnsi="Arial"/>
          <w:sz w:val="16"/>
          <w:szCs w:val="16"/>
          <w:color w:val="auto"/>
        </w:rPr>
        <w:t>. The statements set forth in the Registration Statement, the Disclosure Package and the Prospectus under the caption “Description of Capital Stock” and with respect to legal proceedings set forth in the note to the financial statements titled “Litigation” or under “Item 3. Legal Proceedings” or “Item 1. Legal Proceedings” in the most recently filed Annual Report on Form 10-K or Quarterly Report on 10-Q, as applicable, as updated by any subsequent report filed pursuant to the Exchange Act, insofar as such statements purport to constitute summaries of the terms of the statutes, rules or regulations, legal or governmental proceedings, agreements or documents referred to therein, are accurate summaries of the terms of such statutes, rules or regulations, legal or governmental proceedings, agreements or documents in all material respects.</w:t>
      </w:r>
    </w:p>
    <w:p>
      <w:pPr>
        <w:spacing w:after="0" w:line="164" w:lineRule="exact"/>
        <w:rPr>
          <w:rFonts w:ascii="Arial" w:cs="Arial" w:eastAsia="Arial" w:hAnsi="Arial"/>
          <w:sz w:val="16"/>
          <w:szCs w:val="16"/>
          <w:color w:val="auto"/>
        </w:rPr>
      </w:pPr>
    </w:p>
    <w:p>
      <w:pPr>
        <w:ind w:firstLine="987"/>
        <w:spacing w:after="0" w:line="291" w:lineRule="auto"/>
        <w:tabs>
          <w:tab w:leader="none" w:pos="1246"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Governmental Licenses</w:t>
      </w:r>
      <w:r>
        <w:rPr>
          <w:rFonts w:ascii="Arial" w:cs="Arial" w:eastAsia="Arial" w:hAnsi="Arial"/>
          <w:sz w:val="16"/>
          <w:szCs w:val="16"/>
          <w:color w:val="auto"/>
        </w:rPr>
        <w:t>. The Company and its subsidiaries possess such permits, licenses, approvals, consents and other authorizations (collectively, “</w:t>
      </w:r>
      <w:r>
        <w:rPr>
          <w:rFonts w:ascii="Arial" w:cs="Arial" w:eastAsia="Arial" w:hAnsi="Arial"/>
          <w:sz w:val="16"/>
          <w:szCs w:val="16"/>
          <w:b w:val="1"/>
          <w:bCs w:val="1"/>
          <w:color w:val="auto"/>
        </w:rPr>
        <w:t>Governmental Licenses</w:t>
      </w:r>
      <w:r>
        <w:rPr>
          <w:rFonts w:ascii="Arial" w:cs="Arial" w:eastAsia="Arial" w:hAnsi="Arial"/>
          <w:sz w:val="16"/>
          <w:szCs w:val="16"/>
          <w:color w:val="auto"/>
        </w:rPr>
        <w:t>”)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so to comply would not reasonably be expected to, individually or in the aggregate, result in a Material Adverse Effect. All of the Governmental Licenses are valid and in full force and effect, except where the failure to be valid and in full force and effect would not reasonably be expected to, individually or in the aggregate, result in a Material Adverse Effect. Neither the Company nor any of its subsidiaries has received any notice of proceedings relating to the revocation or modification of any such Governmental Licenses.</w:t>
      </w:r>
    </w:p>
    <w:p>
      <w:pPr>
        <w:spacing w:after="0" w:line="166" w:lineRule="exact"/>
        <w:rPr>
          <w:rFonts w:ascii="Arial" w:cs="Arial" w:eastAsia="Arial" w:hAnsi="Arial"/>
          <w:sz w:val="16"/>
          <w:szCs w:val="16"/>
          <w:color w:val="auto"/>
        </w:rPr>
      </w:pPr>
    </w:p>
    <w:p>
      <w:pPr>
        <w:ind w:firstLine="987"/>
        <w:spacing w:after="0" w:line="286" w:lineRule="auto"/>
        <w:tabs>
          <w:tab w:leader="none" w:pos="1286"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Regulatory Compliance</w:t>
      </w:r>
      <w:r>
        <w:rPr>
          <w:rFonts w:ascii="Arial" w:cs="Arial" w:eastAsia="Arial" w:hAnsi="Arial"/>
          <w:sz w:val="16"/>
          <w:szCs w:val="16"/>
          <w:color w:val="auto"/>
        </w:rPr>
        <w:t>. The Company is in compliance in all material respects with all applicable rules, regulations and policies of the United States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and any applicable comparable foreign regulatory organization. Except as disclosed in the Registration Statement, Disclosure Package and the Prospectus, the Company has not received notice of any claim, action, suit, proceeding, hearing, enforcement, investigation, arbitration or other action from the FDA, any other federal, state, local or foreign governmental or regulatory authority or third party alleging that any product operation or activity is in material violation of any applicable laws or material certificates, authorizations or permits and has no knowledge that the FDA or any other federal, state, local or foreign governmental or regulatory authority or third party is considering any such claim, litigation, arbitration, action, suit, investigation or proceeding. Except as disclosed in the Registration Statement, Disclosure Package and the Prospectus, the Company and its subsidiaries (i) are, and at all times since January 1, 2022, have been in material compliance with all statutes, rules and regulations applicable to the ownership, testing, development, manufacture, packaging, processing, use, distribution, storage, import, export or disposal of any product manufactured or distributed by the Company (“</w:t>
      </w:r>
      <w:r>
        <w:rPr>
          <w:rFonts w:ascii="Arial" w:cs="Arial" w:eastAsia="Arial" w:hAnsi="Arial"/>
          <w:sz w:val="16"/>
          <w:szCs w:val="16"/>
          <w:b w:val="1"/>
          <w:bCs w:val="1"/>
          <w:color w:val="auto"/>
        </w:rPr>
        <w:t>Applicable Laws</w:t>
      </w:r>
      <w:r>
        <w:rPr>
          <w:rFonts w:ascii="Arial" w:cs="Arial" w:eastAsia="Arial" w:hAnsi="Arial"/>
          <w:sz w:val="16"/>
          <w:szCs w:val="16"/>
          <w:color w:val="auto"/>
        </w:rPr>
        <w:t>”); and (ii) have not received any FDA Form 483, written notice of adverse finding, warning letter, untitled letter or other correspondence or written notice from any court or arbitrator or governmental or regulatory authority alleging or asserting non-compliance with (x) any Applicable Laws or (y) any licenses, exemptions, certificates, approvals, clearances, authorizations, permits and supplements or amendments thereto required by any such Applicable Laws except in each case as would not, individually or in the aggregate, reasonably be expected to result in a Material Adverse Effect. Neither the Company nor, to the knowledge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490" w:right="459" w:bottom="1440" w:gutter="0" w:footer="0" w:header="0"/>
        </w:sectPr>
      </w:pPr>
    </w:p>
    <w:bookmarkStart w:id="228" w:name="page229"/>
    <w:bookmarkEnd w:id="22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Company, any of its officers, directors, employees, or agents is currently excluded from participation in any federal or state healthcare program. Neither the Company nor, to the Company’s knowledge, any of its officers, directors, employees, or agents is currently “suspended” or “debarred” from selling products to the U.S. government or its agencies pursuant to the Federal Acquisition Regulation, Defense Federal Acquisition Regulations or the Department of State Acquisition Regulation.</w:t>
      </w:r>
    </w:p>
    <w:p>
      <w:pPr>
        <w:spacing w:after="0" w:line="187" w:lineRule="exact"/>
        <w:rPr>
          <w:sz w:val="20"/>
          <w:szCs w:val="20"/>
          <w:color w:val="auto"/>
        </w:rPr>
      </w:pPr>
    </w:p>
    <w:p>
      <w:pPr>
        <w:ind w:right="20" w:firstLine="987"/>
        <w:spacing w:after="0" w:line="293" w:lineRule="auto"/>
        <w:tabs>
          <w:tab w:leader="none" w:pos="1246"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Compliance with Manufacturing Regulations</w:t>
      </w:r>
      <w:r>
        <w:rPr>
          <w:rFonts w:ascii="Arial" w:cs="Arial" w:eastAsia="Arial" w:hAnsi="Arial"/>
          <w:sz w:val="16"/>
          <w:szCs w:val="16"/>
          <w:color w:val="auto"/>
        </w:rPr>
        <w:t>. Except as disclosed in the Registration Statement, Disclosure Package and the Prospectus, the manufacture of the Company’s products by or on behalf of the Company or any subsidiary is being conducted in compliance in all material respects with all Applicable Laws, including, without limitation, the FDA’s current good manufacturing practice regulations at 21 CFR Part 820 and, to the extent applicable, the respective counterparts thereof promulgated by governmental authorities in countries outside the United States. Neither the Company nor any subsidiary has had any manufacturing site (whether Company-owned, subsidiary-owned or that of a third-party manufacturer for the Company’s or any subsidiary’s products) subject to a governmental authority (including the FDA) shutdown or import or export prohibition.</w:t>
      </w:r>
    </w:p>
    <w:p>
      <w:pPr>
        <w:spacing w:after="0" w:line="164" w:lineRule="exact"/>
        <w:rPr>
          <w:rFonts w:ascii="Arial" w:cs="Arial" w:eastAsia="Arial" w:hAnsi="Arial"/>
          <w:sz w:val="16"/>
          <w:szCs w:val="16"/>
          <w:color w:val="auto"/>
        </w:rPr>
      </w:pPr>
    </w:p>
    <w:p>
      <w:pPr>
        <w:ind w:right="20" w:firstLine="987"/>
        <w:spacing w:after="0" w:line="270" w:lineRule="auto"/>
        <w:tabs>
          <w:tab w:leader="none" w:pos="1243"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Tests and Preclinical and Clinical Studies</w:t>
      </w:r>
      <w:r>
        <w:rPr>
          <w:rFonts w:ascii="Arial" w:cs="Arial" w:eastAsia="Arial" w:hAnsi="Arial"/>
          <w:sz w:val="17"/>
          <w:szCs w:val="17"/>
          <w:color w:val="auto"/>
        </w:rPr>
        <w:t>. The tests and preclinical and clinical studies conducted by or, to the Company’s knowledge, on behalf of the Company that are described in the Registration Statement, Disclosure Package and the Prospectus were and, if still pending, are being, conducted, where applicable, in all material respects in accordance with the protocols submitted to the FDA or any foreign government exercising comparable authority, procedures and controls pursuant to, where applicable, accepted professional and scientific standards for products or product candidates comparable to those being developed by the Company; and the Company has not received any written notice or correspondence from the FDA or any foreign, state or local governmental body exercising comparable authority requiring the termination, suspension, or clinical hold of any tests or preclinical or clinical studies, or such written notice or, where applicable, correspondence from any Institutional Review Board or comparable authority requiring the termination or suspension of a clinical study, conducted by or on behalf of the Company, which termination, suspension, or clinical hold would reasonably be expected to result in a Material Adverse Effect.</w:t>
      </w:r>
    </w:p>
    <w:p>
      <w:pPr>
        <w:spacing w:after="0" w:line="180" w:lineRule="exact"/>
        <w:rPr>
          <w:rFonts w:ascii="Arial" w:cs="Arial" w:eastAsia="Arial" w:hAnsi="Arial"/>
          <w:sz w:val="17"/>
          <w:szCs w:val="17"/>
          <w:color w:val="auto"/>
        </w:rPr>
      </w:pPr>
    </w:p>
    <w:p>
      <w:pPr>
        <w:ind w:firstLine="987"/>
        <w:spacing w:after="0" w:line="257" w:lineRule="auto"/>
        <w:tabs>
          <w:tab w:leader="none" w:pos="123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Except for failures that would not, individually or in the aggregate, result in a Material Adverse Effect, the Company and each of its subsidiaries has filed all U.S. federal, state, local and foreign tax returns which have been required to be filed or have obtained extensions thereof, and have paid all taxes indicated by such returns and all assessments received by them or any of them to the extent that such taxes have become due, except for any such taxes being contested in good faith and for which an adequate reserve or accrual has been established in accordance with U.S. generally accepted principles of accounting (“</w:t>
      </w:r>
      <w:r>
        <w:rPr>
          <w:rFonts w:ascii="Arial" w:cs="Arial" w:eastAsia="Arial" w:hAnsi="Arial"/>
          <w:sz w:val="18"/>
          <w:szCs w:val="18"/>
          <w:b w:val="1"/>
          <w:bCs w:val="1"/>
          <w:color w:val="auto"/>
        </w:rPr>
        <w:t>GAAP</w:t>
      </w:r>
      <w:r>
        <w:rPr>
          <w:rFonts w:ascii="Arial" w:cs="Arial" w:eastAsia="Arial" w:hAnsi="Arial"/>
          <w:sz w:val="18"/>
          <w:szCs w:val="18"/>
          <w:color w:val="auto"/>
        </w:rPr>
        <w:t>”).</w:t>
      </w:r>
    </w:p>
    <w:p>
      <w:pPr>
        <w:spacing w:after="0" w:line="188" w:lineRule="exact"/>
        <w:rPr>
          <w:sz w:val="20"/>
          <w:szCs w:val="20"/>
          <w:color w:val="auto"/>
        </w:rPr>
      </w:pPr>
    </w:p>
    <w:p>
      <w:pPr>
        <w:ind w:right="100" w:firstLine="987"/>
        <w:spacing w:after="0" w:line="279" w:lineRule="auto"/>
        <w:tabs>
          <w:tab w:leader="none" w:pos="1316"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The Company and its subsidiaries own or have a valid and enforceable right to use all patents, trademarks, service marks, trade names, domain names, social media identifiers and accounts and other source indicators, copyrights and copyrightable works, licenses, inventions, software, source code, databases, technology, know-how, and other intellectual property (including trade secrets and other unpatented and/or unpatentable proprietary or confidential information, systems or procedures) and all other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229" w:name="page230"/>
    <w:bookmarkEnd w:id="229"/>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worldwide intellectual property and proprietary rights (including all goodwill associated with and all registrations of and applications for, the foregoing)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that is necessary to the conduct of their respective businesses as currently conducted and as described in the Registration Statement, the Disclosure Package and the Prospectus, except where the failure to own or have the right to use any of the foregoing would not, individually or in the aggregate, reasonably be expected to result in a Material Adverse Effect. Intellectual Property owned, whether exclusively or jointly with a third party, by the Company and its subsidiaries has not been adjudged invalid or unenforceable by a court of competent jurisdiction or applicable government agency, in whole or in part. The Company and its subsidiaries have not received any opinion from their legal counsel concluding that any activities of their respective businesses infringe, misappropriate, or otherwise violate, the Intellectual Property of any other person and, to the knowledge of the Company, there has been no such infringement, misappropriation or other violation of any Intellectual Property of any other person. Except as otherwise disclosed in the Registration Statement, the Disclosure Package and the Prospectus, there is no pending or, to the knowledge of the Company, threatened action, suit, proceeding or claim by others challenging the ownership, validity, scope or enforceability of, or any rights of the Company or any of its subsidiaries in, any such Intellectual Property except as would not, individually or in the aggregate, reasonably be expected to result in a Material Adverse Effect. The Company has no knowledge of any claim alleging the infringement, misappropriation or other violation of any Intellectual Property of any other person by the Company or any of its subsidiaries. Except as would not, individually or in the aggregate, reasonably be expected to have a Material Adverse Effect, the Company and its subsidiaries use, and have used, commercially reasonable efforts in accordance with customary industry practice to appropriately protect, maintain and safeguard the confidentiality of all Intellectual Property, the value of which to the Company or any of its subsidiaries is contingent upon maintaining the confidentiality thereof, including the execution of appropriate nondisclosure and confidentiality agreements.</w:t>
      </w:r>
    </w:p>
    <w:p>
      <w:pPr>
        <w:spacing w:after="0" w:line="191" w:lineRule="exact"/>
        <w:rPr>
          <w:sz w:val="20"/>
          <w:szCs w:val="20"/>
          <w:color w:val="auto"/>
        </w:rPr>
      </w:pPr>
    </w:p>
    <w:p>
      <w:pPr>
        <w:ind w:firstLine="987"/>
        <w:spacing w:after="0" w:line="269" w:lineRule="auto"/>
        <w:tabs>
          <w:tab w:leader="none" w:pos="1336"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Cybersecurity; Data Protection</w:t>
      </w:r>
      <w:r>
        <w:rPr>
          <w:rFonts w:ascii="Arial" w:cs="Arial" w:eastAsia="Arial" w:hAnsi="Arial"/>
          <w:sz w:val="17"/>
          <w:szCs w:val="17"/>
          <w:color w:val="auto"/>
        </w:rPr>
        <w:t>. Except as disclosed in the Registration Statement, Disclosure Package and the Prospectus, or except as would not, individually or in the aggregate, reasonably be expected to result in a Material Adverse Effect, the Company and its subsidiaries’ respective information technology assets and equipment, computers, systems, networks, hardware, software, websites, applications, technology, data and databases (including confidential information, trade secrets or other data of the Company or any of its subsidiaries or their respective users, customers, employees, suppliers, vendors, personal data and any third party data maintained by or on behalf of the Company and its subsidiaries (collectively, “</w:t>
      </w:r>
      <w:r>
        <w:rPr>
          <w:rFonts w:ascii="Arial" w:cs="Arial" w:eastAsia="Arial" w:hAnsi="Arial"/>
          <w:sz w:val="17"/>
          <w:szCs w:val="17"/>
          <w:b w:val="1"/>
          <w:bCs w:val="1"/>
          <w:color w:val="auto"/>
        </w:rPr>
        <w:t>IT</w:t>
      </w:r>
      <w:r>
        <w:rPr>
          <w:rFonts w:ascii="Arial" w:cs="Arial" w:eastAsia="Arial" w:hAnsi="Arial"/>
          <w:sz w:val="17"/>
          <w:szCs w:val="17"/>
          <w:color w:val="auto"/>
        </w:rPr>
        <w:t xml:space="preserve"> </w:t>
      </w:r>
      <w:r>
        <w:rPr>
          <w:rFonts w:ascii="Arial" w:cs="Arial" w:eastAsia="Arial" w:hAnsi="Arial"/>
          <w:sz w:val="17"/>
          <w:szCs w:val="17"/>
          <w:b w:val="1"/>
          <w:bCs w:val="1"/>
          <w:color w:val="auto"/>
        </w:rPr>
        <w:t>Systems and Data</w:t>
      </w:r>
      <w:r>
        <w:rPr>
          <w:rFonts w:ascii="Arial" w:cs="Arial" w:eastAsia="Arial" w:hAnsi="Arial"/>
          <w:sz w:val="17"/>
          <w:szCs w:val="17"/>
          <w:color w:val="auto"/>
        </w:rPr>
        <w:t>”) are adequate for, and operate and perform as required in connection with the operation of the business of the Company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as currently conducted. The Company and its subsidiaries have complied, and are presently in compliance with all applicable laws and statutes and any judgments, orders, rules or regulations of any court or arbitrator or other governmental or regulatory authority, and all internal policies and contractual obligations and any other legal obligations, in each case, relating to the privacy and security of IT Systems and Data, and to the protection of such IT Systems and Data from unauthorized use, access, misappropriation or modification and the collection, use, transfer, processing, import, export, storage, protection, disposal and disclosure of data (collectively, the “</w:t>
      </w:r>
      <w:r>
        <w:rPr>
          <w:rFonts w:ascii="Arial" w:cs="Arial" w:eastAsia="Arial" w:hAnsi="Arial"/>
          <w:sz w:val="17"/>
          <w:szCs w:val="17"/>
          <w:b w:val="1"/>
          <w:bCs w:val="1"/>
          <w:color w:val="auto"/>
        </w:rPr>
        <w:t>Data Security Obligations</w:t>
      </w:r>
      <w:r>
        <w:rPr>
          <w:rFonts w:ascii="Arial" w:cs="Arial" w:eastAsia="Arial" w:hAnsi="Arial"/>
          <w:sz w:val="17"/>
          <w:szCs w:val="17"/>
          <w:color w:val="auto"/>
        </w:rPr>
        <w:t>”), except as would not, individually or in the aggregate, reasonably be expected to result in a Material Adverse Effect.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0" w:right="459" w:bottom="1440" w:gutter="0" w:footer="0" w:header="0"/>
        </w:sectPr>
      </w:pPr>
    </w:p>
    <w:bookmarkStart w:id="230" w:name="page231"/>
    <w:bookmarkEnd w:id="23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and its subsidiaries have used reasonable efforts to establish and maintain, and have established, implemented, maintained and complied with, commercially reasonable information technology, information security, cyber security and data protection controls, policies and procedures to protect against and prevent security breaches of, unauthorized access to and other similar compromises of IT Systems and Data in accordance with industry practices and as required by applicable regulatory standards. Except as disclosed in the Registration Statement, Disclosure Package and the Prospectus, the Company and its subsidiaries have not experienced and have no knowledge of any cyber-attack, security breach, unauthorized access or other similar compromise to their IT Systems and Data (“</w:t>
      </w:r>
      <w:r>
        <w:rPr>
          <w:rFonts w:ascii="Arial" w:cs="Arial" w:eastAsia="Arial" w:hAnsi="Arial"/>
          <w:sz w:val="16"/>
          <w:szCs w:val="16"/>
          <w:b w:val="1"/>
          <w:bCs w:val="1"/>
          <w:color w:val="auto"/>
        </w:rPr>
        <w:t>Breach</w:t>
      </w:r>
      <w:r>
        <w:rPr>
          <w:rFonts w:ascii="Arial" w:cs="Arial" w:eastAsia="Arial" w:hAnsi="Arial"/>
          <w:sz w:val="16"/>
          <w:szCs w:val="16"/>
          <w:color w:val="auto"/>
        </w:rPr>
        <w:t>”), which attack, breach, unauthorized access, or similar compromise that would reasonably be expected to result in a Material Adverse Effect. There have been no Breaches, violations, outages, or unauthorized uses of or accesses to any IT Systems and Data used in connection with the operation of the Company’s and its subsidiaries’ businesses that would reasonably be expected to result in a Material Adverse Effect; the Company and its subsidiaries have not received notification of, and have no knowledge of, any event or condition that would reasonably be expected to result in, a Breach to their IT Systems and Data that would reasonably be expected to result in a Material Adverse Effect. Neither the Company nor any of its subsidiaries has received any written notification of or complaint regarding, and has no knowledge of any facts that, individually or in the aggregate, would reasonably indicate non-compliance with any Data Security Obligation by the Company or any of its subsidiaries, and there is no action, suit or proceeding by or before any court or governmental agency, authority or body, pending or, to the Company’s knowledge, threatened alleging non-compliance with any Data Security Obligation by the Company or any of its subsidiaries.</w:t>
      </w:r>
    </w:p>
    <w:p>
      <w:pPr>
        <w:spacing w:after="0" w:line="171" w:lineRule="exact"/>
        <w:rPr>
          <w:sz w:val="20"/>
          <w:szCs w:val="20"/>
          <w:color w:val="auto"/>
        </w:rPr>
      </w:pPr>
    </w:p>
    <w:p>
      <w:pPr>
        <w:jc w:val="both"/>
        <w:ind w:right="160" w:firstLine="987"/>
        <w:spacing w:after="0" w:line="263" w:lineRule="auto"/>
        <w:tabs>
          <w:tab w:leader="none" w:pos="1316"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Nothing has come to the attention of the Company that has caused the Company to believe that the statistical, industry-related and market-related data included in the Registration Statement, the Disclosure Package and the Prospectus are based on or derived from sources that are not reliable and accurate in all material respects.</w:t>
      </w:r>
    </w:p>
    <w:p>
      <w:pPr>
        <w:spacing w:after="0" w:line="183" w:lineRule="exact"/>
        <w:rPr>
          <w:rFonts w:ascii="Arial" w:cs="Arial" w:eastAsia="Arial" w:hAnsi="Arial"/>
          <w:sz w:val="18"/>
          <w:szCs w:val="18"/>
          <w:color w:val="auto"/>
        </w:rPr>
      </w:pPr>
    </w:p>
    <w:p>
      <w:pPr>
        <w:ind w:right="180" w:firstLine="987"/>
        <w:spacing w:after="0" w:line="288" w:lineRule="auto"/>
        <w:tabs>
          <w:tab w:leader="none" w:pos="1336"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Compliance with ERISA</w:t>
      </w:r>
      <w:r>
        <w:rPr>
          <w:rFonts w:ascii="Arial" w:cs="Arial" w:eastAsia="Arial" w:hAnsi="Arial"/>
          <w:sz w:val="16"/>
          <w:szCs w:val="16"/>
          <w:color w:val="auto"/>
        </w:rPr>
        <w:t>. Except, in each case, for any such matter as would not, individually or in the aggregate, reasonably be expected to result in a Material Adverse Effect, (i) with respect to each “employee benefit plan” (within the meaning of Section 3(3) of the Employee Retirement Income Security Act of 1974, as amended, including the regulations and published interpretations thereunder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that is a member of a controlled group of corporations within the meaning of Section 414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liability (each a “</w:t>
      </w:r>
      <w:r>
        <w:rPr>
          <w:rFonts w:ascii="Arial" w:cs="Arial" w:eastAsia="Arial" w:hAnsi="Arial"/>
          <w:sz w:val="16"/>
          <w:szCs w:val="16"/>
          <w:b w:val="1"/>
          <w:bCs w:val="1"/>
          <w:color w:val="auto"/>
        </w:rPr>
        <w:t>Plan</w:t>
      </w:r>
      <w:r>
        <w:rPr>
          <w:rFonts w:ascii="Arial" w:cs="Arial" w:eastAsia="Arial" w:hAnsi="Arial"/>
          <w:sz w:val="16"/>
          <w:szCs w:val="16"/>
          <w:color w:val="auto"/>
        </w:rPr>
        <w:t>”) subject to Title IV of ERISA (A) no “reportable event” (as defined in Section 4043 of ERISA) has occurred for which the Company or any member of its Controlled Group would have any material liability; and (B) neither the Company nor any member of its Controlled Group has incurred or expects to incur material liability under Title IV of ERISA (other than for contributions to the Plan or premiums payable to the Pension Benefit Guaranty Corporation, in each case in the ordinary course and without default); and (ii) no Plan which is subject to Section 412 of the Code or Section 302 of ERISA has failed to satisfy the minimum funding standard within the meaning of such sections of the Code or ERISA.</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490" w:right="479" w:bottom="1440" w:gutter="0" w:footer="0" w:header="0"/>
        </w:sectPr>
      </w:pPr>
    </w:p>
    <w:bookmarkStart w:id="231" w:name="page232"/>
    <w:bookmarkEnd w:id="231"/>
    <w:p>
      <w:pPr>
        <w:ind w:right="40" w:firstLine="987"/>
        <w:spacing w:after="0" w:line="268" w:lineRule="auto"/>
        <w:tabs>
          <w:tab w:leader="none" w:pos="1316"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Environmental Laws</w:t>
      </w:r>
      <w:r>
        <w:rPr>
          <w:rFonts w:ascii="Arial" w:cs="Arial" w:eastAsia="Arial" w:hAnsi="Arial"/>
          <w:sz w:val="17"/>
          <w:szCs w:val="17"/>
          <w:color w:val="auto"/>
        </w:rPr>
        <w:t>. Except as set forth or contemplated in the Registration Statement, the Disclosure Package and the Prospectus and except as would not, individually or in the aggregate, be reasonably expected to result in a Material 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and (ii) the Company and its subsidiaries (x) have received all permits, licenses or other approvals required of them under applicable Environmental Laws (“</w:t>
      </w:r>
      <w:r>
        <w:rPr>
          <w:rFonts w:ascii="Arial" w:cs="Arial" w:eastAsia="Arial" w:hAnsi="Arial"/>
          <w:sz w:val="17"/>
          <w:szCs w:val="17"/>
          <w:b w:val="1"/>
          <w:bCs w:val="1"/>
          <w:color w:val="auto"/>
        </w:rPr>
        <w:t>Environmental Permits</w:t>
      </w:r>
      <w:r>
        <w:rPr>
          <w:rFonts w:ascii="Arial" w:cs="Arial" w:eastAsia="Arial" w:hAnsi="Arial"/>
          <w:sz w:val="17"/>
          <w:szCs w:val="17"/>
          <w:color w:val="auto"/>
        </w:rPr>
        <w:t>”) to conduct their respective businesses, (y) are in compliance with all terms and conditions of each such Environmental Permit, and (z) have not received notice of any violation, liability or obligation, and there are no pending or to the Company’s knowledge, threatened complaint, action, suit, proceeding, investigation or claim, under or relating to Environmental Laws or Environmental Permits, including with respect to Hazardous Materials, and have no knowledge of any event or condition that would reasonably be expected to result in such notice, complaint, action, suit, proceeding, investigation or claim.</w:t>
      </w:r>
    </w:p>
    <w:p>
      <w:pPr>
        <w:spacing w:after="0" w:line="184" w:lineRule="exact"/>
        <w:rPr>
          <w:rFonts w:ascii="Arial" w:cs="Arial" w:eastAsia="Arial" w:hAnsi="Arial"/>
          <w:sz w:val="17"/>
          <w:szCs w:val="17"/>
          <w:color w:val="auto"/>
        </w:rPr>
      </w:pPr>
    </w:p>
    <w:p>
      <w:pPr>
        <w:jc w:val="both"/>
        <w:ind w:firstLine="987"/>
        <w:spacing w:after="0" w:line="296" w:lineRule="auto"/>
        <w:tabs>
          <w:tab w:leader="none" w:pos="1273"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Restrictions on Dividends</w:t>
      </w:r>
      <w:r>
        <w:rPr>
          <w:rFonts w:ascii="Arial" w:cs="Arial" w:eastAsia="Arial" w:hAnsi="Arial"/>
          <w:sz w:val="16"/>
          <w:szCs w:val="16"/>
          <w:color w:val="auto"/>
        </w:rPr>
        <w:t>. Except as disclosed in the Registration Statement, the Disclosure Package and the Prospectus, no subsidiary of the Company is prohibited or restricted, directly or indirectly, from paying dividends to the Company or any other subsidiary of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any other subsidiary of the Company or from transferring any property or assets to the Company or to any other subsidiary of the Company.</w:t>
      </w:r>
    </w:p>
    <w:p>
      <w:pPr>
        <w:spacing w:after="0" w:line="161" w:lineRule="exact"/>
        <w:rPr>
          <w:rFonts w:ascii="Arial" w:cs="Arial" w:eastAsia="Arial" w:hAnsi="Arial"/>
          <w:sz w:val="16"/>
          <w:szCs w:val="16"/>
          <w:color w:val="auto"/>
        </w:rPr>
      </w:pPr>
    </w:p>
    <w:p>
      <w:pPr>
        <w:ind w:right="240" w:firstLine="987"/>
        <w:spacing w:after="0" w:line="257" w:lineRule="auto"/>
        <w:tabs>
          <w:tab w:leader="none" w:pos="1336"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NYSE Listing</w:t>
      </w:r>
      <w:r>
        <w:rPr>
          <w:rFonts w:ascii="Arial" w:cs="Arial" w:eastAsia="Arial" w:hAnsi="Arial"/>
          <w:sz w:val="18"/>
          <w:szCs w:val="18"/>
          <w:color w:val="auto"/>
        </w:rPr>
        <w:t>. The Company’s Common Stock has been registered pursuant to Section 12(b) of the Exchange Act and the Shares have been approved for listing, subject to official notice of issuance, on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 The Company has taken no action designed to, or likely to have the effect of, terminating the registration of the Common Stock under the Exchange Act or the listing of the Common Stock (including the Shares) on the NYSE, nor has the Company received any notification that the Commission or the NYSE is contemplating terminating such registration or listing.</w:t>
      </w:r>
    </w:p>
    <w:p>
      <w:pPr>
        <w:spacing w:after="0" w:line="187" w:lineRule="exact"/>
        <w:rPr>
          <w:rFonts w:ascii="Arial" w:cs="Arial" w:eastAsia="Arial" w:hAnsi="Arial"/>
          <w:sz w:val="18"/>
          <w:szCs w:val="18"/>
          <w:color w:val="auto"/>
        </w:rPr>
      </w:pPr>
    </w:p>
    <w:p>
      <w:pPr>
        <w:ind w:right="120" w:firstLine="987"/>
        <w:spacing w:after="0" w:line="263" w:lineRule="auto"/>
        <w:tabs>
          <w:tab w:leader="none" w:pos="1336"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Certain Relationships and Related Party Transactions</w:t>
      </w:r>
      <w:r>
        <w:rPr>
          <w:rFonts w:ascii="Arial" w:cs="Arial" w:eastAsia="Arial" w:hAnsi="Arial"/>
          <w:sz w:val="18"/>
          <w:szCs w:val="18"/>
          <w:color w:val="auto"/>
        </w:rPr>
        <w:t>. There are no material related-party transactions involving the Company or its subsidiaries or any other person required to be described in the Registration Statement, the Disclosure Package and the Prospectus which have not been described in such documents as required.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490" w:right="439" w:bottom="1440" w:gutter="0" w:footer="0" w:header="0"/>
        </w:sectPr>
      </w:pPr>
    </w:p>
    <w:bookmarkStart w:id="232" w:name="page233"/>
    <w:bookmarkEnd w:id="232"/>
    <w:p>
      <w:pPr>
        <w:ind w:right="720" w:firstLine="987"/>
        <w:spacing w:after="0" w:line="277" w:lineRule="auto"/>
        <w:tabs>
          <w:tab w:leader="none" w:pos="1246"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Absence of Labor Dispute</w:t>
      </w:r>
      <w:r>
        <w:rPr>
          <w:rFonts w:ascii="Arial" w:cs="Arial" w:eastAsia="Arial" w:hAnsi="Arial"/>
          <w:sz w:val="18"/>
          <w:szCs w:val="18"/>
          <w:color w:val="auto"/>
        </w:rPr>
        <w:t>. No material labor disturbance by or material dispute with employees of the Company or any of its subsidiaries exists or, to the knowledge of the Company, is threatened.</w:t>
      </w:r>
    </w:p>
    <w:p>
      <w:pPr>
        <w:spacing w:after="0" w:line="170" w:lineRule="exact"/>
        <w:rPr>
          <w:rFonts w:ascii="Arial" w:cs="Arial" w:eastAsia="Arial" w:hAnsi="Arial"/>
          <w:sz w:val="18"/>
          <w:szCs w:val="18"/>
          <w:color w:val="auto"/>
        </w:rPr>
      </w:pPr>
    </w:p>
    <w:p>
      <w:pPr>
        <w:ind w:right="180" w:firstLine="987"/>
        <w:spacing w:after="0" w:line="263" w:lineRule="auto"/>
        <w:tabs>
          <w:tab w:leader="none" w:pos="1256"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No Finder’s Fee</w:t>
      </w:r>
      <w:r>
        <w:rPr>
          <w:rFonts w:ascii="Arial" w:cs="Arial" w:eastAsia="Arial" w:hAnsi="Arial"/>
          <w:sz w:val="18"/>
          <w:szCs w:val="18"/>
          <w:color w:val="auto"/>
        </w:rPr>
        <w:t>. None of the Company or any of its subsidiaries is a party to any contract, agreement or understanding with any person (other than this Agreement) that would give rise to a valid claim against the Company or any of its subsidiaries or any Manager for a brokerage commission, finder’s fee or like payment in connection with the offering and sale of the Shares.</w:t>
      </w:r>
    </w:p>
    <w:p>
      <w:pPr>
        <w:spacing w:after="0" w:line="183" w:lineRule="exact"/>
        <w:rPr>
          <w:rFonts w:ascii="Arial" w:cs="Arial" w:eastAsia="Arial" w:hAnsi="Arial"/>
          <w:sz w:val="18"/>
          <w:szCs w:val="18"/>
          <w:color w:val="auto"/>
        </w:rPr>
      </w:pPr>
    </w:p>
    <w:p>
      <w:pPr>
        <w:ind w:firstLine="987"/>
        <w:spacing w:after="0" w:line="255" w:lineRule="auto"/>
        <w:tabs>
          <w:tab w:leader="none" w:pos="1326"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the Disclosure Package and the Prospectus, there are no legal or governmental or regulatory investigations, actions, demands, claims, suits, arbitrations, inquiries or proceedings pending to which the Company or any of its subsidiaries or any officer or director of the Company, is a party or of which any property of the Company or any of its subsidiaries is the subject which, if determined adversely to the Company or any of its subsidiaries, would, individually or in the aggregate, reasonably be expected to result in a Material Adverse Effect; and, to the knowledge of the Company, no such proceedings are threatened or contemplated by governmental authorities or threatened by others.</w:t>
      </w:r>
    </w:p>
    <w:p>
      <w:pPr>
        <w:spacing w:after="0" w:line="192" w:lineRule="exact"/>
        <w:rPr>
          <w:rFonts w:ascii="Arial" w:cs="Arial" w:eastAsia="Arial" w:hAnsi="Arial"/>
          <w:sz w:val="18"/>
          <w:szCs w:val="18"/>
          <w:color w:val="auto"/>
        </w:rPr>
      </w:pPr>
    </w:p>
    <w:p>
      <w:pPr>
        <w:ind w:firstLine="987"/>
        <w:spacing w:after="0" w:line="263" w:lineRule="auto"/>
        <w:tabs>
          <w:tab w:leader="none" w:pos="1253"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There are no transfer taxes or other similar fees or charges under U.S. federal law or the laws of any state, or any political subdivision thereof, required to be paid in connection with the execution and delivery of this Agreement or the issuance or sale by the Company of the Shares.</w:t>
      </w:r>
    </w:p>
    <w:p>
      <w:pPr>
        <w:spacing w:after="0" w:line="183" w:lineRule="exact"/>
        <w:rPr>
          <w:rFonts w:ascii="Arial" w:cs="Arial" w:eastAsia="Arial" w:hAnsi="Arial"/>
          <w:sz w:val="18"/>
          <w:szCs w:val="18"/>
          <w:color w:val="auto"/>
        </w:rPr>
      </w:pPr>
    </w:p>
    <w:p>
      <w:pPr>
        <w:ind w:right="100" w:firstLine="987"/>
        <w:spacing w:after="0" w:line="286" w:lineRule="auto"/>
        <w:tabs>
          <w:tab w:leader="none" w:pos="1436"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is not and, upon the issuance and sale of the Shares and the application of the proceeds thereof as described in the Registration Statement, the Disclosure Package and the Prospectus under the caption “Use of Proceeds,” will not be required to register as an “investment company”, as such term is defined in the Investment Company Act of 1940, as amended.</w:t>
      </w:r>
    </w:p>
    <w:p>
      <w:pPr>
        <w:spacing w:after="0" w:line="165" w:lineRule="exact"/>
        <w:rPr>
          <w:rFonts w:ascii="Arial" w:cs="Arial" w:eastAsia="Arial" w:hAnsi="Arial"/>
          <w:sz w:val="17"/>
          <w:szCs w:val="17"/>
          <w:color w:val="auto"/>
        </w:rPr>
      </w:pPr>
    </w:p>
    <w:p>
      <w:pPr>
        <w:ind w:firstLine="987"/>
        <w:spacing w:after="0" w:line="288" w:lineRule="auto"/>
        <w:tabs>
          <w:tab w:leader="none" w:pos="1336"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financial statements, together with related notes and schedules, included in the Registration Statement, the Disclosure Package and the Prospectus, comply in all material respects with the applicable requirements of the Act and present fairly in all material respects the financial position and the results of operations and cash flows of the entities purported to be shown thereby, at the indicated dates and for the indicated periods. Such financial statements and related schedules have been prepared in accordance with GAAP, consistently applied throughout the periods involved, except as disclosed therein, and all adjustments necessary for a fair presentation of results for such periods have been made. The pro forma financial statements, if any, or data included in the Registration Statement or the Prospectus, if any, comply with the applicable requirements of the Act and the Exchange Act, and the assumptions used in the preparation of 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Any non-GAAP financial measure (as such term is defined by the rules and regulations of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490" w:right="459" w:bottom="1440" w:gutter="0" w:footer="0" w:header="0"/>
        </w:sectPr>
      </w:pPr>
    </w:p>
    <w:bookmarkStart w:id="233" w:name="page234"/>
    <w:bookmarkEnd w:id="23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Commission), contained in the Registration Statement, the Disclosure Package and the Prospectus has been derived from the accounting records of the Company or its predecessors for accounting purposes, fairly presents in all material respect the information purported to be shown thereby and complies in all material respects with Regulation G of the Exchange Act, and Item 10 of Regulation S-K under the Act, to the extent applicable. There are no financial statements (historical or pro forma) that are required to be included in the Registration Statement, the Disclosure Package or the Prospectus that are not included as required.</w:t>
      </w:r>
    </w:p>
    <w:p>
      <w:pPr>
        <w:spacing w:after="0" w:line="188" w:lineRule="exact"/>
        <w:rPr>
          <w:sz w:val="20"/>
          <w:szCs w:val="20"/>
          <w:color w:val="auto"/>
        </w:rPr>
      </w:pPr>
    </w:p>
    <w:p>
      <w:pPr>
        <w:ind w:right="20" w:firstLine="987"/>
        <w:spacing w:after="0" w:line="263" w:lineRule="auto"/>
        <w:tabs>
          <w:tab w:leader="none" w:pos="1336"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financial statements and supporting schedules included in the Registration Statement, the Disclosure Package and the Prospectus are independent public accountants as required by the Act, the Exchange Act and the Public Company Accounting Oversight Board.</w:t>
      </w:r>
    </w:p>
    <w:p>
      <w:pPr>
        <w:spacing w:after="0" w:line="183" w:lineRule="exact"/>
        <w:rPr>
          <w:rFonts w:ascii="Arial" w:cs="Arial" w:eastAsia="Arial" w:hAnsi="Arial"/>
          <w:sz w:val="18"/>
          <w:szCs w:val="18"/>
          <w:color w:val="auto"/>
        </w:rPr>
      </w:pPr>
    </w:p>
    <w:p>
      <w:pPr>
        <w:ind w:right="40" w:firstLine="987"/>
        <w:spacing w:after="0" w:line="259" w:lineRule="auto"/>
        <w:tabs>
          <w:tab w:leader="none" w:pos="1336"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 in each case to the extent applicable to the Company.</w:t>
      </w:r>
    </w:p>
    <w:p>
      <w:pPr>
        <w:spacing w:after="0" w:line="186" w:lineRule="exact"/>
        <w:rPr>
          <w:rFonts w:ascii="Arial" w:cs="Arial" w:eastAsia="Arial" w:hAnsi="Arial"/>
          <w:sz w:val="18"/>
          <w:szCs w:val="18"/>
          <w:color w:val="auto"/>
        </w:rPr>
      </w:pPr>
    </w:p>
    <w:p>
      <w:pPr>
        <w:ind w:right="40" w:firstLine="987"/>
        <w:spacing w:after="0" w:line="288" w:lineRule="auto"/>
        <w:tabs>
          <w:tab w:leader="none" w:pos="1326"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Except as described in the Registration Statement, the Disclosure Package and the Prospectus, the Company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GAAP and (iii) is sufficient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disclosed in the Registration Statement, the Disclosure Package and the Prospectus, the Company’s internal control over financial reporting is effective and the Company is not aware of any material weaknesses in its internal control over financial reporting.</w:t>
      </w:r>
    </w:p>
    <w:p>
      <w:pPr>
        <w:spacing w:after="0" w:line="168" w:lineRule="exact"/>
        <w:rPr>
          <w:rFonts w:ascii="Arial" w:cs="Arial" w:eastAsia="Arial" w:hAnsi="Arial"/>
          <w:sz w:val="16"/>
          <w:szCs w:val="16"/>
          <w:color w:val="auto"/>
        </w:rPr>
      </w:pPr>
    </w:p>
    <w:p>
      <w:pPr>
        <w:ind w:right="120" w:firstLine="987"/>
        <w:spacing w:after="0" w:line="257" w:lineRule="auto"/>
        <w:tabs>
          <w:tab w:leader="none" w:pos="1276"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Disclosure Controls</w:t>
      </w:r>
      <w:r>
        <w:rPr>
          <w:rFonts w:ascii="Arial" w:cs="Arial" w:eastAsia="Arial" w:hAnsi="Arial"/>
          <w:sz w:val="18"/>
          <w:szCs w:val="18"/>
          <w:color w:val="auto"/>
        </w:rPr>
        <w:t>. Except as described in the Registration Statement, the Disclosure Package and the Prospectus,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490" w:right="499" w:bottom="1440" w:gutter="0" w:footer="0" w:header="0"/>
        </w:sectPr>
      </w:pPr>
    </w:p>
    <w:bookmarkStart w:id="234" w:name="page235"/>
    <w:bookmarkEnd w:id="234"/>
    <w:p>
      <w:pPr>
        <w:ind w:left="-60" w:right="60" w:firstLine="987"/>
        <w:spacing w:after="0" w:line="287" w:lineRule="auto"/>
        <w:tabs>
          <w:tab w:leader="none" w:pos="123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Foreign Corrupt Practices Act</w:t>
      </w:r>
      <w:r>
        <w:rPr>
          <w:rFonts w:ascii="Arial" w:cs="Arial" w:eastAsia="Arial" w:hAnsi="Arial"/>
          <w:sz w:val="16"/>
          <w:szCs w:val="16"/>
          <w:color w:val="auto"/>
        </w:rPr>
        <w:t>. None of the Company, any of its subsidiaries or any of their respective directors or officers or, to the knowledge of the Company, any agent, employee, affiliate or other person associated with or acting on behalf of the Company or any of its subsidiaries has (i) made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(iv) violated or is in violation of any provision of the Bribery Act 2010 of the United Kingdom or any other applicable anti-corruption, anti-bribery or related law, statute or regulation (collectively, “</w:t>
      </w:r>
      <w:r>
        <w:rPr>
          <w:rFonts w:ascii="Arial" w:cs="Arial" w:eastAsia="Arial" w:hAnsi="Arial"/>
          <w:sz w:val="16"/>
          <w:szCs w:val="16"/>
          <w:b w:val="1"/>
          <w:bCs w:val="1"/>
          <w:color w:val="auto"/>
        </w:rPr>
        <w:t>Anti-Corruption Laws</w:t>
      </w:r>
      <w:r>
        <w:rPr>
          <w:rFonts w:ascii="Arial" w:cs="Arial" w:eastAsia="Arial" w:hAnsi="Arial"/>
          <w:sz w:val="16"/>
          <w:szCs w:val="16"/>
          <w:color w:val="auto"/>
        </w:rPr>
        <w:t>”); or (v) made any bribe, rebate, payoff, influence payment, kickback or other unlawful payment. The Company and its subsidiaries have conducted their businesses in compliance with Anti-Corruption Laws and the Company has instituted and maintained and will continue to maintain policies and procedures reasonably designed to promote and achieve compliance in all material respects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applicable Anti-Corruption Laws.</w:t>
      </w:r>
    </w:p>
    <w:p>
      <w:pPr>
        <w:spacing w:after="0" w:line="171" w:lineRule="exact"/>
        <w:rPr>
          <w:rFonts w:ascii="Arial" w:cs="Arial" w:eastAsia="Arial" w:hAnsi="Arial"/>
          <w:sz w:val="16"/>
          <w:szCs w:val="16"/>
          <w:color w:val="auto"/>
        </w:rPr>
      </w:pPr>
    </w:p>
    <w:p>
      <w:pPr>
        <w:ind w:left="-60" w:right="40" w:firstLine="987"/>
        <w:spacing w:after="0" w:line="291" w:lineRule="auto"/>
        <w:tabs>
          <w:tab w:leader="none" w:pos="118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 The operations of the Company and its subsidiaries are and have been conducted at all times in compliance in all material respects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66" w:lineRule="exact"/>
        <w:rPr>
          <w:rFonts w:ascii="Arial" w:cs="Arial" w:eastAsia="Arial" w:hAnsi="Arial"/>
          <w:sz w:val="16"/>
          <w:szCs w:val="16"/>
          <w:color w:val="auto"/>
        </w:rPr>
      </w:pPr>
    </w:p>
    <w:p>
      <w:pPr>
        <w:ind w:left="-60" w:firstLine="987"/>
        <w:spacing w:after="0" w:line="289" w:lineRule="auto"/>
        <w:tabs>
          <w:tab w:leader="none" w:pos="127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Neither the Company nor any of its subsidiaries, nor, to the knowledge of the Company, any of their respective directors, officers, agents, employees or affiliates or any other person associated with or acting on behalf of the Company or any of their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HM Treasury, the United Nations Security Council,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target of Sanctions (a “</w:t>
      </w:r>
      <w:r>
        <w:rPr>
          <w:rFonts w:ascii="Arial" w:cs="Arial" w:eastAsia="Arial" w:hAnsi="Arial"/>
          <w:sz w:val="16"/>
          <w:szCs w:val="16"/>
          <w:b w:val="1"/>
          <w:bCs w:val="1"/>
          <w:color w:val="auto"/>
        </w:rPr>
        <w:t>Sanctioned Jurisdiction</w:t>
      </w:r>
      <w:r>
        <w:rPr>
          <w:rFonts w:ascii="Arial" w:cs="Arial" w:eastAsia="Arial" w:hAnsi="Arial"/>
          <w:sz w:val="16"/>
          <w:szCs w:val="16"/>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500" w:top="490" w:right="519" w:bottom="1440" w:gutter="0" w:footer="0" w:header="0"/>
        </w:sectPr>
      </w:pPr>
    </w:p>
    <w:bookmarkStart w:id="235" w:name="page236"/>
    <w:bookmarkEnd w:id="235"/>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target of Sanctions, except as otherwise permitted by applicable law, or (ii) in any other manner that will result in a violation by any person (including any person participating in the transaction, whether as sales agent, advisor, investor or otherwise) of Sanctions; neither the Company nor any of its subsidiaries is knowingly engaged in, or has, at any time in the past three years, knowingly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designed to promote and achieve continued compliance with Sanctions or applicable export control laws and regulations, in each case except as otherwise permitted by applicable law.</w:t>
      </w:r>
    </w:p>
    <w:p>
      <w:pPr>
        <w:spacing w:after="0" w:line="164" w:lineRule="exact"/>
        <w:rPr>
          <w:sz w:val="20"/>
          <w:szCs w:val="20"/>
          <w:color w:val="auto"/>
        </w:rPr>
      </w:pPr>
    </w:p>
    <w:p>
      <w:pPr>
        <w:ind w:right="320" w:firstLine="987"/>
        <w:spacing w:after="0" w:line="296" w:lineRule="auto"/>
        <w:tabs>
          <w:tab w:leader="none" w:pos="1336"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Each of the Company and its subsidiaries carry, or are covered by, insurance, from insurers of recognized financial responsibility, in such amounts and covering such risks as are prudent and customary in the Company’s reasonable opinion taking into account their respective businesses; and the Company has no reason to believe that it or any of its subsidiaries will not be able to renew their existing insurance coverage as and when such coverage expires or to obtain similar coverage from similar insurers as may be necessary to continue their respective businesses at a cost that would not, individually or in the aggregate, reasonably be expected to result in a Material Adverse Effect.</w:t>
      </w:r>
    </w:p>
    <w:p>
      <w:pPr>
        <w:spacing w:after="0" w:line="161" w:lineRule="exact"/>
        <w:rPr>
          <w:rFonts w:ascii="Arial" w:cs="Arial" w:eastAsia="Arial" w:hAnsi="Arial"/>
          <w:sz w:val="16"/>
          <w:szCs w:val="16"/>
          <w:color w:val="auto"/>
        </w:rPr>
      </w:pPr>
    </w:p>
    <w:p>
      <w:pPr>
        <w:ind w:right="80" w:firstLine="987"/>
        <w:spacing w:after="0" w:line="311" w:lineRule="auto"/>
        <w:tabs>
          <w:tab w:leader="none" w:pos="1416"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Stabilization</w:t>
      </w:r>
      <w:r>
        <w:rPr>
          <w:rFonts w:ascii="Arial" w:cs="Arial" w:eastAsia="Arial" w:hAnsi="Arial"/>
          <w:sz w:val="16"/>
          <w:szCs w:val="16"/>
          <w:color w:val="auto"/>
        </w:rPr>
        <w:t>. 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any security of the Company to facilitate the sale or resale of the Shares in violation of Regulation M of the Exchange Act.</w:t>
      </w:r>
    </w:p>
    <w:p>
      <w:pPr>
        <w:spacing w:after="0" w:line="148" w:lineRule="exact"/>
        <w:rPr>
          <w:rFonts w:ascii="Arial" w:cs="Arial" w:eastAsia="Arial" w:hAnsi="Arial"/>
          <w:sz w:val="16"/>
          <w:szCs w:val="16"/>
          <w:color w:val="auto"/>
        </w:rPr>
      </w:pPr>
    </w:p>
    <w:p>
      <w:pPr>
        <w:ind w:right="20" w:firstLine="987"/>
        <w:spacing w:after="0" w:line="263" w:lineRule="auto"/>
        <w:tabs>
          <w:tab w:leader="none" w:pos="1336"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FINRA Affiliation</w:t>
      </w:r>
      <w:r>
        <w:rPr>
          <w:rFonts w:ascii="Arial" w:cs="Arial" w:eastAsia="Arial" w:hAnsi="Arial"/>
          <w:sz w:val="18"/>
          <w:szCs w:val="18"/>
          <w:color w:val="auto"/>
        </w:rPr>
        <w:t>. To the knowledge of the Company, there are no affiliations or associations between any member of FINRA and any of the officers or directors of the Company or the holders of 5% or greater of the Common Stock, except as described in the Registration Statement, the Disclosure Package and the Prospectus</w:t>
      </w:r>
    </w:p>
    <w:p>
      <w:pPr>
        <w:spacing w:after="0" w:line="183" w:lineRule="exact"/>
        <w:rPr>
          <w:rFonts w:ascii="Arial" w:cs="Arial" w:eastAsia="Arial" w:hAnsi="Arial"/>
          <w:sz w:val="18"/>
          <w:szCs w:val="18"/>
          <w:color w:val="auto"/>
        </w:rPr>
      </w:pPr>
    </w:p>
    <w:p>
      <w:pPr>
        <w:ind w:firstLine="987"/>
        <w:spacing w:after="0" w:line="311" w:lineRule="auto"/>
        <w:tabs>
          <w:tab w:leader="none" w:pos="1326"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Accuracy of Exhibits</w:t>
      </w:r>
      <w:r>
        <w:rPr>
          <w:rFonts w:ascii="Arial" w:cs="Arial" w:eastAsia="Arial" w:hAnsi="Arial"/>
          <w:sz w:val="16"/>
          <w:szCs w:val="16"/>
          <w:color w:val="auto"/>
        </w:rPr>
        <w:t>. There are no contracts or other documents that are required by the Act to be described in the Prospectus or filed as exhibits to the Registration Statement, or that are required by the Exchange Act to be filed as exhibits to a document incorporated by reference into the Prospectus, that have not been so described in the Prospectus or filed as exhibits to the Registration Statement or such incorporated document.</w:t>
      </w:r>
    </w:p>
    <w:p>
      <w:pPr>
        <w:spacing w:after="0" w:line="148" w:lineRule="exact"/>
        <w:rPr>
          <w:rFonts w:ascii="Arial" w:cs="Arial" w:eastAsia="Arial" w:hAnsi="Arial"/>
          <w:sz w:val="16"/>
          <w:szCs w:val="16"/>
          <w:color w:val="auto"/>
        </w:rPr>
      </w:pPr>
    </w:p>
    <w:p>
      <w:pPr>
        <w:ind w:firstLine="987"/>
        <w:spacing w:after="0" w:line="263" w:lineRule="auto"/>
        <w:tabs>
          <w:tab w:leader="none" w:pos="1316"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XBRL</w:t>
      </w:r>
      <w:r>
        <w:rPr>
          <w:rFonts w:ascii="Arial" w:cs="Arial" w:eastAsia="Arial" w:hAnsi="Arial"/>
          <w:sz w:val="18"/>
          <w:szCs w:val="18"/>
          <w:color w:val="auto"/>
        </w:rPr>
        <w:t>. The interactive data in the eXtensible Business Reporting Language included as an exhibit to the Registration Statement fairly presents the information called for in all material respects and has been prepared in accordance with the Commission’s rules and guidelines applicable thereto.</w:t>
      </w:r>
    </w:p>
    <w:p>
      <w:pPr>
        <w:spacing w:after="0" w:line="184"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Any certificate signed by any officer of the Company or any of its subsidiaries and delivered to the Managers or to counsel for the Managers in connection with this Agreement shall be deemed a representation and warranty by the Company or such subsidiary of the Company, as applicable, to each Manager as to the matters set forth therein.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490" w:right="499" w:bottom="1440" w:gutter="0" w:footer="0" w:header="0"/>
        </w:sectPr>
      </w:pPr>
    </w:p>
    <w:bookmarkStart w:id="236" w:name="page237"/>
    <w:bookmarkEnd w:id="236"/>
    <w:p>
      <w:pPr>
        <w:ind w:right="3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acknowledges that the Managers and, for purposes of the opinions to be delivered pursuant to Section 4 hereof, counsel for the Company and counsel for the Managers, will rely upon the accuracy and truthfulness of the foregoing representations and hereby consents to such reliance.</w:t>
      </w:r>
    </w:p>
    <w:p>
      <w:pPr>
        <w:spacing w:after="0" w:line="184" w:lineRule="exact"/>
        <w:rPr>
          <w:sz w:val="20"/>
          <w:szCs w:val="20"/>
          <w:color w:val="auto"/>
        </w:rPr>
      </w:pPr>
    </w:p>
    <w:p>
      <w:pPr>
        <w:ind w:right="360" w:firstLine="436"/>
        <w:spacing w:after="0" w:line="263" w:lineRule="auto"/>
        <w:tabs>
          <w:tab w:leader="none" w:pos="6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Sale and Delivery of Shares</w:t>
      </w:r>
      <w:r>
        <w:rPr>
          <w:rFonts w:ascii="Arial" w:cs="Arial" w:eastAsia="Arial" w:hAnsi="Arial"/>
          <w:sz w:val="18"/>
          <w:szCs w:val="18"/>
          <w:color w:val="auto"/>
        </w:rPr>
        <w:t>. On the basis of the representations, warranties and agreements herein contained, but subject to the terms and conditions herein set forth, the Company and the Managers agree that the Company may from time to time seek to sell Shares through a Designated Manager, acting as sales agent, on the following terms.</w:t>
      </w:r>
    </w:p>
    <w:p>
      <w:pPr>
        <w:spacing w:after="0" w:line="183" w:lineRule="exact"/>
        <w:rPr>
          <w:rFonts w:ascii="Arial" w:cs="Arial" w:eastAsia="Arial" w:hAnsi="Arial"/>
          <w:sz w:val="18"/>
          <w:szCs w:val="18"/>
          <w:color w:val="auto"/>
        </w:rPr>
      </w:pPr>
    </w:p>
    <w:p>
      <w:pPr>
        <w:jc w:val="both"/>
        <w:ind w:right="140" w:firstLine="987"/>
        <w:spacing w:after="0" w:line="259" w:lineRule="auto"/>
        <w:tabs>
          <w:tab w:leader="none" w:pos="1233"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Company may submit to a Designated Manager its orders (including any price, time or size limits or other customary parameters or conditions) to sell Shares on any Trading Day (as defined herein) in a form and manner as mutually agreed to by the Company and such Designated Manager (each such order, a “</w:t>
      </w:r>
      <w:r>
        <w:rPr>
          <w:rFonts w:ascii="Arial" w:cs="Arial" w:eastAsia="Arial" w:hAnsi="Arial"/>
          <w:sz w:val="18"/>
          <w:szCs w:val="18"/>
          <w:b w:val="1"/>
          <w:bCs w:val="1"/>
          <w:color w:val="auto"/>
        </w:rPr>
        <w:t>Placement Notice</w:t>
      </w:r>
      <w:r>
        <w:rPr>
          <w:rFonts w:ascii="Arial" w:cs="Arial" w:eastAsia="Arial" w:hAnsi="Arial"/>
          <w:sz w:val="18"/>
          <w:szCs w:val="18"/>
          <w:color w:val="auto"/>
        </w:rPr>
        <w:t>”) to be delivered substantially in the form of Schedule II hereto. As used herein, “</w:t>
      </w:r>
      <w:r>
        <w:rPr>
          <w:rFonts w:ascii="Arial" w:cs="Arial" w:eastAsia="Arial" w:hAnsi="Arial"/>
          <w:sz w:val="18"/>
          <w:szCs w:val="18"/>
          <w:b w:val="1"/>
          <w:bCs w:val="1"/>
          <w:color w:val="auto"/>
        </w:rPr>
        <w:t>Trading Day</w:t>
      </w:r>
      <w:r>
        <w:rPr>
          <w:rFonts w:ascii="Arial" w:cs="Arial" w:eastAsia="Arial" w:hAnsi="Arial"/>
          <w:sz w:val="18"/>
          <w:szCs w:val="18"/>
          <w:color w:val="auto"/>
        </w:rPr>
        <w:t>” shall mean any trading day on the NYSE.</w:t>
      </w:r>
    </w:p>
    <w:p>
      <w:pPr>
        <w:spacing w:after="0" w:line="186" w:lineRule="exact"/>
        <w:rPr>
          <w:rFonts w:ascii="Arial" w:cs="Arial" w:eastAsia="Arial" w:hAnsi="Arial"/>
          <w:sz w:val="18"/>
          <w:szCs w:val="18"/>
          <w:color w:val="auto"/>
        </w:rPr>
      </w:pPr>
    </w:p>
    <w:p>
      <w:pPr>
        <w:ind w:firstLine="987"/>
        <w:spacing w:after="0" w:line="269" w:lineRule="auto"/>
        <w:tabs>
          <w:tab w:leader="none" w:pos="1246" w:val="left"/>
        </w:tabs>
        <w:numPr>
          <w:ilvl w:val="1"/>
          <w:numId w:val="309"/>
        </w:numPr>
        <w:rPr>
          <w:rFonts w:ascii="Arial" w:cs="Arial" w:eastAsia="Arial" w:hAnsi="Arial"/>
          <w:sz w:val="17"/>
          <w:szCs w:val="17"/>
          <w:color w:val="auto"/>
        </w:rPr>
      </w:pPr>
      <w:r>
        <w:rPr>
          <w:rFonts w:ascii="Arial" w:cs="Arial" w:eastAsia="Arial" w:hAnsi="Arial"/>
          <w:sz w:val="17"/>
          <w:szCs w:val="17"/>
          <w:color w:val="auto"/>
        </w:rPr>
        <w:t>Subject to the terms and conditions hereof, each Manager, at any time it is a Designated Manager, shall use its reasonable efforts to execute any Company order submitted to it hereunder to sell Shares and with respect to which such Designated Manager has agreed to act as sales agent. The Company acknowledges and agrees that (i) there can be no assurance that a Designated Manager will be successful in selling the Shares and (ii) a Designated Manager will incur no liability or obligation to the Company or any other person or entity if it does not sell Shares for any reason other than a failure by a Designated Manager to use its reasonable efforts consistent with its normal trading and sales practices and applicable law and regulations to sell such Shares as required under this Agreement. Neither Manager shall be under any obligation to purchase Shares on a principal basis except as otherwise specifically agreed by such Manager and the Company. The Designated Manager may make sales pursuant to each order by any method permitted by law, including without limitation (A) by means of ordinary brokers’ transactions (whether or not solicited), (B) to or through a market maker, (C) directly on or through any national securities exchange or facility thereof, a trading facility of a national securities association, an alternative trading system, or any other market venue, (D) in the over-the-counter market, (E) in privately negotiated transactions, or (F) through a combination of any such methods.</w:t>
      </w:r>
    </w:p>
    <w:p>
      <w:pPr>
        <w:spacing w:after="0" w:line="181" w:lineRule="exact"/>
        <w:rPr>
          <w:rFonts w:ascii="Arial" w:cs="Arial" w:eastAsia="Arial" w:hAnsi="Arial"/>
          <w:sz w:val="17"/>
          <w:szCs w:val="17"/>
          <w:color w:val="auto"/>
        </w:rPr>
      </w:pPr>
    </w:p>
    <w:p>
      <w:pPr>
        <w:ind w:right="100" w:firstLine="987"/>
        <w:spacing w:after="0" w:line="272" w:lineRule="auto"/>
        <w:tabs>
          <w:tab w:leader="none" w:pos="1233" w:val="left"/>
        </w:tabs>
        <w:numPr>
          <w:ilvl w:val="1"/>
          <w:numId w:val="309"/>
        </w:numPr>
        <w:rPr>
          <w:rFonts w:ascii="Arial" w:cs="Arial" w:eastAsia="Arial" w:hAnsi="Arial"/>
          <w:sz w:val="17"/>
          <w:szCs w:val="17"/>
          <w:color w:val="auto"/>
        </w:rPr>
      </w:pPr>
      <w:r>
        <w:rPr>
          <w:rFonts w:ascii="Arial" w:cs="Arial" w:eastAsia="Arial" w:hAnsi="Arial"/>
          <w:sz w:val="17"/>
          <w:szCs w:val="17"/>
          <w:color w:val="auto"/>
        </w:rPr>
        <w:t xml:space="preserve">The Company shall not authorize the issuance and sale of, and a Designated Manager shall not sell as sales agent, any Share at a price lower than the minimum price therefor designated from time to time by the Company and notified to a Designated Manager in writing. In addition, the Company or a Designated Manager, in such party’s sole discretion, may upon notice to the other party hereto by telephone (confirmed promptly by email or facsimile) or in writing (including by email correspondence, if receipt of such correspondence is actually acknowledged by any of the individuals to whom the notice is sent, other than via auto-reply), suspend an offering of the Shares with respect to which that Designated Manager is acting as sales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suspension or termination shall not affect or impair the parties’ respective obligations with respect to the Shares sold hereunder prior to the giving of such notice.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490" w:right="459" w:bottom="1440" w:gutter="0" w:footer="0" w:header="0"/>
        </w:sectPr>
      </w:pPr>
    </w:p>
    <w:bookmarkStart w:id="237" w:name="page238"/>
    <w:bookmarkEnd w:id="237"/>
    <w:p>
      <w:pPr>
        <w:ind w:right="120" w:firstLine="987"/>
        <w:spacing w:after="0" w:line="255" w:lineRule="auto"/>
        <w:tabs>
          <w:tab w:leader="none" w:pos="1243" w:val="left"/>
        </w:tabs>
        <w:numPr>
          <w:ilvl w:val="0"/>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compensation to a Designated Manager for sales of the Shares with respect to which such Designated Manager acts as sales agent hereunder shall be up to 3.0% of the gross offering proceeds of the Shares sold pursuant to this Agreement. Any compensation due and payable to any Managers hereunder with respect to any sale of Shares shall be paid by the Company to such Managers concurrently with the settlement for sales of the Shares by deduction from the proceeds from sales of the Shares payable to the Company. The remaining proceeds, after further deduction for any transaction fees imposed by any governmental or self-regulatory organization in respect of such sales shall constitute the net proceeds to the Company for such Shares (the “</w:t>
      </w:r>
      <w:r>
        <w:rPr>
          <w:rFonts w:ascii="Arial" w:cs="Arial" w:eastAsia="Arial" w:hAnsi="Arial"/>
          <w:sz w:val="18"/>
          <w:szCs w:val="18"/>
          <w:b w:val="1"/>
          <w:bCs w:val="1"/>
          <w:color w:val="auto"/>
        </w:rPr>
        <w:t>Net Proceeds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987"/>
        <w:spacing w:after="0" w:line="283" w:lineRule="auto"/>
        <w:tabs>
          <w:tab w:leader="none" w:pos="1236" w:val="left"/>
        </w:tabs>
        <w:numPr>
          <w:ilvl w:val="0"/>
          <w:numId w:val="310"/>
        </w:numPr>
        <w:rPr>
          <w:rFonts w:ascii="Arial" w:cs="Arial" w:eastAsia="Arial" w:hAnsi="Arial"/>
          <w:sz w:val="16"/>
          <w:szCs w:val="16"/>
          <w:color w:val="auto"/>
        </w:rPr>
      </w:pPr>
      <w:r>
        <w:rPr>
          <w:rFonts w:ascii="Arial" w:cs="Arial" w:eastAsia="Arial" w:hAnsi="Arial"/>
          <w:sz w:val="16"/>
          <w:szCs w:val="16"/>
          <w:color w:val="auto"/>
        </w:rPr>
        <w:t>Settlement for sales of the Shares pursuant to this Agreement will occur (i) prior to May 28, 2024, on the second Trading Day following the date on which such sales are made and (ii) beginning May 28, 2024, on the first Trading Day following the date on which such sales are made (each such day, in (i) and (ii), a “</w:t>
      </w:r>
      <w:r>
        <w:rPr>
          <w:rFonts w:ascii="Arial" w:cs="Arial" w:eastAsia="Arial" w:hAnsi="Arial"/>
          <w:sz w:val="16"/>
          <w:szCs w:val="16"/>
          <w:b w:val="1"/>
          <w:bCs w:val="1"/>
          <w:color w:val="auto"/>
        </w:rPr>
        <w:t>Settlement Date</w:t>
      </w:r>
      <w:r>
        <w:rPr>
          <w:rFonts w:ascii="Arial" w:cs="Arial" w:eastAsia="Arial" w:hAnsi="Arial"/>
          <w:sz w:val="16"/>
          <w:szCs w:val="16"/>
          <w:color w:val="auto"/>
        </w:rPr>
        <w:t>”). On each Settlement Date, the Shares sold through a Designated Manager for settlement on such date shall be issued and delivered by the Company to such Designated Manager against payment of the Net Proceeds from the sale of such Shares. Settlement for all such Shares shall be effected by free delivery of the Shares, in definitive form, by the Company or its transfer agent to such Designated Manager’s or its designee’s account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Designated Manager shall have given the Company written notice of such designee prior to the Settlement Date) at The Depository Trust Company through its Deposit and Withdrawal at Custodian System or by such other means of delivery as may be mutually agreed upon by the parties hereto, in return for payments in same day funds delivered to the account designated by the Company. If the Company, or its transfer agent (if applicable) shall default on its obligation to deliver the Shares on any Settlement Date, the Company shall (A) hold each applicable Designated Manager harmless against any loss, claim, damage, or expense (including reasonable legal fees and expenses), as incurred, arising out of or in connection with such default by the Company and (B) pay each such Designated Manager any compensation to which it would otherwise be entitled absent such default. The parties hereto acknowledge and agree that, in performing its obligations under this Agreement, the Designated Manager may borrow shares of Common Stock from stock lenders in the event that the Company has not delivered Shares to settle sales as required by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3(e), and may use the Shares to settle or close out such borrowings.</w:t>
      </w:r>
    </w:p>
    <w:p>
      <w:pPr>
        <w:spacing w:after="0" w:line="210" w:lineRule="exact"/>
        <w:rPr>
          <w:rFonts w:ascii="Arial" w:cs="Arial" w:eastAsia="Arial" w:hAnsi="Arial"/>
          <w:sz w:val="16"/>
          <w:szCs w:val="16"/>
          <w:color w:val="auto"/>
        </w:rPr>
      </w:pPr>
    </w:p>
    <w:p>
      <w:pPr>
        <w:jc w:val="both"/>
        <w:ind w:right="100" w:firstLine="987"/>
        <w:spacing w:after="0" w:line="259" w:lineRule="auto"/>
        <w:tabs>
          <w:tab w:leader="none" w:pos="121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acting as sales agent hereunder, the Designated Manager shall provide written confirmation (which may be by facsimile or email) to the Company following the close of trading on the NYSE each day in which the Shares are sold under this Agreement setting forth (i) the amount of the Shares sold on such day and the gross offering proceeds received from such sale and (ii) the compensation payable by the Company to such Designated Manager with respect to such sales.</w:t>
      </w:r>
    </w:p>
    <w:p>
      <w:pPr>
        <w:spacing w:after="0" w:line="186" w:lineRule="exact"/>
        <w:rPr>
          <w:rFonts w:ascii="Arial" w:cs="Arial" w:eastAsia="Arial" w:hAnsi="Arial"/>
          <w:sz w:val="18"/>
          <w:szCs w:val="18"/>
          <w:color w:val="auto"/>
        </w:rPr>
      </w:pPr>
    </w:p>
    <w:p>
      <w:pPr>
        <w:ind w:right="100" w:firstLine="987"/>
        <w:spacing w:after="0" w:line="301" w:lineRule="auto"/>
        <w:tabs>
          <w:tab w:leader="none" w:pos="1236"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At each Applicable Time, Settlement Date, Representation Date (as defined in Section 4(k)), Filing Date (as defined in Section 4(r)) and at the time of delivery of each Placement Notice,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a Designated Manager to use its reasonable efforts to sell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490" w:right="439" w:bottom="1440" w:gutter="0" w:footer="0" w:header="0"/>
        </w:sectPr>
      </w:pPr>
    </w:p>
    <w:bookmarkStart w:id="238" w:name="page239"/>
    <w:bookmarkEnd w:id="238"/>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Shares on behalf of the Company as sales agent shall be subject to the continuing accuracy of the representations and warranties of the Company herein (and the completion of any reasonable diligence to verify such accuracy by such Designated Manager), to the performance by the Company of its obligations hereunder and to the continuing satisfaction of the additional conditions specified in Section 6 of this Agreement.</w:t>
      </w:r>
    </w:p>
    <w:p>
      <w:pPr>
        <w:spacing w:after="0" w:line="165" w:lineRule="exact"/>
        <w:rPr>
          <w:sz w:val="20"/>
          <w:szCs w:val="20"/>
          <w:color w:val="auto"/>
        </w:rPr>
      </w:pPr>
    </w:p>
    <w:p>
      <w:pPr>
        <w:ind w:firstLine="987"/>
        <w:spacing w:after="0" w:line="272" w:lineRule="auto"/>
        <w:tabs>
          <w:tab w:leader="none" w:pos="1246" w:val="left"/>
        </w:tabs>
        <w:numPr>
          <w:ilvl w:val="1"/>
          <w:numId w:val="311"/>
        </w:numPr>
        <w:rPr>
          <w:rFonts w:ascii="Arial" w:cs="Arial" w:eastAsia="Arial" w:hAnsi="Arial"/>
          <w:sz w:val="17"/>
          <w:szCs w:val="17"/>
          <w:color w:val="auto"/>
        </w:rPr>
      </w:pPr>
      <w:r>
        <w:rPr>
          <w:rFonts w:ascii="Arial" w:cs="Arial" w:eastAsia="Arial" w:hAnsi="Arial"/>
          <w:sz w:val="17"/>
          <w:szCs w:val="17"/>
          <w:color w:val="auto"/>
        </w:rPr>
        <w:t>Subject to such further limitations on offers and sales of Shares or delivery of instructions to offer and sell Shares as are set forth herein and as may be mutually agreed upon by the Company and a Designated Manager, the Company shall not request the sale of any Shares that would be sold, and no Designated Manager shall be obligated to sell, (i) during any period in which the Company’s insider trading policy, as it exists on the date of this Agreement, would prohibit the purchase or sale of any Shares by any of its officers or directors, (ii) any time during the period commencing on the fifteenth day of the third month of the applicable fiscal quarter through and including the time that is 24 hours following the public announcement of the Company’s earnings, revenues or other results of operations for such fiscal quarter, or (iii) during any other period in which the Company is, or could be deemed to be in possession of material non-public information.</w:t>
      </w:r>
    </w:p>
    <w:p>
      <w:pPr>
        <w:spacing w:after="0" w:line="177" w:lineRule="exact"/>
        <w:rPr>
          <w:rFonts w:ascii="Arial" w:cs="Arial" w:eastAsia="Arial" w:hAnsi="Arial"/>
          <w:sz w:val="17"/>
          <w:szCs w:val="17"/>
          <w:color w:val="auto"/>
        </w:rPr>
      </w:pPr>
    </w:p>
    <w:p>
      <w:pPr>
        <w:ind w:right="100" w:firstLine="987"/>
        <w:spacing w:after="0" w:line="301" w:lineRule="auto"/>
        <w:tabs>
          <w:tab w:leader="none" w:pos="1206" w:val="left"/>
        </w:tabs>
        <w:numPr>
          <w:ilvl w:val="1"/>
          <w:numId w:val="311"/>
        </w:numPr>
        <w:rPr>
          <w:rFonts w:ascii="Arial" w:cs="Arial" w:eastAsia="Arial" w:hAnsi="Arial"/>
          <w:sz w:val="16"/>
          <w:szCs w:val="16"/>
          <w:color w:val="auto"/>
        </w:rPr>
      </w:pPr>
      <w:r>
        <w:rPr>
          <w:rFonts w:ascii="Arial" w:cs="Arial" w:eastAsia="Arial" w:hAnsi="Arial"/>
          <w:sz w:val="16"/>
          <w:szCs w:val="16"/>
          <w:color w:val="auto"/>
        </w:rPr>
        <w:t>Under no circumstances shall the number and aggregate amount of the Shares sold pursuant to this Agreement exceed any of (i) the aggregate amount set forth in Section 1, (ii) the number of shares of the Common Stock available for issuance under the currently effective Registration Statement or (iii) the number and aggregate amount of the Shares authorized from time to time to be issued and sold under this Agreement by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or a duly authorized committee thereof, and notified to the Managers in writing.</w:t>
      </w:r>
    </w:p>
    <w:p>
      <w:pPr>
        <w:spacing w:after="0" w:line="157" w:lineRule="exact"/>
        <w:rPr>
          <w:rFonts w:ascii="Arial" w:cs="Arial" w:eastAsia="Arial" w:hAnsi="Arial"/>
          <w:sz w:val="16"/>
          <w:szCs w:val="16"/>
          <w:color w:val="auto"/>
        </w:rPr>
      </w:pPr>
    </w:p>
    <w:p>
      <w:pPr>
        <w:ind w:left="600" w:hanging="164"/>
        <w:spacing w:after="0"/>
        <w:tabs>
          <w:tab w:leader="none" w:pos="60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each of the Managers that:</w:t>
      </w:r>
    </w:p>
    <w:p>
      <w:pPr>
        <w:spacing w:after="0" w:line="117" w:lineRule="exact"/>
        <w:rPr>
          <w:rFonts w:ascii="Arial" w:cs="Arial" w:eastAsia="Arial" w:hAnsi="Arial"/>
          <w:sz w:val="18"/>
          <w:szCs w:val="18"/>
          <w:color w:val="auto"/>
        </w:rPr>
      </w:pPr>
    </w:p>
    <w:p>
      <w:pPr>
        <w:ind w:right="20" w:firstLine="987"/>
        <w:spacing w:after="0" w:line="287" w:lineRule="auto"/>
        <w:tabs>
          <w:tab w:leader="none" w:pos="1236" w:val="left"/>
        </w:tabs>
        <w:numPr>
          <w:ilvl w:val="1"/>
          <w:numId w:val="312"/>
        </w:numPr>
        <w:rPr>
          <w:rFonts w:ascii="Arial" w:cs="Arial" w:eastAsia="Arial" w:hAnsi="Arial"/>
          <w:sz w:val="16"/>
          <w:szCs w:val="16"/>
          <w:color w:val="auto"/>
        </w:rPr>
      </w:pPr>
      <w:r>
        <w:rPr>
          <w:rFonts w:ascii="Arial" w:cs="Arial" w:eastAsia="Arial" w:hAnsi="Arial"/>
          <w:sz w:val="16"/>
          <w:szCs w:val="16"/>
          <w:color w:val="auto"/>
        </w:rPr>
        <w:t>During any period when the delivery of a prospectus relating to the Shares is required (including in circumstances where such requirement may be satisfied pursuant to Rule 172 or any similar rule) to be delivered under the Act in connection with the offering or sale of the Shares, the Company will not file any amendment of the Registration Statement or supplement in connection with the offering and sale of the Shares (including the Prospectus Supplement or any Interim Prospectus Supplement) to the Base Prospectus, the Disclosure Package or the Prospectus, whether pursuant to the Act, the Exchange Act or otherwise, unless (i) the Company has furnished to the Managers a copy of such amendment or supplement for its review a reasonable period of time prior to filing, and (ii) the Company will not file any such proposed amendment or supplement to which the Managers reasonably object. The Company will cause any supplement to the Prospectus to be prepared, in a form approved by the Managers in their reasonable judgment, and will file such supplement with the Commission pursuant to the applicable paragraph of Rule 424(b) within the time period prescribed thereby and will notify the Managers of such timely filing. The Company, subject to this Section 4(a) and Section 4(c), will comply with the requirements of Rule 430B. During any period when the delivery of a prospectus relating to the Shares is required (including in circumstances where such requirement may be satisfied pursuant to Rule 172 or any similar rule) to be delivered under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490" w:right="439" w:bottom="1440" w:gutter="0" w:footer="0" w:header="0"/>
        </w:sectPr>
      </w:pPr>
    </w:p>
    <w:bookmarkStart w:id="239" w:name="page240"/>
    <w:bookmarkEnd w:id="23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Act in connection with the offering or sale of the Shares, or during any period on or after the delivery of a Placement Notice but prior to the final Settlement Date with respect to Shares sold pursuant to such Placement Notice (or, if the Placement Notice has been terminated or suspended prior to the sale of all Shares covered by a Placement Notice, the later of the date of such suspension or termination or the final Settlement Date with respect to any Shares sold thereto) (such period, the “</w:t>
      </w:r>
      <w:r>
        <w:rPr>
          <w:rFonts w:ascii="Arial" w:cs="Arial" w:eastAsia="Arial" w:hAnsi="Arial"/>
          <w:sz w:val="16"/>
          <w:szCs w:val="16"/>
          <w:b w:val="1"/>
          <w:bCs w:val="1"/>
          <w:color w:val="auto"/>
        </w:rPr>
        <w:t>Placement Notice Period</w:t>
      </w:r>
      <w:r>
        <w:rPr>
          <w:rFonts w:ascii="Arial" w:cs="Arial" w:eastAsia="Arial" w:hAnsi="Arial"/>
          <w:sz w:val="16"/>
          <w:szCs w:val="16"/>
          <w:color w:val="auto"/>
        </w:rPr>
        <w:t>”) the Company will promptly advise the Managers (A) when any amendment to the Registration Statement or filing of a Prospectus and any supplement thereto or any new registration statement relating to the Shares shall have been filed or become effective (other than a prospectus supplement relating solely to the offering of securities other than the Shares), (B) of the receipt of any comments from the Commission relating to the Registration Statement or the Prospectus, (C) of any request by the Commission or its staff for any amendment of the Registration Statement, or for any supplement to the Prospectus or for any additional information related to the Registration Statement or the Prospectus, (D) of the issuance by the Commission of any stop order suspending the effectiveness of the Registration Statement or of any notice objecting to its use or any the issuance of any order preventing or suspending the use of the Prospectus or any amendment or supplement thereto, or the institution or threatening of any proceeding for any of such purposes or pursuant to Section 8A of the Act or (E) of the receipt by the Company of any notification with respect to the suspension of the qualification of the Shares for sale in any jurisdiction or the institution or threatening of any proceeding for such purpose. The Company will promptly use commercially reasonable efforts to prevent the issuance of any such stop order or the occurrence of any such suspension or objection to the use of the Registration Statement and, upon such issuance, occurrence or notice of objection, to obtain the withdrawal of such stop order or relief from such occurrence or objection, including, if necessary, by filing an amendment to the Registration Statement or a new registration statement and using commercially reasonable efforts to have such amendment or new registration statement declared effective as soon as practicable, if applicable.</w:t>
      </w:r>
    </w:p>
    <w:p>
      <w:pPr>
        <w:spacing w:after="0" w:line="174" w:lineRule="exact"/>
        <w:rPr>
          <w:sz w:val="20"/>
          <w:szCs w:val="20"/>
          <w:color w:val="auto"/>
        </w:rPr>
      </w:pPr>
    </w:p>
    <w:p>
      <w:pPr>
        <w:ind w:right="180" w:firstLine="987"/>
        <w:spacing w:after="0" w:line="255" w:lineRule="auto"/>
        <w:tabs>
          <w:tab w:leader="none" w:pos="124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If, at any time during any Placement Notice Period, any event occurs as a result of which the Disclosure Package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relevant Manager(s) so that any use of the Disclosure Package may cease until it is amended or supplemented; (ii) amend or supplement the Disclosure Package to correct such statement or omission; and (iii) supply any amendment or supplement to the relevant Manager(s) in such quantities as the Manager(s) may reasonably request.</w:t>
      </w:r>
    </w:p>
    <w:p>
      <w:pPr>
        <w:spacing w:after="0" w:line="192" w:lineRule="exact"/>
        <w:rPr>
          <w:rFonts w:ascii="Arial" w:cs="Arial" w:eastAsia="Arial" w:hAnsi="Arial"/>
          <w:sz w:val="18"/>
          <w:szCs w:val="18"/>
          <w:color w:val="auto"/>
        </w:rPr>
      </w:pPr>
    </w:p>
    <w:p>
      <w:pPr>
        <w:ind w:right="320" w:firstLine="987"/>
        <w:spacing w:after="0" w:line="293" w:lineRule="auto"/>
        <w:tabs>
          <w:tab w:leader="none" w:pos="1236" w:val="left"/>
        </w:tabs>
        <w:numPr>
          <w:ilvl w:val="0"/>
          <w:numId w:val="313"/>
        </w:numPr>
        <w:rPr>
          <w:rFonts w:ascii="Arial" w:cs="Arial" w:eastAsia="Arial" w:hAnsi="Arial"/>
          <w:sz w:val="16"/>
          <w:szCs w:val="16"/>
          <w:color w:val="auto"/>
        </w:rPr>
      </w:pPr>
      <w:r>
        <w:rPr>
          <w:rFonts w:ascii="Arial" w:cs="Arial" w:eastAsia="Arial" w:hAnsi="Arial"/>
          <w:sz w:val="16"/>
          <w:szCs w:val="16"/>
          <w:color w:val="auto"/>
        </w:rPr>
        <w:t>During any period when the delivery of a prospectus relating to the Shares is required (including in circumstances where such requirement may be satisfied pursuant to Rule 172 or any similar rule) to be delivered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Managers of any such</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490" w:right="479" w:bottom="1440" w:gutter="0" w:footer="0" w:header="0"/>
        </w:sectPr>
      </w:pPr>
    </w:p>
    <w:bookmarkStart w:id="240" w:name="page241"/>
    <w:bookmarkEnd w:id="240"/>
    <w:p>
      <w:pPr>
        <w:jc w:val="both"/>
        <w:ind w:right="3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event, (ii) prepare and file with the Commission, subject to the first sentence of paragraph (a) of this Section 4, an amendment or supplement or new registration statement which will correct such statement or omission or effect such compliance, (iii) use commercially reasonable efforts to have any amendment to the Registration Statement or new registration statement declared effective as soon as practicable, if applicable, in order to avoid any disruption in use of the Prospectus and (iv) supply any supplemented Prospectus to the Managers in such quantities as the Managers may reasonably request.</w:t>
      </w:r>
    </w:p>
    <w:p>
      <w:pPr>
        <w:spacing w:after="0" w:line="188" w:lineRule="exact"/>
        <w:rPr>
          <w:sz w:val="20"/>
          <w:szCs w:val="20"/>
          <w:color w:val="auto"/>
        </w:rPr>
      </w:pPr>
    </w:p>
    <w:p>
      <w:pPr>
        <w:ind w:firstLine="987"/>
        <w:spacing w:after="0" w:line="263" w:lineRule="auto"/>
        <w:tabs>
          <w:tab w:leader="none" w:pos="123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(which may be by filing with the Commission pursuant to EDGAR) to its security holders and to the Managers an earnings statement or statements of the Company and its subsidiaries which will satisfy the provisions of Section 11(a) of the Act and Rule 158.</w:t>
      </w:r>
    </w:p>
    <w:p>
      <w:pPr>
        <w:spacing w:after="0" w:line="183" w:lineRule="exact"/>
        <w:rPr>
          <w:rFonts w:ascii="Arial" w:cs="Arial" w:eastAsia="Arial" w:hAnsi="Arial"/>
          <w:sz w:val="18"/>
          <w:szCs w:val="18"/>
          <w:color w:val="auto"/>
        </w:rPr>
      </w:pPr>
    </w:p>
    <w:p>
      <w:pPr>
        <w:ind w:firstLine="987"/>
        <w:spacing w:after="0" w:line="293" w:lineRule="auto"/>
        <w:tabs>
          <w:tab w:leader="none" w:pos="1233"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Company will deliver to the Managers and counsel for the Managers, without charge, for so long as delivery of a prospectus by the Managers or dealer may be required by the Act (including in circumstances where such requirement may be satisfied pursuant to Rule 172 or any similar rule), as such Managers or counsel for the Managers may reasonably request, copies of the Registration Statement as originally filed and of each amendment thereto (including exhibits filed therewith or incorporated by reference therein and documents incorporated or deemed to be incorporated by reference therein). The Registration Statement and each amendment thereto furnished to the Managers will be identical to any electronically transmitted copies thereof filed with the Commission pursuant to EDGAR, except to the extent permitted by Regulation S-T.</w:t>
      </w:r>
    </w:p>
    <w:p>
      <w:pPr>
        <w:spacing w:after="0" w:line="164" w:lineRule="exact"/>
        <w:rPr>
          <w:rFonts w:ascii="Arial" w:cs="Arial" w:eastAsia="Arial" w:hAnsi="Arial"/>
          <w:sz w:val="16"/>
          <w:szCs w:val="16"/>
          <w:color w:val="auto"/>
        </w:rPr>
      </w:pPr>
    </w:p>
    <w:p>
      <w:pPr>
        <w:jc w:val="both"/>
        <w:ind w:firstLine="987"/>
        <w:spacing w:after="0" w:line="287" w:lineRule="auto"/>
        <w:tabs>
          <w:tab w:leader="none" w:pos="1213"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Company will deliver to the Managers and counsel for the Managers, without charge, for so long as delivery of a prospectus by the Managers or dealer may be required by the Act (including in circumstances where such requirement may be satisfied pursuant to Rule 172 or any similar rule), as many copies of the Prospectus and each Issuer Free Writing Prospectus and any supplement thereto as any Manager may reasonably request.</w:t>
      </w:r>
    </w:p>
    <w:p>
      <w:pPr>
        <w:spacing w:after="0" w:line="2" w:lineRule="exact"/>
        <w:rPr>
          <w:rFonts w:ascii="Arial" w:cs="Arial" w:eastAsia="Arial" w:hAnsi="Arial"/>
          <w:sz w:val="16"/>
          <w:szCs w:val="16"/>
          <w:color w:val="auto"/>
        </w:rPr>
      </w:pPr>
    </w:p>
    <w:p>
      <w:pPr>
        <w:ind w:right="160"/>
        <w:spacing w:after="0" w:line="323" w:lineRule="auto"/>
        <w:rPr>
          <w:rFonts w:ascii="Arial" w:cs="Arial" w:eastAsia="Arial" w:hAnsi="Arial"/>
          <w:sz w:val="16"/>
          <w:szCs w:val="16"/>
          <w:color w:val="auto"/>
        </w:rPr>
      </w:pPr>
      <w:r>
        <w:rPr>
          <w:rFonts w:ascii="Arial" w:cs="Arial" w:eastAsia="Arial" w:hAnsi="Arial"/>
          <w:sz w:val="16"/>
          <w:szCs w:val="16"/>
          <w:color w:val="auto"/>
        </w:rPr>
        <w:t>The Prospectus and any Issuer Free Writing Prospectus and any amendments or supplements thereto furnished to the Managers will be identical to any electronically transmitted copies thereof filed with the Commission pursuant to EDGAR, except to the extent permitted by Regulation S-T.</w:t>
      </w:r>
    </w:p>
    <w:p>
      <w:pPr>
        <w:spacing w:after="0" w:line="138" w:lineRule="exact"/>
        <w:rPr>
          <w:rFonts w:ascii="Arial" w:cs="Arial" w:eastAsia="Arial" w:hAnsi="Arial"/>
          <w:sz w:val="16"/>
          <w:szCs w:val="16"/>
          <w:color w:val="auto"/>
        </w:rPr>
      </w:pPr>
    </w:p>
    <w:p>
      <w:pPr>
        <w:ind w:right="40" w:firstLine="987"/>
        <w:spacing w:after="0" w:line="255" w:lineRule="auto"/>
        <w:tabs>
          <w:tab w:leader="none" w:pos="124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Company will use commercially reasonable efforts to arrange, if necessary, for the qualification of the Shares for sale (or exemption from such qualification) under the laws of such jurisdictions as the Managers may reasonably designate and will maintain such qualifications or exemptions in effect so long as required for the distribution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 or where it would be subject to taxation as a foreign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490" w:right="459" w:bottom="1440" w:gutter="0" w:footer="0" w:header="0"/>
        </w:sectPr>
      </w:pPr>
    </w:p>
    <w:bookmarkStart w:id="241" w:name="page242"/>
    <w:bookmarkEnd w:id="241"/>
    <w:p>
      <w:pPr>
        <w:ind w:left="4" w:firstLine="987"/>
        <w:spacing w:after="0" w:line="289" w:lineRule="auto"/>
        <w:tabs>
          <w:tab w:leader="none" w:pos="1247" w:val="left"/>
        </w:tabs>
        <w:numPr>
          <w:ilvl w:val="1"/>
          <w:numId w:val="3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agrees that, unless it has or shall have obtained the prior written consent of the relevant Designated Manager, and each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provided that the prior written consent of the parties hereto shall be deemed to have been given in respect of the Free Writing Prospectuses included in Schedule I hereto. Any such free writing prospectus consented to by the Managers or the Company is hereinafter referred to as a “</w:t>
      </w:r>
      <w:r>
        <w:rPr>
          <w:rFonts w:ascii="Arial" w:cs="Arial" w:eastAsia="Arial" w:hAnsi="Arial"/>
          <w:sz w:val="16"/>
          <w:szCs w:val="16"/>
          <w:b w:val="1"/>
          <w:bCs w:val="1"/>
          <w:color w:val="auto"/>
        </w:rPr>
        <w:t>Permitted Free</w:t>
      </w:r>
      <w:r>
        <w:rPr>
          <w:rFonts w:ascii="Arial" w:cs="Arial" w:eastAsia="Arial" w:hAnsi="Arial"/>
          <w:sz w:val="16"/>
          <w:szCs w:val="16"/>
          <w:color w:val="auto"/>
        </w:rPr>
        <w:t xml:space="preserve"> </w:t>
      </w:r>
      <w:r>
        <w:rPr>
          <w:rFonts w:ascii="Arial" w:cs="Arial" w:eastAsia="Arial" w:hAnsi="Arial"/>
          <w:sz w:val="16"/>
          <w:szCs w:val="16"/>
          <w:b w:val="1"/>
          <w:bCs w:val="1"/>
          <w:color w:val="auto"/>
        </w:rPr>
        <w:t>Writing Prospectus</w:t>
      </w:r>
      <w:r>
        <w:rPr>
          <w:rFonts w:ascii="Arial" w:cs="Arial" w:eastAsia="Arial" w:hAnsi="Arial"/>
          <w:sz w:val="16"/>
          <w:szCs w:val="16"/>
          <w:color w:val="auto"/>
        </w:rPr>
        <w:t>.” The Company agrees that (i) it has treated and will treat, as the case may be, each Permitted Free Writing Prospectus as an Issuer</w:t>
      </w:r>
      <w:r>
        <w:rPr>
          <w:rFonts w:ascii="Arial" w:cs="Arial" w:eastAsia="Arial" w:hAnsi="Arial"/>
          <w:sz w:val="16"/>
          <w:szCs w:val="16"/>
          <w:b w:val="1"/>
          <w:bCs w:val="1"/>
          <w:color w:val="auto"/>
        </w:rPr>
        <w:t xml:space="preserve"> </w:t>
      </w:r>
      <w:r>
        <w:rPr>
          <w:rFonts w:ascii="Arial" w:cs="Arial" w:eastAsia="Arial" w:hAnsi="Arial"/>
          <w:sz w:val="16"/>
          <w:szCs w:val="16"/>
          <w:color w:val="auto"/>
        </w:rPr>
        <w:t>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166" w:lineRule="exact"/>
        <w:rPr>
          <w:rFonts w:ascii="Arial" w:cs="Arial" w:eastAsia="Arial" w:hAnsi="Arial"/>
          <w:sz w:val="16"/>
          <w:szCs w:val="16"/>
          <w:color w:val="auto"/>
        </w:rPr>
      </w:pPr>
    </w:p>
    <w:p>
      <w:pPr>
        <w:ind w:left="4" w:right="100" w:firstLine="987"/>
        <w:spacing w:after="0" w:line="286" w:lineRule="auto"/>
        <w:tabs>
          <w:tab w:leader="none" w:pos="1207"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Company will not (i) take, directly or indirectly, any action designed to or that might reasonably be expected to cause or result in stabilization or manipulation of the price of any security of the Company to facilitate the sale or resale of the Shares or (ii) sell, bid for, purchase or pay any person (other than as contemplated by this Agreement) any compensation for soliciting purchases of the Shares.</w:t>
      </w:r>
    </w:p>
    <w:p>
      <w:pPr>
        <w:spacing w:after="0" w:line="165" w:lineRule="exact"/>
        <w:rPr>
          <w:rFonts w:ascii="Arial" w:cs="Arial" w:eastAsia="Arial" w:hAnsi="Arial"/>
          <w:sz w:val="17"/>
          <w:szCs w:val="17"/>
          <w:color w:val="auto"/>
        </w:rPr>
      </w:pPr>
    </w:p>
    <w:p>
      <w:pPr>
        <w:jc w:val="both"/>
        <w:ind w:left="4" w:right="200" w:firstLine="987"/>
        <w:spacing w:after="0" w:line="263" w:lineRule="auto"/>
        <w:tabs>
          <w:tab w:leader="none" w:pos="120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Company will, at any time during the term of this Agreement, as supplemented from time to time, advise the Managers promptly after it shall have received notice or obtain knowledge thereof, of any information or fact that would materially alter or affect any opinion, certificate, letter and other document provided to the Managers pursuant to Section 6 herein.</w:t>
      </w:r>
    </w:p>
    <w:p>
      <w:pPr>
        <w:spacing w:after="0" w:line="183" w:lineRule="exact"/>
        <w:rPr>
          <w:rFonts w:ascii="Arial" w:cs="Arial" w:eastAsia="Arial" w:hAnsi="Arial"/>
          <w:sz w:val="18"/>
          <w:szCs w:val="18"/>
          <w:color w:val="auto"/>
        </w:rPr>
      </w:pPr>
    </w:p>
    <w:p>
      <w:pPr>
        <w:ind w:left="4" w:right="200" w:firstLine="987"/>
        <w:spacing w:after="0" w:line="291" w:lineRule="auto"/>
        <w:tabs>
          <w:tab w:leader="none" w:pos="1250" w:val="left"/>
        </w:tabs>
        <w:numPr>
          <w:ilvl w:val="1"/>
          <w:numId w:val="315"/>
        </w:numPr>
        <w:rPr>
          <w:rFonts w:ascii="Arial" w:cs="Arial" w:eastAsia="Arial" w:hAnsi="Arial"/>
          <w:sz w:val="16"/>
          <w:szCs w:val="16"/>
          <w:color w:val="auto"/>
        </w:rPr>
      </w:pPr>
      <w:r>
        <w:rPr>
          <w:rFonts w:ascii="Arial" w:cs="Arial" w:eastAsia="Arial" w:hAnsi="Arial"/>
          <w:sz w:val="16"/>
          <w:szCs w:val="16"/>
          <w:color w:val="auto"/>
        </w:rPr>
        <w:t>Upon commencement of the offering of the Shares under this Agreement (if reasonably requested by any Manager and upon the recommencement of the offering of the Shares under this Agreement following the termination of a suspension of sales hereunder), and each time that</w:t>
      </w:r>
    </w:p>
    <w:p>
      <w:pPr>
        <w:ind w:left="4" w:right="20" w:hanging="4"/>
        <w:spacing w:after="0" w:line="285" w:lineRule="auto"/>
        <w:tabs>
          <w:tab w:leader="none" w:pos="21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Registration Statement or the Prospectus shall be amended or supplemented (other than by (A) an Interim Prospectus Supplement filed pursuant to Rule 424(b) pursuant to Section 4(r) of this Agreement, (B) a prospectus supplement relating solely to the offering or resale of securities other than the Shares or (C) the filing with the Commission of any report under the Exchange Act except such reports referred to in Section 4(r)(ii)) or (ii) there is filed with the Commission any Annual Report on Form 10-K or Quarterly Report on Form 10-Q, or any other document that contains financial statements or financial information that is incorporated by reference into the Prospectus, or any amendment thereto, the date of each such recommencement and the date of each such event referred to in (i) and (ii) above, a “</w:t>
      </w:r>
      <w:r>
        <w:rPr>
          <w:rFonts w:ascii="Arial" w:cs="Arial" w:eastAsia="Arial" w:hAnsi="Arial"/>
          <w:sz w:val="16"/>
          <w:szCs w:val="16"/>
          <w:b w:val="1"/>
          <w:bCs w:val="1"/>
          <w:color w:val="auto"/>
        </w:rPr>
        <w:t>Representation Date</w:t>
      </w:r>
      <w:r>
        <w:rPr>
          <w:rFonts w:ascii="Arial" w:cs="Arial" w:eastAsia="Arial" w:hAnsi="Arial"/>
          <w:sz w:val="16"/>
          <w:szCs w:val="16"/>
          <w:color w:val="auto"/>
        </w:rPr>
        <w:t>”), the Company shall furnish or cause to be furnished to the Managers forthwith a certificate dated and delivered on such Representation Date, as the case may be, in form reasonably satisfactory to the Managers to the effect that the statements contained in the certificate referred to in Section 6(e) of this Agreement which were last furnished to the Managers are true and correct at the time of such Representation Date, as though made at and as of such time (except that such statements shall be deemed to relate to the Registration Statement and the Prospectus as amended and supplemented to such time) or, in lieu of such certificate, a certificate of the same tenor as the certificate referred to in said Section 6(e), modified as necessary to relate to the Registration Statement, the Disclosure Package and the Prospectus as amended and supplemented to the time of delivery of such certificate.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490" w:right="459" w:bottom="1440" w:gutter="0" w:footer="0" w:header="0"/>
        </w:sectPr>
      </w:pPr>
    </w:p>
    <w:bookmarkStart w:id="242" w:name="page243"/>
    <w:bookmarkEnd w:id="242"/>
    <w:p>
      <w:pPr>
        <w:ind w:left="-40" w:right="20" w:firstLine="987"/>
        <w:spacing w:after="0" w:line="275" w:lineRule="auto"/>
        <w:tabs>
          <w:tab w:leader="none" w:pos="1156" w:val="left"/>
        </w:tabs>
        <w:numPr>
          <w:ilvl w:val="0"/>
          <w:numId w:val="3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At each Representation Date, the Company shall furnish or cause to be furnished forthwith to the Managers and to counsel to the Managers a written opinion of Covington &amp; Burling LLP, counsel to the Company (“</w:t>
      </w:r>
      <w:r>
        <w:rPr>
          <w:rFonts w:ascii="Arial" w:cs="Arial" w:eastAsia="Arial" w:hAnsi="Arial"/>
          <w:sz w:val="17"/>
          <w:szCs w:val="17"/>
          <w:b w:val="1"/>
          <w:bCs w:val="1"/>
          <w:color w:val="auto"/>
        </w:rPr>
        <w:t>Company Counsel</w:t>
      </w:r>
      <w:r>
        <w:rPr>
          <w:rFonts w:ascii="Arial" w:cs="Arial" w:eastAsia="Arial" w:hAnsi="Arial"/>
          <w:sz w:val="17"/>
          <w:szCs w:val="17"/>
          <w:color w:val="auto"/>
        </w:rPr>
        <w:t>”), or other counsel reasonably satisfactory to the Managers, dated and delivered on such Representation Date, in form and substance reasonably satisfactory to the Managers, of the same tenor as the opinion referred to in Section 6(b) of this Agreement, but modified as necessary to relate to the Registration Statement, the Disclosure Package and the Prospectus as amended and supplemented to the time of delivery of such opinion.</w:t>
      </w:r>
    </w:p>
    <w:p>
      <w:pPr>
        <w:spacing w:after="0" w:line="176" w:lineRule="exact"/>
        <w:rPr>
          <w:rFonts w:ascii="Arial" w:cs="Arial" w:eastAsia="Arial" w:hAnsi="Arial"/>
          <w:sz w:val="17"/>
          <w:szCs w:val="17"/>
          <w:color w:val="auto"/>
        </w:rPr>
      </w:pPr>
    </w:p>
    <w:p>
      <w:pPr>
        <w:ind w:left="-40" w:right="140" w:firstLine="987"/>
        <w:spacing w:after="0" w:line="279" w:lineRule="auto"/>
        <w:tabs>
          <w:tab w:leader="none" w:pos="124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At each Representation Date, Davis Polk &amp; Wardwell LLP, counsel to the Managers, shall deliver a written opinion and disclosure letter, dated and delivered on such Representation Date, in form and substance satisfactory to the Managers, of the same tenor as the opinions and disclosure letter referred to in Section 6(c) of this Agreement but modified as necessary to relate to the Registration Statement, the Disclosure Package and the Prospectus as amended and supplemented to the time of delivery of such opinion.</w:t>
      </w:r>
    </w:p>
    <w:p>
      <w:pPr>
        <w:spacing w:after="0" w:line="171" w:lineRule="exact"/>
        <w:rPr>
          <w:rFonts w:ascii="Arial" w:cs="Arial" w:eastAsia="Arial" w:hAnsi="Arial"/>
          <w:sz w:val="17"/>
          <w:szCs w:val="17"/>
          <w:color w:val="auto"/>
        </w:rPr>
      </w:pPr>
    </w:p>
    <w:p>
      <w:pPr>
        <w:ind w:left="-40" w:right="40" w:firstLine="987"/>
        <w:spacing w:after="0" w:line="257" w:lineRule="auto"/>
        <w:tabs>
          <w:tab w:leader="none" w:pos="119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At each Representation Date, Heather Champion Brady, in-house counsel to the Company, or other intellectual property counsel reasonably satisfactory to the Managers (“</w:t>
      </w:r>
      <w:r>
        <w:rPr>
          <w:rFonts w:ascii="Arial" w:cs="Arial" w:eastAsia="Arial" w:hAnsi="Arial"/>
          <w:sz w:val="18"/>
          <w:szCs w:val="18"/>
          <w:b w:val="1"/>
          <w:bCs w:val="1"/>
          <w:color w:val="auto"/>
        </w:rPr>
        <w:t>IP Counsel</w:t>
      </w:r>
      <w:r>
        <w:rPr>
          <w:rFonts w:ascii="Arial" w:cs="Arial" w:eastAsia="Arial" w:hAnsi="Arial"/>
          <w:sz w:val="18"/>
          <w:szCs w:val="18"/>
          <w:color w:val="auto"/>
        </w:rPr>
        <w:t>”), shall deliver a written opinion reasonably satisfactory to the Managers, dated and delivered on such Representation Date, in form and substance reasonably satisfactory to the Managers, of the same tenor as the opinion referenced in Section 6(d) of this Agreement but modified as necessary to relate to the Registration Statement, the Disclosure Package and the Prospectus as amended and supplemented at the time of delivery of such opinion.</w:t>
      </w:r>
    </w:p>
    <w:p>
      <w:pPr>
        <w:spacing w:after="0" w:line="183" w:lineRule="exact"/>
        <w:rPr>
          <w:rFonts w:ascii="Arial" w:cs="Arial" w:eastAsia="Arial" w:hAnsi="Arial"/>
          <w:sz w:val="18"/>
          <w:szCs w:val="18"/>
          <w:color w:val="auto"/>
        </w:rPr>
      </w:pPr>
    </w:p>
    <w:p>
      <w:pPr>
        <w:ind w:left="-40" w:right="280" w:firstLine="987"/>
        <w:spacing w:after="0" w:line="303" w:lineRule="auto"/>
        <w:tabs>
          <w:tab w:leader="none" w:pos="1196"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At each Representation Date, the Company shall cause Ernst &amp; Young LLP (the “</w:t>
      </w:r>
      <w:r>
        <w:rPr>
          <w:rFonts w:ascii="Arial" w:cs="Arial" w:eastAsia="Arial" w:hAnsi="Arial"/>
          <w:sz w:val="16"/>
          <w:szCs w:val="16"/>
          <w:b w:val="1"/>
          <w:bCs w:val="1"/>
          <w:color w:val="auto"/>
        </w:rPr>
        <w:t>Accountants</w:t>
      </w:r>
      <w:r>
        <w:rPr>
          <w:rFonts w:ascii="Arial" w:cs="Arial" w:eastAsia="Arial" w:hAnsi="Arial"/>
          <w:sz w:val="16"/>
          <w:szCs w:val="16"/>
          <w:color w:val="auto"/>
        </w:rPr>
        <w:t>”), or other independent accountants satisfactory to the Managers forthwith, to furnish the Managers a letter, dated and delivered on such Representation Date, in form and substance reasonably satisfactory to the Managers of the same tenor as the letter referred to in Section 6(f) of this Agreement but modified to relate to the Registration Statement, the Disclosure Package and the Prospectus, as amended and supplemented to the date of such letter.</w:t>
      </w:r>
    </w:p>
    <w:p>
      <w:pPr>
        <w:spacing w:after="0" w:line="154" w:lineRule="exact"/>
        <w:rPr>
          <w:rFonts w:ascii="Arial" w:cs="Arial" w:eastAsia="Arial" w:hAnsi="Arial"/>
          <w:sz w:val="16"/>
          <w:szCs w:val="16"/>
          <w:color w:val="auto"/>
        </w:rPr>
      </w:pPr>
    </w:p>
    <w:p>
      <w:pPr>
        <w:ind w:left="-40" w:firstLine="987"/>
        <w:spacing w:after="0" w:line="273" w:lineRule="auto"/>
        <w:tabs>
          <w:tab w:leader="none" w:pos="119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At each Representation Date, and at such other times as may be reasonably requested by a Manager upon the provision of reasonable notice, the Company will conduct one or more due diligence sessions, in form and substance reasonably satisfactory to the Managers, which shall include representatives of the management of the Company and the independent accountants of the Company. The Company shall cooperate timely with any reasonable due diligence request from or review conducted by the Managers or their respective agents from time to time in connection with the transactions contemplated by this Agreement, including, without limitation, providing information and available documents and access to appropriate officers and agents of the Company during regular business hours.</w:t>
      </w:r>
    </w:p>
    <w:p>
      <w:pPr>
        <w:spacing w:after="0" w:line="177" w:lineRule="exact"/>
        <w:rPr>
          <w:rFonts w:ascii="Arial" w:cs="Arial" w:eastAsia="Arial" w:hAnsi="Arial"/>
          <w:sz w:val="17"/>
          <w:szCs w:val="17"/>
          <w:color w:val="auto"/>
        </w:rPr>
      </w:pPr>
    </w:p>
    <w:p>
      <w:pPr>
        <w:ind w:left="-40" w:right="20" w:firstLine="987"/>
        <w:spacing w:after="0" w:line="263" w:lineRule="auto"/>
        <w:tabs>
          <w:tab w:leader="none" w:pos="120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Nothing in this Agreement shall restrict a Manager from trading, and the Company acknowledges that each Manager may trade in the Common Stock for such Manager’s own account and for the account of its clients before, at the same time as, or after sales of the Shares occur pursuant to this Agreement; provided that any such trades must comply with applicable securities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490" w:right="499" w:bottom="1440" w:gutter="0" w:footer="0" w:header="0"/>
        </w:sectPr>
      </w:pPr>
    </w:p>
    <w:bookmarkStart w:id="243" w:name="page244"/>
    <w:bookmarkEnd w:id="243"/>
    <w:p>
      <w:pPr>
        <w:ind w:firstLine="987"/>
        <w:spacing w:after="0" w:line="269" w:lineRule="auto"/>
        <w:tabs>
          <w:tab w:leader="none" w:pos="1213" w:val="left"/>
        </w:tabs>
        <w:numPr>
          <w:ilvl w:val="0"/>
          <w:numId w:val="3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will either (i) disclose in its Annual Reports on Form 10-K and Quarterly Reports on Form 10-Q, as applicable, with regard to the relevant quarter, the number of the Shares sold by or through the Managers pursuant to this Agreement, the Net Proceeds to the Company and the compensation paid to the Managers by the Company with respect to such sales of the Shares pursuant to this Agreement, or (ii) on or prior to the earlier of (A) the date on which the Company shall file a Quarterly Report on Form 10-Q or an Annual Report on Form 10-K in respect of any fiscal quarter in which sales of Shares were made by a Manager pursuant to this Agreement and (B) the date on which the Company shall be obligated to file such document referred to in clause (A) in respect of such quarter (each such date, and any date on which an amendment to any such document is filed, a “</w:t>
      </w:r>
      <w:r>
        <w:rPr>
          <w:rFonts w:ascii="Arial" w:cs="Arial" w:eastAsia="Arial" w:hAnsi="Arial"/>
          <w:sz w:val="17"/>
          <w:szCs w:val="17"/>
          <w:b w:val="1"/>
          <w:bCs w:val="1"/>
          <w:color w:val="auto"/>
        </w:rPr>
        <w:t>Filing Date</w:t>
      </w:r>
      <w:r>
        <w:rPr>
          <w:rFonts w:ascii="Arial" w:cs="Arial" w:eastAsia="Arial" w:hAnsi="Arial"/>
          <w:sz w:val="17"/>
          <w:szCs w:val="17"/>
          <w:color w:val="auto"/>
        </w:rPr>
        <w:t>”), the Company will file an Interim Prospectus Supplement with the Commission under the applicable paragraph of Rule 424(b), which prospectus supplement will set forth, with regard to such quarter, the number of the Shares sold by or through a Manager pursuant to this Agreement, the Net Proceeds to the Company and the compensation paid to the Managers by the Company with respect to such sales of the Shares pursuant to this Agreement.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 The Company will use its commercially reasonable efforts to cause the Shares to be listed for trading on the NYSE and to maintain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listing.</w:t>
      </w:r>
    </w:p>
    <w:p>
      <w:pPr>
        <w:spacing w:after="0" w:line="211" w:lineRule="exact"/>
        <w:rPr>
          <w:sz w:val="20"/>
          <w:szCs w:val="20"/>
          <w:color w:val="auto"/>
        </w:rPr>
      </w:pPr>
    </w:p>
    <w:p>
      <w:pPr>
        <w:ind w:right="120" w:firstLine="987"/>
        <w:spacing w:after="0" w:line="286" w:lineRule="auto"/>
        <w:tabs>
          <w:tab w:leader="none" w:pos="124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During any period when the delivery of a prospectus relating to the Shares is required (including in circumstances where such requirement may be satisfied pursuant to Rule 172 or any similar rule) to be delivered under the Act, the Company shall file, on a timely basis, with the Commission and the NYSE all reports and documents required to be filed under the Exchange Act and the regulations thereunder.</w:t>
      </w:r>
    </w:p>
    <w:p>
      <w:pPr>
        <w:spacing w:after="0" w:line="165" w:lineRule="exact"/>
        <w:rPr>
          <w:rFonts w:ascii="Arial" w:cs="Arial" w:eastAsia="Arial" w:hAnsi="Arial"/>
          <w:sz w:val="17"/>
          <w:szCs w:val="17"/>
          <w:color w:val="auto"/>
        </w:rPr>
      </w:pPr>
    </w:p>
    <w:p>
      <w:pPr>
        <w:ind w:right="340" w:firstLine="987"/>
        <w:spacing w:after="0" w:line="277" w:lineRule="auto"/>
        <w:tabs>
          <w:tab w:leader="none" w:pos="124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Company shall cooperate with the Managers and use its reasonable efforts to permit the Shares to be eligible for clearance and settlement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80" w:hanging="293"/>
        <w:spacing w:after="0"/>
        <w:tabs>
          <w:tab w:leader="none" w:pos="128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Company will apply the Net Proceeds from the sale of the Shares in the manner set forth in the Disclosure Package and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490" w:right="459" w:bottom="1440" w:gutter="0" w:footer="0" w:header="0"/>
        </w:sectPr>
      </w:pPr>
    </w:p>
    <w:bookmarkStart w:id="244" w:name="page245"/>
    <w:bookmarkEnd w:id="244"/>
    <w:p>
      <w:pPr>
        <w:ind w:left="-40" w:right="20" w:firstLine="987"/>
        <w:spacing w:after="0" w:line="267" w:lineRule="auto"/>
        <w:tabs>
          <w:tab w:leader="none" w:pos="1203" w:val="left"/>
        </w:tabs>
        <w:numPr>
          <w:ilvl w:val="1"/>
          <w:numId w:val="3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Without the prior written consent of the Designated Manager, the Company will not, directly or indirectly, offer to sell, sell, contract to sell, grant any option to sell or otherwise dispose of any shares of Common Stock (other than the Shares offered pursuant to this Agreement) or securities convertible into or exchangeable or exercisable for shares of Common Stock, warrants or any rights to purchase or acquire shares of Common Stock during the period beginning on the second Trading Day immediately prior to the date on which any Placement Notice is delivered to such Designated Manager hereunder and ending on the second Trading Day immediately following the final Settlement Date with respect to Shares sold pursuant to such Placement Notice (or, if the Placement Notice has been terminated or suspended prior to the sale of all Shares covered by a Placement Notice, the later of the date of such suspension or termination or the final Settlement Date with respect to any Shares sold thereto); and will not directly or indirectly in any other “at the market offering” or continuous equity transaction offer to sell, sell, contract to sell, grant any option to sell or otherwise dispose of any shares of Common Stock (other than the Shares offered pursuant to this Agreement) or securities convertible into or exchangeable or exercisable for shares of Common Stock, warrants or any rights to purchase or acquire, shares of Common Stock prior to the later of the termination of this Agreement and the second Trading Day immediately following the final Settlement Date with respect to Shares sold pursuant to such Placement Notice; provided, however, that such restrictions will not be required in connection with the Company’s issuance or sale of (i) shares of Common Stock, options to purchase shares of Common Stock, other securities under the Company’s equity incentive plans, or shares of Common Stock issuable upon the exercise of options or vesting of other securities, pursuant to any employee or director share option or benefits plan, share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Designated Manager and (iii) shares of 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spacing w:after="0" w:line="186" w:lineRule="exact"/>
        <w:rPr>
          <w:rFonts w:ascii="Arial" w:cs="Arial" w:eastAsia="Arial" w:hAnsi="Arial"/>
          <w:sz w:val="17"/>
          <w:szCs w:val="17"/>
          <w:color w:val="auto"/>
        </w:rPr>
      </w:pPr>
    </w:p>
    <w:p>
      <w:pPr>
        <w:ind w:left="-40" w:firstLine="436"/>
        <w:spacing w:after="0" w:line="290" w:lineRule="auto"/>
        <w:tabs>
          <w:tab w:leader="none" w:pos="58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to pay all reasonable costs, fees and expenses incurred in connection with the performance of its obligations under this Agreement, whether or not the transactions contemplated hereby are consummated, including without limitation (i) all expenses incident to the issuance and delivery of the Shares (including all printing and engraving costs), (ii) all necessary issue, transfer and other stamp taxes in connection with the issuance and sale of the Shares, (iii) all fees and expenses of the Company’s counsel, independent public or certified public accountants and other advisors to the Company, and the reasonable fees and expenses of the Managers’ counsel (which shall be one outside counsel for all Managers unless otherwise agreed by the Company), (iv) all costs and expenses incurred in connection with the preparation, printing, filing, shipping and distribution of the Registration Statement (including financial statements, exhibits, schedules, consents and certificates of experts), each Issuer Free Writing Prospectus and the Prospectus, and all amendments and supplements thereto, and this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80" w:top="490" w:right="479" w:bottom="1440" w:gutter="0" w:footer="0" w:header="0"/>
        </w:sectPr>
      </w:pPr>
    </w:p>
    <w:bookmarkStart w:id="245" w:name="page246"/>
    <w:bookmarkEnd w:id="245"/>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Agreement, (v) all filing fees, attorneys’ fees and expenses incurred by the Company or the Managers in connection with qualifying or registering (or obtaining exemptions from the qualification or registration of) all or any part of the Shares for offer and sale under the state securities or blue sky laws, and, if reasonably requested by the Managers, preparing a “Blue Sky Survey” or memorandum, and any supplements thereto, advising the Managers of such qualifications, registrations and exemptions, (vi) the filing fees incident to the review and approval by FINRA of the terms of the sale of the Shares,</w:t>
      </w:r>
    </w:p>
    <w:p>
      <w:pPr>
        <w:spacing w:after="0" w:line="1" w:lineRule="exact"/>
        <w:rPr>
          <w:sz w:val="20"/>
          <w:szCs w:val="20"/>
          <w:color w:val="auto"/>
        </w:rPr>
      </w:pPr>
    </w:p>
    <w:p>
      <w:pPr>
        <w:ind w:left="4" w:right="80" w:hanging="4"/>
        <w:spacing w:after="0" w:line="292" w:lineRule="auto"/>
        <w:tabs>
          <w:tab w:leader="none" w:pos="35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fees and expenses associated with listing of the Shares on the NYSE, (viii) all fees and expenses of the registrar and transfer agent of the Common Stock, (ix) all fees and expenses (including reasonable fees and expenses of counsel) of the Company in connection with approval of the Shares by DTC for “book-entry” transfer, (x) all other fees, costs and expenses referred to in Item 14 of Part II of the Registration Statement and (xi) all other fees, costs and expenses incurred in connection with the Company’s performance of its obligations hereunder for which provision is not otherwise made in this Section 5. Except as provided in this Section 5 and in Section 7 hereof, the Managers shall pay their own expenses.</w:t>
      </w:r>
    </w:p>
    <w:p>
      <w:pPr>
        <w:spacing w:after="0" w:line="162" w:lineRule="exact"/>
        <w:rPr>
          <w:rFonts w:ascii="Arial" w:cs="Arial" w:eastAsia="Arial" w:hAnsi="Arial"/>
          <w:sz w:val="16"/>
          <w:szCs w:val="16"/>
          <w:color w:val="auto"/>
        </w:rPr>
      </w:pPr>
    </w:p>
    <w:p>
      <w:pPr>
        <w:ind w:left="4" w:right="60" w:firstLine="436"/>
        <w:spacing w:after="0" w:line="311" w:lineRule="auto"/>
        <w:tabs>
          <w:tab w:leader="none" w:pos="624" w:val="left"/>
        </w:tabs>
        <w:numPr>
          <w:ilvl w:val="1"/>
          <w:numId w:val="322"/>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Managers</w:t>
      </w:r>
      <w:r>
        <w:rPr>
          <w:rFonts w:ascii="Arial" w:cs="Arial" w:eastAsia="Arial" w:hAnsi="Arial"/>
          <w:sz w:val="16"/>
          <w:szCs w:val="16"/>
          <w:color w:val="auto"/>
        </w:rPr>
        <w:t>. The obligations of the Managers under this Agreement shall be subject to (i) the accuracy of the representations and warranties on the part of the Company contained herein as of the Execution Time, each Representation Date, and as of each Applicable Time and Settlement Date, (ii) to the performance by the Company of its obligations hereunder and (iii) the following additional conditions:</w:t>
      </w:r>
    </w:p>
    <w:p>
      <w:pPr>
        <w:spacing w:after="0" w:line="40" w:lineRule="exact"/>
        <w:rPr>
          <w:rFonts w:ascii="Arial" w:cs="Arial" w:eastAsia="Arial" w:hAnsi="Arial"/>
          <w:sz w:val="16"/>
          <w:szCs w:val="16"/>
          <w:color w:val="auto"/>
        </w:rPr>
      </w:pPr>
    </w:p>
    <w:p>
      <w:pPr>
        <w:ind w:left="4" w:right="80" w:firstLine="987"/>
        <w:spacing w:after="0" w:line="254" w:lineRule="auto"/>
        <w:tabs>
          <w:tab w:leader="none" w:pos="1237" w:val="left"/>
        </w:tabs>
        <w:numPr>
          <w:ilvl w:val="2"/>
          <w:numId w:val="322"/>
        </w:numPr>
        <w:rPr>
          <w:rFonts w:ascii="Arial" w:cs="Arial" w:eastAsia="Arial" w:hAnsi="Arial"/>
          <w:sz w:val="18"/>
          <w:szCs w:val="18"/>
          <w:color w:val="auto"/>
        </w:rPr>
      </w:pPr>
      <w:r>
        <w:rPr>
          <w:rFonts w:ascii="Arial" w:cs="Arial" w:eastAsia="Arial" w:hAnsi="Arial"/>
          <w:sz w:val="18"/>
          <w:szCs w:val="18"/>
          <w:color w:val="auto"/>
        </w:rPr>
        <w:t>The Prospectus, and any supplement thereto,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4(r) of this Agreement;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of the Act shall have been instituted or, to the knowledge of the Company, be threatened by the Commission.</w:t>
      </w:r>
    </w:p>
    <w:p>
      <w:pPr>
        <w:spacing w:after="0" w:line="194" w:lineRule="exact"/>
        <w:rPr>
          <w:rFonts w:ascii="Arial" w:cs="Arial" w:eastAsia="Arial" w:hAnsi="Arial"/>
          <w:sz w:val="18"/>
          <w:szCs w:val="18"/>
          <w:color w:val="auto"/>
        </w:rPr>
      </w:pPr>
    </w:p>
    <w:p>
      <w:pPr>
        <w:ind w:left="4" w:right="40" w:firstLine="987"/>
        <w:spacing w:after="0" w:line="277" w:lineRule="auto"/>
        <w:tabs>
          <w:tab w:leader="none" w:pos="1247" w:val="left"/>
        </w:tabs>
        <w:numPr>
          <w:ilvl w:val="2"/>
          <w:numId w:val="322"/>
        </w:numPr>
        <w:rPr>
          <w:rFonts w:ascii="Arial" w:cs="Arial" w:eastAsia="Arial" w:hAnsi="Arial"/>
          <w:sz w:val="18"/>
          <w:szCs w:val="18"/>
          <w:color w:val="auto"/>
        </w:rPr>
      </w:pPr>
      <w:r>
        <w:rPr>
          <w:rFonts w:ascii="Arial" w:cs="Arial" w:eastAsia="Arial" w:hAnsi="Arial"/>
          <w:sz w:val="18"/>
          <w:szCs w:val="18"/>
          <w:color w:val="auto"/>
        </w:rPr>
        <w:t>The Company shall have requested and caused Company Counsel to furnish to the Managers, on every date specified in Section 4(l) of this Agreement, a written opinion in form and substance reasonably satisfactory to the Managers.</w:t>
      </w:r>
    </w:p>
    <w:p>
      <w:pPr>
        <w:spacing w:after="0" w:line="170" w:lineRule="exact"/>
        <w:rPr>
          <w:rFonts w:ascii="Arial" w:cs="Arial" w:eastAsia="Arial" w:hAnsi="Arial"/>
          <w:sz w:val="18"/>
          <w:szCs w:val="18"/>
          <w:color w:val="auto"/>
        </w:rPr>
      </w:pPr>
    </w:p>
    <w:p>
      <w:pPr>
        <w:ind w:left="1224" w:hanging="233"/>
        <w:spacing w:after="0"/>
        <w:tabs>
          <w:tab w:leader="none" w:pos="1224" w:val="left"/>
        </w:tabs>
        <w:numPr>
          <w:ilvl w:val="2"/>
          <w:numId w:val="322"/>
        </w:numPr>
        <w:rPr>
          <w:rFonts w:ascii="Arial" w:cs="Arial" w:eastAsia="Arial" w:hAnsi="Arial"/>
          <w:sz w:val="18"/>
          <w:szCs w:val="18"/>
          <w:color w:val="auto"/>
        </w:rPr>
      </w:pPr>
      <w:r>
        <w:rPr>
          <w:rFonts w:ascii="Arial" w:cs="Arial" w:eastAsia="Arial" w:hAnsi="Arial"/>
          <w:sz w:val="18"/>
          <w:szCs w:val="18"/>
          <w:color w:val="auto"/>
        </w:rPr>
        <w:t>The Managers shall have received from Davis Polk &amp; Wardwell LLP, counsel for the Managers, on every date specified in</w:t>
      </w:r>
    </w:p>
    <w:p>
      <w:pPr>
        <w:spacing w:after="0" w:line="23"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Section 4(m) of this Agreement, such opinion or opinions and disclosure letter or letters, dated as of such date and addressed to the Managers, with respect to the issuance and sale of the Shares, the Registration Statement, the Disclosure Package, the Prospectus (together with any supplement thereto) and other related matters as the Managers may reasonably require, and the Company shall have furnished to such counsel such documents as they request for the purpose of enabling them to pass upon such matters.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490" w:right="459" w:bottom="1440" w:gutter="0" w:footer="0" w:header="0"/>
        </w:sectPr>
      </w:pPr>
    </w:p>
    <w:bookmarkStart w:id="246" w:name="page247"/>
    <w:bookmarkEnd w:id="246"/>
    <w:p>
      <w:pPr>
        <w:ind w:firstLine="987"/>
        <w:spacing w:after="0" w:line="263" w:lineRule="auto"/>
        <w:tabs>
          <w:tab w:leader="none" w:pos="1243"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Managers shall have received from IP Counsel, on every date specified in Section 4(n) of this Agreement, such written opinions, dated as of such date and addressed to the Managers, with respect to intellectual property matters, and the Company shall have furnished to such counsel such documents as they request for the purpose of enabling them to pass upon such matters.</w:t>
      </w:r>
    </w:p>
    <w:p>
      <w:pPr>
        <w:spacing w:after="0" w:line="183" w:lineRule="exact"/>
        <w:rPr>
          <w:rFonts w:ascii="Arial" w:cs="Arial" w:eastAsia="Arial" w:hAnsi="Arial"/>
          <w:sz w:val="18"/>
          <w:szCs w:val="18"/>
          <w:color w:val="auto"/>
        </w:rPr>
      </w:pPr>
    </w:p>
    <w:p>
      <w:pPr>
        <w:ind w:right="460" w:firstLine="987"/>
        <w:spacing w:after="0" w:line="301" w:lineRule="auto"/>
        <w:tabs>
          <w:tab w:leader="none" w:pos="1233"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the Managers, on every date specified in Section 4(k) of this Agreement, a certificate of the Company, signed by the chief executive officer or the President of the Company, and by the chief financial or chief accounting officer of the Company, dated as of such date, to the effect that the signers of such certificate have carefully examined the Registration Statement, the Disclosure Package and the Prospectus and any supplements or amendments thereto and this Agreement and that:</w:t>
      </w:r>
    </w:p>
    <w:p>
      <w:pPr>
        <w:spacing w:after="0" w:line="49" w:lineRule="exact"/>
        <w:rPr>
          <w:rFonts w:ascii="Arial" w:cs="Arial" w:eastAsia="Arial" w:hAnsi="Arial"/>
          <w:sz w:val="16"/>
          <w:szCs w:val="16"/>
          <w:color w:val="auto"/>
        </w:rPr>
      </w:pPr>
    </w:p>
    <w:p>
      <w:pPr>
        <w:ind w:right="80" w:firstLine="1428"/>
        <w:spacing w:after="0" w:line="308" w:lineRule="auto"/>
        <w:tabs>
          <w:tab w:leader="none" w:pos="1647"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Company has received no stop order suspending the effectiveness of the Registration Statement, and no proceedings for such purpose or pursuant to Section 8A of the Act have been instituted or, to the Company’s knowledge, are threatened by the Commission;</w:t>
      </w:r>
    </w:p>
    <w:p>
      <w:pPr>
        <w:spacing w:after="0" w:line="146" w:lineRule="exact"/>
        <w:rPr>
          <w:rFonts w:ascii="Arial" w:cs="Arial" w:eastAsia="Arial" w:hAnsi="Arial"/>
          <w:sz w:val="17"/>
          <w:szCs w:val="17"/>
          <w:color w:val="auto"/>
        </w:rPr>
      </w:pPr>
    </w:p>
    <w:p>
      <w:pPr>
        <w:jc w:val="both"/>
        <w:ind w:right="180" w:firstLine="1428"/>
        <w:spacing w:after="0" w:line="263" w:lineRule="auto"/>
        <w:tabs>
          <w:tab w:leader="none" w:pos="1697" w:val="left"/>
        </w:tabs>
        <w:numPr>
          <w:ilvl w:val="1"/>
          <w:numId w:val="323"/>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Prospectus and the Disclosure Package, there has been no event or condition of a type described in Section 2(l) hereof (a “</w:t>
      </w:r>
      <w:r>
        <w:rPr>
          <w:rFonts w:ascii="Arial" w:cs="Arial" w:eastAsia="Arial" w:hAnsi="Arial"/>
          <w:sz w:val="18"/>
          <w:szCs w:val="18"/>
          <w:b w:val="1"/>
          <w:bCs w:val="1"/>
          <w:color w:val="auto"/>
        </w:rPr>
        <w:t>Material Adverse Change</w:t>
      </w:r>
      <w:r>
        <w:rPr>
          <w:rFonts w:ascii="Arial" w:cs="Arial" w:eastAsia="Arial" w:hAnsi="Arial"/>
          <w:sz w:val="18"/>
          <w:szCs w:val="18"/>
          <w:color w:val="auto"/>
        </w:rPr>
        <w:t>”), except as set forth in or contemplated in the Disclosure Package and the Prospectus;</w:t>
      </w:r>
    </w:p>
    <w:p>
      <w:pPr>
        <w:spacing w:after="0" w:line="183" w:lineRule="exact"/>
        <w:rPr>
          <w:rFonts w:ascii="Arial" w:cs="Arial" w:eastAsia="Arial" w:hAnsi="Arial"/>
          <w:sz w:val="18"/>
          <w:szCs w:val="18"/>
          <w:color w:val="auto"/>
        </w:rPr>
      </w:pPr>
    </w:p>
    <w:p>
      <w:pPr>
        <w:ind w:right="200" w:firstLine="1428"/>
        <w:spacing w:after="0" w:line="277" w:lineRule="auto"/>
        <w:tabs>
          <w:tab w:leader="none" w:pos="1747"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representations, warranties and covenants set forth in Section 2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right="420" w:firstLine="1428"/>
        <w:spacing w:after="0" w:line="277" w:lineRule="auto"/>
        <w:tabs>
          <w:tab w:leader="none" w:pos="1737"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Company shall have requested and caused the Accountants to have furnished to the Managers, on every date specified in</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Section 4(o) hereof, letters (which may refer to letters previously delivered to the Managers), dated as of such date, in form and substance reasonably satisfactory to the Managers, which letters shall cover, without limitation, the various financial statements and disclosures contained in the Registration Statement, the Disclosure Package and the Prospectus and other matters ordinarily covered by accountants’ “comfort letters” to underwriters in connection with registered public offerings as contemplated in AS 6101, as well as confirming that they have performed a review of any unaudited interim financial information of the Company included in the Registration Statement, the Disclosure Package and the Prospectus in accordance with AS 4105.</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References to the Prospectus in this paragraph (f) include any supplement thereto at the date of the letter.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490" w:right="479" w:bottom="1440" w:gutter="0" w:footer="0" w:header="0"/>
        </w:sectPr>
      </w:pPr>
    </w:p>
    <w:bookmarkStart w:id="247" w:name="page248"/>
    <w:bookmarkEnd w:id="247"/>
    <w:p>
      <w:pPr>
        <w:ind w:right="40" w:firstLine="987"/>
        <w:spacing w:after="0" w:line="255" w:lineRule="auto"/>
        <w:tabs>
          <w:tab w:leader="none" w:pos="1246"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Since the respective dates as of which information is disclosed in the Registration Statement, the Disclosure Package and the Prospectus, except as otherwise stated therein, there shall not have been any Material Adverse Change, except as set forth in or contemplated in the Disclosure Package and the Prospectus (exclusive of any amendment or supplement thereto) the effect of which is, in the reasonable judgment of the Managers, so material and adverse as to make it impractical or inadvisable to proceed with the offering or delivery of the Shares as contemplated by the Registration Statement (exclusive of any amendment thereof), the Disclosure Package and the Prospectus (exclusive of any amendment or supplement thereto).</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FINRA shall not have raised any objection with respect to the fairness and reasonableness of the terms and arrangements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40" w:firstLine="987"/>
        <w:spacing w:after="0" w:line="277" w:lineRule="auto"/>
        <w:tabs>
          <w:tab w:leader="none" w:pos="120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Shares shall have been listed and admitted and authorized for trading on the NYSE, and satisfactory evidence of such actions shall have been provided to the Managers.</w:t>
      </w:r>
    </w:p>
    <w:p>
      <w:pPr>
        <w:spacing w:after="0" w:line="170" w:lineRule="exact"/>
        <w:rPr>
          <w:rFonts w:ascii="Arial" w:cs="Arial" w:eastAsia="Arial" w:hAnsi="Arial"/>
          <w:sz w:val="18"/>
          <w:szCs w:val="18"/>
          <w:color w:val="auto"/>
        </w:rPr>
      </w:pPr>
    </w:p>
    <w:p>
      <w:pPr>
        <w:ind w:right="100" w:firstLine="987"/>
        <w:spacing w:after="0" w:line="259" w:lineRule="auto"/>
        <w:tabs>
          <w:tab w:leader="none" w:pos="120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requested by the Managers, the Company shall have furnished or caused to be furnished to the Managers, on every date specified in Section 4(k) of this Agreement, a certificate of the Company, signed by the chief financial officer or similar officer of the Company, dated as of such date, in form and substance satisfactory to the Managers providing “management comfort” with respect to certain financial information included in the Registration Statement and the Prospectus, as applicable.</w:t>
      </w:r>
    </w:p>
    <w:p>
      <w:pPr>
        <w:spacing w:after="0" w:line="186"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Prior to each Settlement Date, the Company shall have furnished to the Designated Manager such further information, certificates and documents as the Designated Manager may reasonably request.</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applicable Manager hereunder may be canceled at, or at any time prior to, any Settlement Date, by such Manager with respect to itself only. Notice of such cancellation shall be given to the Company in writing or by telephone or facsimile confirmed in writing. Following any such cancellation by a Manager, this Agreement shall remain in effect as to the other Manager that has not exercised its right to cancel this Agreement pursuant to this Section 6 and any obligations and rights of the Managers under this Agreement shall be satisfied by or afforded to only such other Manager.</w:t>
      </w:r>
    </w:p>
    <w:p>
      <w:pPr>
        <w:spacing w:after="0" w:line="19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Davis Polk &amp; Wardwell LLP, counsel for the Managers, at 450 Lexington Avenue, New York, NY 10017, on each such date as provided in this Agreement.</w:t>
      </w:r>
    </w:p>
    <w:p>
      <w:pPr>
        <w:spacing w:after="0" w:line="170" w:lineRule="exact"/>
        <w:rPr>
          <w:sz w:val="20"/>
          <w:szCs w:val="20"/>
          <w:color w:val="auto"/>
        </w:rPr>
      </w:pPr>
    </w:p>
    <w:p>
      <w:pPr>
        <w:ind w:left="620" w:hanging="184"/>
        <w:spacing w:after="0"/>
        <w:tabs>
          <w:tab w:leader="none" w:pos="62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342" w:lineRule="auto"/>
        <w:tabs>
          <w:tab w:leader="none" w:pos="1233" w:val="left"/>
        </w:tabs>
        <w:numPr>
          <w:ilvl w:val="1"/>
          <w:numId w:val="325"/>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Manager, its affiliates, as such term is defined in Rule 501(b) under the Act (each, an “</w:t>
      </w:r>
      <w:r>
        <w:rPr>
          <w:rFonts w:ascii="Arial" w:cs="Arial" w:eastAsia="Arial" w:hAnsi="Arial"/>
          <w:sz w:val="16"/>
          <w:szCs w:val="16"/>
          <w:b w:val="1"/>
          <w:bCs w:val="1"/>
          <w:color w:val="auto"/>
        </w:rPr>
        <w:t>Affiliate</w:t>
      </w:r>
      <w:r>
        <w:rPr>
          <w:rFonts w:ascii="Arial" w:cs="Arial" w:eastAsia="Arial" w:hAnsi="Arial"/>
          <w:sz w:val="16"/>
          <w:szCs w:val="16"/>
          <w:color w:val="auto"/>
        </w:rPr>
        <w:t>”), the directors, officers, employees and agents of each Manager, and each person who controls such Manager within the meaning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490" w:right="499" w:bottom="1440" w:gutter="0" w:footer="0" w:header="0"/>
        </w:sectPr>
      </w:pPr>
    </w:p>
    <w:bookmarkStart w:id="248" w:name="page249"/>
    <w:bookmarkEnd w:id="24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of either the Act or the Exchange Act and against any loss, claim, damage, liability or expense, as incurred, to which they or any of them may become subject under the Act, the Exchange Act or other federal or state statutory law or regulation, at common law or otherwise (including in settlement of any litigation, if such settlement is effected with the written consent of the Company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or any “issuer information” filed or required to be filed pursuant to Rule 433(d) under the Act, the Base Prospectus, the Prospectus Supplement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 and agrees to reimburse each such indemnified party, for any and all expenses (including the reasonable fees and disbursements of counsel chosen by the indemnified party) as such expenses are reasonably incurred by them in connection with investigating, defending, settling, compromising or paying any such loss, claim, damage, liability, expense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indemnity agreement shall not apply to any loss, claim, damage, liability or expense to the extent, but only to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arising out of or based upon any untrue statement or alleged untrue statement or omission or alleged omission made in reliance upon and in conformity with written information furnished to the Company by or on behalf of such Manager expressly for use in the Registration Statement (or any amendment thereto), any Issuer Free Writing Prospectus or the Prospectus (or any amendment or supplement thereto). This indemnity agreement will be in addition to any liabilities that the Company may otherwise have.</w:t>
      </w:r>
    </w:p>
    <w:p>
      <w:pPr>
        <w:spacing w:after="0" w:line="174" w:lineRule="exact"/>
        <w:rPr>
          <w:sz w:val="20"/>
          <w:szCs w:val="20"/>
          <w:color w:val="auto"/>
        </w:rPr>
      </w:pPr>
    </w:p>
    <w:p>
      <w:pPr>
        <w:ind w:firstLine="987"/>
        <w:spacing w:after="0" w:line="287" w:lineRule="auto"/>
        <w:tabs>
          <w:tab w:leader="none" w:pos="1246"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Each Manager severally, and not jointly, agrees to indemnify and hold harmless the Company, each of its directors, each of its officers who signed the Registration Statement and each person, if any, who controls the Company within the meaning of the Act or the Exchange Act, against any loss, claim, damage, liability or expense, as incurred, to which the Company or any such director, officer or controlling person may become subject, under the Act, the Exchange Act, or other federal or state statutory law or regulation, or at common law or otherwise (including in settlement of any litigation, if such settlement is effected with the written consent of such Manager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or any “issuer information” filed or required to be filed pursuant to Rule 433(d) under the Act, the Base Prospectus, the Prospectus Supplement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490" w:right="499" w:bottom="1440" w:gutter="0" w:footer="0" w:header="0"/>
        </w:sectPr>
      </w:pPr>
    </w:p>
    <w:bookmarkStart w:id="249" w:name="page250"/>
    <w:bookmarkEnd w:id="249"/>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each case to the extent, but only to the extent, that such untrue statement or alleged untrue statement or omission or alleged omission was made in the Registration Statement, the Base Prospectus, any Issuer Free Writing Prospectus, any Prospectus Supplement or any Interim Prospectus Supplement (or any amendment or supplement thereto), in reliance upon and in conformity with written information furnished to the Company by such Manager expressly for use therein; and to reimburse the Company, or any such director, officer or controlling person for any legal and other expense reasonably incurred by the Company, or any such director, officer or controlling person in connection with investigating, defending, settling, compromising or paying any such loss, claim, damage, liability, expense or action. The liability of each Manager shall be in proportion to and limited to the discounts and commissions received by such Manager pursuant to this Agreement in connection with the Shares sold by it pursuant to this Agreement in the specific transaction or transactions giving rise to such Manager’s indemnification obligation. The Company acknowledges that with respect to each Manager,</w:t>
      </w:r>
    </w:p>
    <w:p>
      <w:pPr>
        <w:spacing w:after="0" w:line="1" w:lineRule="exact"/>
        <w:rPr>
          <w:sz w:val="20"/>
          <w:szCs w:val="20"/>
          <w:color w:val="auto"/>
        </w:rPr>
      </w:pPr>
    </w:p>
    <w:p>
      <w:pPr>
        <w:jc w:val="both"/>
        <w:ind w:left="4" w:right="100" w:hanging="4"/>
        <w:spacing w:after="0" w:line="302" w:lineRule="auto"/>
        <w:tabs>
          <w:tab w:leader="none" w:pos="219"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name of such Manager and (ii) the last sentence of the second paragraph, the first sentence of the fourth paragraph and the ninth paragraph under “Plan of Distribution” constitute the only information furnished in writing by or on behalf of such Manager for inclusion in the Registration Statement, the Base Prospectus, any Prospectus Supplement or any Interim Prospectus Supplement (or any amendment or supplement thereto).</w:t>
      </w:r>
    </w:p>
    <w:p>
      <w:pPr>
        <w:spacing w:after="0" w:line="155" w:lineRule="exact"/>
        <w:rPr>
          <w:rFonts w:ascii="Arial" w:cs="Arial" w:eastAsia="Arial" w:hAnsi="Arial"/>
          <w:sz w:val="16"/>
          <w:szCs w:val="16"/>
          <w:color w:val="auto"/>
        </w:rPr>
      </w:pPr>
    </w:p>
    <w:p>
      <w:pPr>
        <w:ind w:left="4" w:firstLine="987"/>
        <w:spacing w:after="0" w:line="285" w:lineRule="auto"/>
        <w:tabs>
          <w:tab w:leader="none" w:pos="124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paragraph (a) or (b) above or to the extent it is not prejudiced (through the forfeiture of substantive rights or defenses)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(i) the indemnified party shall have employed separate counsel in accordance with the proviso to the next preceding sentence (it</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490" w:right="459" w:bottom="1440" w:gutter="0" w:footer="0" w:header="0"/>
        </w:sectPr>
      </w:pPr>
    </w:p>
    <w:bookmarkStart w:id="250" w:name="page251"/>
    <w:bookmarkEnd w:id="250"/>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being understood, however, that the indemnifying party shall not be liable for the expenses of more than one separate counsel (together with local counsel), approved by the indemnifying party (the Managers in the case of Section 7(b) and Section 7(e)), representing the indemnified parties who are parties to such action),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 or (iii) the indemnifying party shall authorize the indemnified party to employ separate counsel at the expense of the indemnifying party.</w:t>
      </w:r>
    </w:p>
    <w:p>
      <w:pPr>
        <w:spacing w:after="0" w:line="192" w:lineRule="exact"/>
        <w:rPr>
          <w:sz w:val="20"/>
          <w:szCs w:val="20"/>
          <w:color w:val="auto"/>
        </w:rPr>
      </w:pPr>
    </w:p>
    <w:p>
      <w:pPr>
        <w:ind w:left="4" w:firstLine="987"/>
        <w:spacing w:after="0" w:line="285" w:lineRule="auto"/>
        <w:tabs>
          <w:tab w:leader="none" w:pos="1247"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The indemnifying party under this Section 7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7(c)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100" w:hanging="4"/>
        <w:spacing w:after="0" w:line="269" w:lineRule="auto"/>
        <w:tabs>
          <w:tab w:leader="none" w:pos="219" w:val="left"/>
        </w:tabs>
        <w:numPr>
          <w:ilvl w:val="0"/>
          <w:numId w:val="329"/>
        </w:numPr>
        <w:rPr>
          <w:rFonts w:ascii="Arial" w:cs="Arial" w:eastAsia="Arial" w:hAnsi="Arial"/>
          <w:sz w:val="17"/>
          <w:szCs w:val="17"/>
          <w:color w:val="auto"/>
        </w:rPr>
      </w:pPr>
      <w:r>
        <w:rPr>
          <w:rFonts w:ascii="Arial" w:cs="Arial" w:eastAsia="Arial" w:hAnsi="Arial"/>
          <w:sz w:val="17"/>
          <w:szCs w:val="17"/>
          <w:color w:val="auto"/>
        </w:rPr>
        <w:t>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180" w:lineRule="exact"/>
        <w:rPr>
          <w:rFonts w:ascii="Arial" w:cs="Arial" w:eastAsia="Arial" w:hAnsi="Arial"/>
          <w:sz w:val="17"/>
          <w:szCs w:val="17"/>
          <w:color w:val="auto"/>
        </w:rPr>
      </w:pPr>
    </w:p>
    <w:p>
      <w:pPr>
        <w:ind w:left="4" w:right="200" w:firstLine="987"/>
        <w:spacing w:after="0" w:line="287" w:lineRule="auto"/>
        <w:tabs>
          <w:tab w:leader="none" w:pos="124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7 is for any reason held to be unavailable to or is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each Manager,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each Manager, on the other hand, in connection with the statements or omissions which resulted in such losses, claims, damages, liabilities or expenses, as well as any other relevant equitable considerations. The relative benefits received by the Company shall be deemed to be equal to the total net proceeds from the offering (net of compensation paid to the Managers but before deducting expenses) received by the Company, and benefits received by each Manager shall be deemed to be equal to the total compensation received by such Manager under Section 3(c) of this Agreement, in each case as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490" w:right="439" w:bottom="1440" w:gutter="0" w:footer="0" w:header="0"/>
        </w:sectPr>
      </w:pPr>
    </w:p>
    <w:bookmarkStart w:id="251" w:name="page252"/>
    <w:bookmarkEnd w:id="25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determined by this Agreement. The relative fault of the Company, on the one hand, and the Manager, on the other hand, shall be determined by reference to, among other things, whether any such untrue or alleged untrue statement of a material fact or omission or alleged omission to state a material fact, on the one hand, or such Manager, on the other hand, and the parties’ relative intent, knowledge, access to information and opportunity to correct or prevent such statement or omission.</w:t>
      </w:r>
    </w:p>
    <w:p>
      <w:pPr>
        <w:spacing w:after="0" w:line="18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Section 7(c), any legal or other fees or expenses reasonably incurred by such party in connection with investigating or defending any action or claim. The provisions set forth in Section 7(c) with respect to notice of commencement of any action shall apply if a claim for contribution is to be made under this Section 7(e);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additional notice shall be required with respect to any action for which notice has been given under Section 7(c) for purposes of indemnification.</w:t>
      </w:r>
    </w:p>
    <w:p>
      <w:pPr>
        <w:spacing w:after="0" w:line="176"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Company and the Managers agree that it would not be just and equitable if contribution pursuant to this Section 7(e) were determined by pro rata allocation (even if the Managers were treated as one entity for such purpose) or by any other method of allocation which does not take account of the equitable considerations referred to in this Section 7(e).</w:t>
      </w:r>
    </w:p>
    <w:p>
      <w:pPr>
        <w:spacing w:after="0" w:line="184"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Notwithstanding the provisions of this Section 7(e), no Manager shall be required to contribute any amount in excess of the discounts and commissions received by such Manager pursuant to this Agreement in connection with the Shares sold by it pursuant to this Agreement (less the aggregate amount of any damages or other amounts such Manager has otherwise been required to pay in respect thereof (pursuant to Section 7(b) or otherwise)). No person guilty of fraudulent misrepresentation (within the meaning of Section 11(f) of the Act) shall be entitled to contribution from any person who was not guilty of such fraudulent misrepresentation. The Managers’ obligations to contribute pursuant to this Section 7(e) are several, and not joint. For purposes of this Section 7(e), each Affiliate, director, officer, employee and agent of a Manager, and each person, if any, who controls a Manager within the meaning of the Act and the Exchange Act shall have the same rights to contribution as such Manager, and each director of the Company or each officer of the Company who signed the Registration Statement, and each person, if any, who controls the Company within the meaning of the Act and the Exchange Act shall have the same rights to contribution as the Company.</w:t>
      </w:r>
    </w:p>
    <w:p>
      <w:pPr>
        <w:spacing w:after="0" w:line="181" w:lineRule="exact"/>
        <w:rPr>
          <w:sz w:val="20"/>
          <w:szCs w:val="20"/>
          <w:color w:val="auto"/>
        </w:rPr>
      </w:pPr>
    </w:p>
    <w:p>
      <w:pPr>
        <w:ind w:left="620" w:hanging="184"/>
        <w:spacing w:after="0"/>
        <w:tabs>
          <w:tab w:leader="none" w:pos="62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57" w:lineRule="auto"/>
        <w:tabs>
          <w:tab w:leader="none" w:pos="1233"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Company shall have the right, by giving written notice as hereinafter specified, to terminate this Agreement in its sole discretion at any time. Any such termination shall be without liability of any party to any other party except that (i) with respect to any pending sale of Shares, through the Designated Manager for the Company, the obligations of the Company, including in respect of compensation of the Designated Manager, shall remain in full force and effect notwithstanding the termination and (ii) the provisions of Sections 5, 7, 9, 10, 12 and 14 of this Agreement shall remain in full force and effect notwithstanding such termination.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490" w:right="459" w:bottom="1440" w:gutter="0" w:footer="0" w:header="0"/>
        </w:sectPr>
      </w:pPr>
    </w:p>
    <w:bookmarkStart w:id="252" w:name="page253"/>
    <w:bookmarkEnd w:id="252"/>
    <w:p>
      <w:pPr>
        <w:ind w:right="60" w:firstLine="987"/>
        <w:spacing w:after="0" w:line="255" w:lineRule="auto"/>
        <w:tabs>
          <w:tab w:leader="none" w:pos="1246" w:val="left"/>
        </w:tabs>
        <w:numPr>
          <w:ilvl w:val="1"/>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Manager shall have the right, by giving written notice as hereinafter specified, to terminate this Agreement at any time, with respect to such Manager only. Any such termination shall be without liability of any party to any other party except that the provisions of Sections 5, 7, 9, 10 and 14 of this Agreement shall remain in full force and effect with respect to such Manager notwithstanding such termination. Following any such termination by a Manager, this Agreement shall remain in effect as to each other Manager that has not exercised its respective right to terminate the provisions of this Agreement pursuant to this Section 8(b) and any obligations and rights of the Managers under this Agreement shall be satisfied by or afforded to only such other Managers.</w:t>
      </w:r>
    </w:p>
    <w:p>
      <w:pPr>
        <w:spacing w:after="0" w:line="192" w:lineRule="exact"/>
        <w:rPr>
          <w:rFonts w:ascii="Arial" w:cs="Arial" w:eastAsia="Arial" w:hAnsi="Arial"/>
          <w:sz w:val="18"/>
          <w:szCs w:val="18"/>
          <w:color w:val="auto"/>
        </w:rPr>
      </w:pPr>
    </w:p>
    <w:p>
      <w:pPr>
        <w:ind w:right="240" w:firstLine="987"/>
        <w:spacing w:after="0" w:line="286" w:lineRule="auto"/>
        <w:tabs>
          <w:tab w:leader="none" w:pos="1233" w:val="left"/>
        </w:tabs>
        <w:numPr>
          <w:ilvl w:val="1"/>
          <w:numId w:val="331"/>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unless terminated pursuant to Sections 8(a) or (b) above or otherwise by mutual agreement of the parties or upon settlement of the sale of all Shares in the aggregate in one or more offerings;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termination by mutual agreement shall in all cases be deemed to provide that Sections 5, 7, 9, 10 and 14 shall remain in full force and effect.</w:t>
      </w:r>
    </w:p>
    <w:p>
      <w:pPr>
        <w:spacing w:after="0" w:line="165" w:lineRule="exact"/>
        <w:rPr>
          <w:rFonts w:ascii="Arial" w:cs="Arial" w:eastAsia="Arial" w:hAnsi="Arial"/>
          <w:sz w:val="17"/>
          <w:szCs w:val="17"/>
          <w:color w:val="auto"/>
        </w:rPr>
      </w:pPr>
    </w:p>
    <w:p>
      <w:pPr>
        <w:ind w:right="20" w:firstLine="987"/>
        <w:spacing w:after="0" w:line="291" w:lineRule="auto"/>
        <w:tabs>
          <w:tab w:leader="none" w:pos="1236" w:val="left"/>
        </w:tabs>
        <w:numPr>
          <w:ilvl w:val="1"/>
          <w:numId w:val="331"/>
        </w:numPr>
        <w:rPr>
          <w:rFonts w:ascii="Arial" w:cs="Arial" w:eastAsia="Arial" w:hAnsi="Arial"/>
          <w:sz w:val="16"/>
          <w:szCs w:val="16"/>
          <w:color w:val="auto"/>
        </w:rPr>
      </w:pPr>
      <w:r>
        <w:rPr>
          <w:rFonts w:ascii="Arial" w:cs="Arial" w:eastAsia="Arial" w:hAnsi="Arial"/>
          <w:sz w:val="16"/>
          <w:szCs w:val="16"/>
          <w:color w:val="auto"/>
        </w:rPr>
        <w:t>Any termination of this Agreement shall be effective on the date specified in such notice of termination. If such termination shall occur prior to the Settlement Date for any sale of the Shares, such sale shall, subject to Section 6 hereof, settle in accordance with the provisions of</w:t>
      </w:r>
    </w:p>
    <w:p>
      <w:pPr>
        <w:spacing w:after="0"/>
        <w:rPr>
          <w:rFonts w:ascii="Arial" w:cs="Arial" w:eastAsia="Arial" w:hAnsi="Arial"/>
          <w:sz w:val="16"/>
          <w:szCs w:val="16"/>
          <w:color w:val="auto"/>
        </w:rPr>
      </w:pPr>
      <w:r>
        <w:rPr>
          <w:rFonts w:ascii="Arial" w:cs="Arial" w:eastAsia="Arial" w:hAnsi="Arial"/>
          <w:sz w:val="18"/>
          <w:szCs w:val="18"/>
          <w:color w:val="auto"/>
        </w:rPr>
        <w:t>Section 3(e) of this Agreement.</w:t>
      </w:r>
    </w:p>
    <w:p>
      <w:pPr>
        <w:spacing w:after="0" w:line="210" w:lineRule="exact"/>
        <w:rPr>
          <w:rFonts w:ascii="Arial" w:cs="Arial" w:eastAsia="Arial" w:hAnsi="Arial"/>
          <w:sz w:val="16"/>
          <w:szCs w:val="16"/>
          <w:color w:val="auto"/>
        </w:rPr>
      </w:pPr>
    </w:p>
    <w:p>
      <w:pPr>
        <w:ind w:firstLine="436"/>
        <w:spacing w:after="0" w:line="259" w:lineRule="auto"/>
        <w:tabs>
          <w:tab w:leader="none" w:pos="62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the officers of the Company and of each Manager set forth in or made pursuant to this Agreement will remain in full force and effect, regardless of any investigation made by a Manager or the Company or any of the officers, directors, employees, agents or controlling persons referred to in Section 7 hereof, and will survive delivery of and payment for the Shares.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w:t>
      </w:r>
    </w:p>
    <w:p>
      <w:pPr>
        <w:spacing w:after="0" w:line="11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If sent to the Managers, will be mailed, telefaxed or transmitted by any standard form of telecommunications (including, for the avoidance of doubt, electronic email) to:</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Evercore Group L.L.C.</w:t>
      </w:r>
    </w:p>
    <w:p>
      <w:pPr>
        <w:spacing w:after="0" w:line="23" w:lineRule="exact"/>
        <w:rPr>
          <w:sz w:val="20"/>
          <w:szCs w:val="20"/>
          <w:color w:val="auto"/>
        </w:rPr>
      </w:pPr>
    </w:p>
    <w:p>
      <w:pPr>
        <w:ind w:left="440" w:right="8380" w:hanging="4"/>
        <w:spacing w:after="0" w:line="218" w:lineRule="auto"/>
        <w:tabs>
          <w:tab w:leader="none" w:pos="66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East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Street, 36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New York 10055 Facsimile: [***]</w:t>
      </w:r>
    </w:p>
    <w:p>
      <w:pPr>
        <w:ind w:left="440"/>
        <w:spacing w:after="0"/>
        <w:rPr>
          <w:rFonts w:ascii="Arial" w:cs="Arial" w:eastAsia="Arial" w:hAnsi="Arial"/>
          <w:sz w:val="18"/>
          <w:szCs w:val="18"/>
          <w:color w:val="auto"/>
        </w:rPr>
      </w:pPr>
      <w:r>
        <w:rPr>
          <w:rFonts w:ascii="Arial" w:cs="Arial" w:eastAsia="Arial" w:hAnsi="Arial"/>
          <w:sz w:val="18"/>
          <w:szCs w:val="18"/>
          <w:color w:val="auto"/>
        </w:rPr>
        <w:t>Attention: Equity Capital Markets</w:t>
      </w:r>
    </w:p>
    <w:p>
      <w:pPr>
        <w:spacing w:after="0" w:line="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490" w:right="479" w:bottom="1440" w:gutter="0" w:footer="0" w:header="0"/>
        </w:sectPr>
      </w:pPr>
    </w:p>
    <w:bookmarkStart w:id="253" w:name="page254"/>
    <w:bookmarkEnd w:id="25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sent to RBC, will be mailed, telefaxed or transmitted by any standard form of telecommunications (including, for the avoidance of doubt, electronic email) to:</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Brookfield Place</w:t>
      </w:r>
    </w:p>
    <w:p>
      <w:pPr>
        <w:ind w:left="440"/>
        <w:spacing w:after="0" w:line="181" w:lineRule="auto"/>
        <w:rPr>
          <w:sz w:val="20"/>
          <w:szCs w:val="20"/>
          <w:color w:val="auto"/>
        </w:rPr>
      </w:pPr>
      <w:r>
        <w:rPr>
          <w:rFonts w:ascii="Arial" w:cs="Arial" w:eastAsia="Arial" w:hAnsi="Arial"/>
          <w:sz w:val="18"/>
          <w:szCs w:val="18"/>
          <w:color w:val="auto"/>
        </w:rPr>
        <w:t>200 Vesey Street,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10281</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440" w:right="8000" w:hanging="4"/>
        <w:spacing w:after="0" w:line="253" w:lineRule="auto"/>
        <w:tabs>
          <w:tab w:leader="none" w:pos="75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Lexington Avenue New York, New York 10017 Facsimile: [***] Attention: Yasin Keshvargar E-mail: [***]</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sent to the Company, will be mailed, telefaxed or transmitted by any standard form of telecommunications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Gaithersburg, Maryland 20879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Jennifer Fox, EVP External Affairs, General Counsel and 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Covington &amp; Burling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CityCenter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850 Tenth Street, NW</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Matthew C. Franker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80"/>
          </w:cols>
          <w:pgMar w:left="440" w:top="490" w:right="979" w:bottom="1440" w:gutter="0" w:footer="0" w:header="0"/>
        </w:sectPr>
      </w:pPr>
    </w:p>
    <w:bookmarkStart w:id="254" w:name="page255"/>
    <w:bookmarkEnd w:id="254"/>
    <w:p>
      <w:pPr>
        <w:ind w:right="100" w:firstLine="436"/>
        <w:spacing w:after="0" w:line="342" w:lineRule="auto"/>
        <w:tabs>
          <w:tab w:leader="none" w:pos="704"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spacing w:after="0" w:line="123" w:lineRule="exact"/>
        <w:rPr>
          <w:rFonts w:ascii="Arial" w:cs="Arial" w:eastAsia="Arial" w:hAnsi="Arial"/>
          <w:sz w:val="16"/>
          <w:szCs w:val="16"/>
          <w:color w:val="auto"/>
        </w:rPr>
      </w:pPr>
    </w:p>
    <w:p>
      <w:pPr>
        <w:ind w:left="700" w:hanging="264"/>
        <w:spacing w:after="0"/>
        <w:tabs>
          <w:tab w:leader="none" w:pos="700"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hereby acknowledges that (a) the purchase and sale of the Shares pursuant to this Agreement is an</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arm’s-length commercial transaction between the Company, on the one hand, and each Manager and any affiliate through which it may be acting, on the other, (b) the Managers are acting solely as sales agent in connection with the purchase and sale of the Company’s securities and not as a fiduciary of the Company and (c) the Company’s engagement of each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 Manager has advised or is currently advising it on related or other matters). The Company agrees that it will not claim that a Manager has rendered advisory services of any nature or respect, or owe an agency, fiduciary or similar duty to the Company, in connection with the transactions contemplated by this Agreement or the process leading thereto.</w:t>
      </w:r>
    </w:p>
    <w:p>
      <w:pPr>
        <w:spacing w:after="0" w:line="180" w:lineRule="exact"/>
        <w:rPr>
          <w:sz w:val="20"/>
          <w:szCs w:val="20"/>
          <w:color w:val="auto"/>
        </w:rPr>
      </w:pPr>
    </w:p>
    <w:p>
      <w:pPr>
        <w:ind w:right="500" w:firstLine="436"/>
        <w:spacing w:after="0" w:line="277" w:lineRule="auto"/>
        <w:tabs>
          <w:tab w:leader="none" w:pos="71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Managers with respect to the subject matter hereof.</w:t>
      </w:r>
    </w:p>
    <w:p>
      <w:pPr>
        <w:spacing w:after="0" w:line="170" w:lineRule="exact"/>
        <w:rPr>
          <w:rFonts w:ascii="Arial" w:cs="Arial" w:eastAsia="Arial" w:hAnsi="Arial"/>
          <w:sz w:val="18"/>
          <w:szCs w:val="18"/>
          <w:color w:val="auto"/>
        </w:rPr>
      </w:pPr>
    </w:p>
    <w:p>
      <w:pPr>
        <w:ind w:right="560" w:firstLine="436"/>
        <w:spacing w:after="0" w:line="277" w:lineRule="auto"/>
        <w:tabs>
          <w:tab w:leader="none" w:pos="701"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 without regard to the principles of conflicts of laws.</w:t>
      </w:r>
    </w:p>
    <w:p>
      <w:pPr>
        <w:spacing w:after="0" w:line="170" w:lineRule="exact"/>
        <w:rPr>
          <w:rFonts w:ascii="Arial" w:cs="Arial" w:eastAsia="Arial" w:hAnsi="Arial"/>
          <w:sz w:val="18"/>
          <w:szCs w:val="18"/>
          <w:color w:val="auto"/>
        </w:rPr>
      </w:pPr>
    </w:p>
    <w:p>
      <w:pPr>
        <w:ind w:right="40" w:firstLine="436"/>
        <w:spacing w:after="0" w:line="277" w:lineRule="auto"/>
        <w:tabs>
          <w:tab w:leader="none" w:pos="707"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Managers hereby irrevocably waive,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40" w:firstLine="436"/>
        <w:spacing w:after="0" w:line="257" w:lineRule="auto"/>
        <w:tabs>
          <w:tab w:leader="none" w:pos="71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in this Agreement are for convenience only and shall not affect the construction hereof.</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59" w:lineRule="auto"/>
        <w:tabs>
          <w:tab w:leader="none" w:pos="123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490" w:right="439" w:bottom="1440" w:gutter="0" w:footer="0" w:header="0"/>
        </w:sectPr>
      </w:pPr>
    </w:p>
    <w:bookmarkStart w:id="255" w:name="page256"/>
    <w:bookmarkEnd w:id="255"/>
    <w:p>
      <w:pPr>
        <w:jc w:val="both"/>
        <w:ind w:firstLine="987"/>
        <w:spacing w:after="0" w:line="259" w:lineRule="auto"/>
        <w:tabs>
          <w:tab w:leader="none" w:pos="1246"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Section 18:</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21" w:lineRule="exact"/>
        <w:rPr>
          <w:sz w:val="20"/>
          <w:szCs w:val="20"/>
          <w:color w:val="auto"/>
        </w:rPr>
      </w:pPr>
    </w:p>
    <w:p>
      <w:pPr>
        <w:ind w:left="1080" w:hanging="221"/>
        <w:spacing w:after="0"/>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1"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shall mean, with respect to any Shares, the time of sale of such Shares pursuant to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Prospectus</w:t>
      </w:r>
      <w:r>
        <w:rPr>
          <w:rFonts w:ascii="Arial" w:cs="Arial" w:eastAsia="Arial" w:hAnsi="Arial"/>
          <w:sz w:val="17"/>
          <w:szCs w:val="17"/>
          <w:color w:val="auto"/>
        </w:rPr>
        <w:t>” shall mean the base prospectus referred to in Section 2(a) above contained in the Registration Statement at the Execution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490" w:right="459" w:bottom="1440" w:gutter="0" w:footer="0" w:header="0"/>
        </w:sectPr>
      </w:pPr>
    </w:p>
    <w:bookmarkStart w:id="256" w:name="page257"/>
    <w:bookmarkEnd w:id="256"/>
    <w:p>
      <w:pPr>
        <w:ind w:right="1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Manager</w:t>
      </w:r>
      <w:r>
        <w:rPr>
          <w:rFonts w:ascii="Arial" w:cs="Arial" w:eastAsia="Arial" w:hAnsi="Arial"/>
          <w:sz w:val="18"/>
          <w:szCs w:val="18"/>
          <w:color w:val="auto"/>
        </w:rPr>
        <w:t>” shall mean, as of any given time, a Manager that the Company has designated as sales agent to sell Shares pursuant to the terms of this Agreement.</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Package</w:t>
      </w:r>
      <w:r>
        <w:rPr>
          <w:rFonts w:ascii="Arial" w:cs="Arial" w:eastAsia="Arial" w:hAnsi="Arial"/>
          <w:sz w:val="18"/>
          <w:szCs w:val="18"/>
          <w:color w:val="auto"/>
        </w:rPr>
        <w:t>” shall mean (i) the Base Prospectus, (ii) the Prospectus Supplement, (iii) the most recently filed Interim Prospectus Supplement, if any, (iv) the Issuer Free Writing Prospectuses, if any, identified in Schedule I hereto and (v) any other Free Writing Prospectus that the parties hereto shall hereafter expressly agree in writing to treat as part of the Disclosure Package.</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each date and time that the Registration Statement and any post-effective amendment or amendments thereto became or becomes effective.</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Writing Prospectus</w:t>
      </w:r>
      <w:r>
        <w:rPr>
          <w:rFonts w:ascii="Arial" w:cs="Arial" w:eastAsia="Arial" w:hAnsi="Arial"/>
          <w:sz w:val="18"/>
          <w:szCs w:val="18"/>
          <w:color w:val="auto"/>
        </w:rPr>
        <w:t>” shall mean a free writing prospectus, as defined in Rule 405.</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Prospectus Supplement</w:t>
      </w:r>
      <w:r>
        <w:rPr>
          <w:rFonts w:ascii="Arial" w:cs="Arial" w:eastAsia="Arial" w:hAnsi="Arial"/>
          <w:sz w:val="18"/>
          <w:szCs w:val="18"/>
          <w:color w:val="auto"/>
        </w:rPr>
        <w:t>” shall mean any prospectus supplement relating to the Shares prepared and filed pursuant to Rule 424(b) from time to time as provided by Section 4(r)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shall mean the Base Prospectus, as supplemented by the Prospectus Supplement and the most recently filed Interim Prospectus Supplement (if any).</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 Supplement</w:t>
      </w:r>
      <w:r>
        <w:rPr>
          <w:rFonts w:ascii="Arial" w:cs="Arial" w:eastAsia="Arial" w:hAnsi="Arial"/>
          <w:sz w:val="18"/>
          <w:szCs w:val="18"/>
          <w:color w:val="auto"/>
        </w:rPr>
        <w:t>” shall mean the most recent prospectus supplement relating to the Shares that was first filed pursuant to Rule 424(b) at or prior to the Execution Time.</w:t>
      </w:r>
    </w:p>
    <w:p>
      <w:pPr>
        <w:spacing w:after="0" w:line="162"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486" w:right="479" w:bottom="1440" w:gutter="0" w:footer="0" w:header="0"/>
        </w:sectPr>
      </w:pPr>
    </w:p>
    <w:bookmarkStart w:id="257" w:name="page258"/>
    <w:bookmarkEnd w:id="257"/>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Rule 158</w:t>
      </w:r>
      <w:r>
        <w:rPr>
          <w:rFonts w:ascii="Arial" w:cs="Arial" w:eastAsia="Arial" w:hAnsi="Arial"/>
          <w:sz w:val="18"/>
          <w:szCs w:val="18"/>
          <w:color w:val="auto"/>
        </w:rPr>
        <w:t>,” “</w:t>
      </w:r>
      <w:r>
        <w:rPr>
          <w:rFonts w:ascii="Arial" w:cs="Arial" w:eastAsia="Arial" w:hAnsi="Arial"/>
          <w:sz w:val="18"/>
          <w:szCs w:val="18"/>
          <w:b w:val="1"/>
          <w:bCs w:val="1"/>
          <w:color w:val="auto"/>
        </w:rPr>
        <w:t>Rule 163</w:t>
      </w:r>
      <w:r>
        <w:rPr>
          <w:rFonts w:ascii="Arial" w:cs="Arial" w:eastAsia="Arial" w:hAnsi="Arial"/>
          <w:sz w:val="18"/>
          <w:szCs w:val="18"/>
          <w:color w:val="auto"/>
        </w:rPr>
        <w:t>,” “</w:t>
      </w:r>
      <w:r>
        <w:rPr>
          <w:rFonts w:ascii="Arial" w:cs="Arial" w:eastAsia="Arial" w:hAnsi="Arial"/>
          <w:sz w:val="18"/>
          <w:szCs w:val="18"/>
          <w:b w:val="1"/>
          <w:bCs w:val="1"/>
          <w:color w:val="auto"/>
        </w:rPr>
        <w:t>Rule 164</w:t>
      </w:r>
      <w:r>
        <w:rPr>
          <w:rFonts w:ascii="Arial" w:cs="Arial" w:eastAsia="Arial" w:hAnsi="Arial"/>
          <w:sz w:val="18"/>
          <w:szCs w:val="18"/>
          <w:color w:val="auto"/>
        </w:rPr>
        <w:t>,” “</w:t>
      </w:r>
      <w:r>
        <w:rPr>
          <w:rFonts w:ascii="Arial" w:cs="Arial" w:eastAsia="Arial" w:hAnsi="Arial"/>
          <w:sz w:val="18"/>
          <w:szCs w:val="18"/>
          <w:b w:val="1"/>
          <w:bCs w:val="1"/>
          <w:color w:val="auto"/>
        </w:rPr>
        <w:t>Rule 172</w:t>
      </w:r>
      <w:r>
        <w:rPr>
          <w:rFonts w:ascii="Arial" w:cs="Arial" w:eastAsia="Arial" w:hAnsi="Arial"/>
          <w:sz w:val="18"/>
          <w:szCs w:val="18"/>
          <w:color w:val="auto"/>
        </w:rPr>
        <w:t>,” “</w:t>
      </w:r>
      <w:r>
        <w:rPr>
          <w:rFonts w:ascii="Arial" w:cs="Arial" w:eastAsia="Arial" w:hAnsi="Arial"/>
          <w:sz w:val="18"/>
          <w:szCs w:val="18"/>
          <w:b w:val="1"/>
          <w:bCs w:val="1"/>
          <w:color w:val="auto"/>
        </w:rPr>
        <w:t>Rule 405</w:t>
      </w:r>
      <w:r>
        <w:rPr>
          <w:rFonts w:ascii="Arial" w:cs="Arial" w:eastAsia="Arial" w:hAnsi="Arial"/>
          <w:sz w:val="18"/>
          <w:szCs w:val="18"/>
          <w:color w:val="auto"/>
        </w:rPr>
        <w:t>,” “</w:t>
      </w:r>
      <w:r>
        <w:rPr>
          <w:rFonts w:ascii="Arial" w:cs="Arial" w:eastAsia="Arial" w:hAnsi="Arial"/>
          <w:sz w:val="18"/>
          <w:szCs w:val="18"/>
          <w:b w:val="1"/>
          <w:bCs w:val="1"/>
          <w:color w:val="auto"/>
        </w:rPr>
        <w:t>Rule 415</w:t>
      </w:r>
      <w:r>
        <w:rPr>
          <w:rFonts w:ascii="Arial" w:cs="Arial" w:eastAsia="Arial" w:hAnsi="Arial"/>
          <w:sz w:val="18"/>
          <w:szCs w:val="18"/>
          <w:color w:val="auto"/>
        </w:rPr>
        <w:t>,” “</w:t>
      </w:r>
      <w:r>
        <w:rPr>
          <w:rFonts w:ascii="Arial" w:cs="Arial" w:eastAsia="Arial" w:hAnsi="Arial"/>
          <w:sz w:val="18"/>
          <w:szCs w:val="18"/>
          <w:b w:val="1"/>
          <w:bCs w:val="1"/>
          <w:color w:val="auto"/>
        </w:rPr>
        <w:t>Rule 424</w:t>
      </w:r>
      <w:r>
        <w:rPr>
          <w:rFonts w:ascii="Arial" w:cs="Arial" w:eastAsia="Arial" w:hAnsi="Arial"/>
          <w:sz w:val="18"/>
          <w:szCs w:val="18"/>
          <w:color w:val="auto"/>
        </w:rPr>
        <w:t>,” “</w:t>
      </w:r>
      <w:r>
        <w:rPr>
          <w:rFonts w:ascii="Arial" w:cs="Arial" w:eastAsia="Arial" w:hAnsi="Arial"/>
          <w:sz w:val="18"/>
          <w:szCs w:val="18"/>
          <w:b w:val="1"/>
          <w:bCs w:val="1"/>
          <w:color w:val="auto"/>
        </w:rPr>
        <w:t>Rule 430B</w:t>
      </w:r>
      <w:r>
        <w:rPr>
          <w:rFonts w:ascii="Arial" w:cs="Arial" w:eastAsia="Arial" w:hAnsi="Arial"/>
          <w:sz w:val="18"/>
          <w:szCs w:val="18"/>
          <w:color w:val="auto"/>
        </w:rPr>
        <w:t>” and “</w:t>
      </w:r>
      <w:r>
        <w:rPr>
          <w:rFonts w:ascii="Arial" w:cs="Arial" w:eastAsia="Arial" w:hAnsi="Arial"/>
          <w:sz w:val="18"/>
          <w:szCs w:val="18"/>
          <w:b w:val="1"/>
          <w:bCs w:val="1"/>
          <w:color w:val="auto"/>
        </w:rPr>
        <w:t>Rule 433</w:t>
      </w:r>
      <w:r>
        <w:rPr>
          <w:rFonts w:ascii="Arial" w:cs="Arial" w:eastAsia="Arial" w:hAnsi="Arial"/>
          <w:sz w:val="18"/>
          <w:szCs w:val="18"/>
          <w:color w:val="auto"/>
        </w:rPr>
        <w:t>” refer to such rules under the Act.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40"/>
          </w:cols>
          <w:pgMar w:left="440" w:top="486" w:right="619" w:bottom="1440" w:gutter="0" w:footer="0" w:header="0"/>
        </w:sectPr>
      </w:pPr>
    </w:p>
    <w:bookmarkStart w:id="258" w:name="page259"/>
    <w:bookmarkEnd w:id="258"/>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and the Managers.</w:t>
      </w:r>
    </w:p>
    <w:p>
      <w:pPr>
        <w:spacing w:after="0" w:line="31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3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Emergent BioSolutions Inc.</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Jennifer L Fox</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Jennifer L Fox</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EVP, External Affairs, General Counsel and</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Corporate Secretary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E</w:t>
      </w:r>
      <w:r>
        <w:rPr>
          <w:rFonts w:ascii="Arial" w:cs="Arial" w:eastAsia="Arial" w:hAnsi="Arial"/>
          <w:sz w:val="14"/>
          <w:szCs w:val="14"/>
          <w:color w:val="auto"/>
        </w:rPr>
        <w:t>QUITY</w:t>
      </w:r>
      <w:r>
        <w:rPr>
          <w:rFonts w:ascii="Arial" w:cs="Arial" w:eastAsia="Arial" w:hAnsi="Arial"/>
          <w:sz w:val="18"/>
          <w:szCs w:val="18"/>
          <w:color w:val="auto"/>
        </w:rPr>
        <w:t xml:space="preserve"> D</w:t>
      </w:r>
      <w:r>
        <w:rPr>
          <w:rFonts w:ascii="Arial" w:cs="Arial" w:eastAsia="Arial" w:hAnsi="Arial"/>
          <w:sz w:val="14"/>
          <w:szCs w:val="14"/>
          <w:color w:val="auto"/>
        </w:rPr>
        <w:t>ISTRIBUTION</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1020"/>
          </w:cols>
          <w:pgMar w:left="440" w:top="490" w:right="4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CONFIRMED AND ACCEPTED,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the date first written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Group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Sachin Aggarwal</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Sachin Aggarwal</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Senior Managing 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RBC Capital Markets,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Page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Mark Page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right"/>
        <w:ind w:right="237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E</w:t>
      </w:r>
      <w:r>
        <w:rPr>
          <w:rFonts w:ascii="Arial" w:cs="Arial" w:eastAsia="Arial" w:hAnsi="Arial"/>
          <w:sz w:val="14"/>
          <w:szCs w:val="14"/>
          <w:color w:val="auto"/>
        </w:rPr>
        <w:t>QUITY</w:t>
      </w:r>
      <w:r>
        <w:rPr>
          <w:rFonts w:ascii="Arial" w:cs="Arial" w:eastAsia="Arial" w:hAnsi="Arial"/>
          <w:sz w:val="18"/>
          <w:szCs w:val="18"/>
          <w:color w:val="auto"/>
        </w:rPr>
        <w:t xml:space="preserve"> D</w:t>
      </w:r>
      <w:r>
        <w:rPr>
          <w:rFonts w:ascii="Arial" w:cs="Arial" w:eastAsia="Arial" w:hAnsi="Arial"/>
          <w:sz w:val="14"/>
          <w:szCs w:val="14"/>
          <w:color w:val="auto"/>
        </w:rPr>
        <w:t>ISTRIBUTION</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019"/>
          </w:cols>
          <w:pgMar w:left="440" w:top="490"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I</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u w:val="single" w:color="auto"/>
          <w:color w:val="auto"/>
        </w:rPr>
        <w:t>Schedule of Free Writing Prospectuses included in the Disclosure Package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580"/>
          </w:cols>
          <w:pgMar w:left="880" w:top="486" w:right="4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u w:val="single" w:color="auto"/>
          <w:color w:val="auto"/>
        </w:rPr>
        <w:t>Form of Placement Notice</w:t>
      </w:r>
    </w:p>
    <w:p>
      <w:pPr>
        <w:sectPr>
          <w:pgSz w:w="11900" w:h="16838" w:orient="portrait"/>
          <w:cols w:equalWidth="0" w:num="1">
            <w:col w:w="10020"/>
          </w:cols>
          <w:pgMar w:left="1440" w:top="486" w:right="4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171450</wp:posOffset>
            </wp:positionV>
            <wp:extent cx="1929130" cy="45402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9291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Emergent’s Statement Regarding its Amended Credit Agreement</w:t>
      </w:r>
    </w:p>
    <w:p>
      <w:pPr>
        <w:spacing w:after="0" w:line="11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GAITHERSBURG, Md., May 17, 2023 </w:t>
      </w:r>
      <w:r>
        <w:rPr>
          <w:rFonts w:ascii="Arial" w:cs="Arial" w:eastAsia="Arial" w:hAnsi="Arial"/>
          <w:sz w:val="17"/>
          <w:szCs w:val="17"/>
          <w:color w:val="auto"/>
        </w:rPr>
        <w:t>– Emergent (NYSE: EBS) completed an amendment and extension of maturity of its existing syndicated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on May 15, 2023. We believe this revised structure and extended maturity furthers our ability to execute on our strategy to stabilize and strengthen our core business and position Emergent for sustainable long-term growth. It follows our successful completion of organizational changes announced in January and the close of the sale of Emergent’s travel health business to Bavarian Nordic on May 15.</w:t>
      </w:r>
    </w:p>
    <w:p>
      <w:pPr>
        <w:spacing w:after="0" w:line="16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“Our amended credit facility represents another important step forward as we continue to strengthen our core businesses and build the foundation for sustainable, long-term growth,” said Emergent CFO Richard S. Lindahl. “Working constructively with our bank group, we have now meaningfully extended our debt maturities and maintained our access to capital as we execute on our sharpened strategic focus.”</w:t>
      </w:r>
    </w:p>
    <w:p>
      <w:pPr>
        <w:spacing w:after="0" w:line="165" w:lineRule="exact"/>
        <w:rPr>
          <w:sz w:val="20"/>
          <w:szCs w:val="20"/>
          <w:color w:val="auto"/>
        </w:rPr>
      </w:pPr>
    </w:p>
    <w:p>
      <w:pPr>
        <w:ind w:right="480"/>
        <w:spacing w:after="0" w:line="352" w:lineRule="auto"/>
        <w:rPr>
          <w:sz w:val="20"/>
          <w:szCs w:val="20"/>
          <w:color w:val="auto"/>
        </w:rPr>
      </w:pPr>
      <w:r>
        <w:rPr>
          <w:rFonts w:ascii="Arial" w:cs="Arial" w:eastAsia="Arial" w:hAnsi="Arial"/>
          <w:sz w:val="16"/>
          <w:szCs w:val="16"/>
          <w:color w:val="auto"/>
        </w:rPr>
        <w:t>With increased certainty regarding our financial obligations, we can increase our focus on delivering on our commitments to the U.S. government, preparing for the launch of over-the-counter NARCAN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Nasal spray, and further strengthening our quality and compliance culture and systems.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This communication may include forward-looking statements within the meaning of the Private Securities Litigation Reform Act of 1995. Any statements, other than statements of historical fact are forward-looking statements. You should not unduly rely on any forward-looking statements, which speak only as of the date of this communication. Investors should consider this cautionary statement, as well as the risk factors identified in our periodic reports filed with the Securities and Exchange Commission, when evaluating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 Hartwig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240-760-0551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hartwigm@ebsi.com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240-631-3280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burrowsr@ebsi.com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EFDFA0"/>
    <w:multiLevelType w:val="hybridMultilevel"/>
    <w:lvl w:ilvl="0">
      <w:lvlJc w:val="left"/>
      <w:lvlText w:val="☐"/>
      <w:numFmt w:val="bullet"/>
      <w:start w:val="1"/>
    </w:lvl>
  </w:abstractNum>
  <w:abstractNum w:abstractNumId="1">
    <w:nsid w:val="2123D5F2"/>
    <w:multiLevelType w:val="hybridMultilevel"/>
    <w:lvl w:ilvl="0">
      <w:lvlJc w:val="left"/>
      <w:lvlText w:val="(%1)"/>
      <w:numFmt w:val="lowerLetter"/>
      <w:start w:val="4"/>
    </w:lvl>
  </w:abstractNum>
  <w:abstractNum w:abstractNumId="2">
    <w:nsid w:val="135B8110"/>
    <w:multiLevelType w:val="hybridMultilevel"/>
    <w:lvl w:ilvl="0">
      <w:lvlJc w:val="left"/>
      <w:lvlText w:val="%1"/>
      <w:numFmt w:val="decimal"/>
      <w:start w:val="104"/>
    </w:lvl>
  </w:abstractNum>
  <w:abstractNum w:abstractNumId="3">
    <w:nsid w:val="94927A8"/>
    <w:multiLevelType w:val="hybridMultilevel"/>
    <w:lvl w:ilvl="0">
      <w:lvlJc w:val="left"/>
      <w:lvlText w:val="(%1)"/>
      <w:numFmt w:val="lowerLetter"/>
      <w:start w:val="25"/>
    </w:lvl>
  </w:abstractNum>
  <w:abstractNum w:abstractNumId="4">
    <w:nsid w:val="DCDF8F6"/>
    <w:multiLevelType w:val="hybridMultilevel"/>
    <w:lvl w:ilvl="0">
      <w:lvlJc w:val="left"/>
      <w:lvlText w:val="(%1)"/>
      <w:numFmt w:val="lowerLetter"/>
      <w:start w:val="1"/>
    </w:lvl>
  </w:abstractNum>
  <w:abstractNum w:abstractNumId="5">
    <w:nsid w:val="52D7B105"/>
    <w:multiLevelType w:val="hybridMultilevel"/>
    <w:lvl w:ilvl="0">
      <w:lvlJc w:val="left"/>
      <w:lvlText w:val="(%1)"/>
      <w:numFmt w:val="lowerRoman"/>
      <w:start w:val="1"/>
    </w:lvl>
  </w:abstractNum>
  <w:abstractNum w:abstractNumId="6">
    <w:nsid w:val="2E8A6394"/>
    <w:multiLevelType w:val="hybridMultilevel"/>
    <w:lvl w:ilvl="0">
      <w:lvlJc w:val="left"/>
      <w:lvlText w:val="%1"/>
      <w:numFmt w:val="lowerLetter"/>
      <w:start w:val="1"/>
    </w:lvl>
    <w:lvl w:ilvl="1">
      <w:lvlJc w:val="left"/>
      <w:lvlText w:val="(%2)"/>
      <w:numFmt w:val="lowerLetter"/>
      <w:start w:val="2"/>
    </w:lvl>
  </w:abstractNum>
  <w:abstractNum w:abstractNumId="7">
    <w:nsid w:val="24E60401"/>
    <w:multiLevelType w:val="hybridMultilevel"/>
    <w:lvl w:ilvl="0">
      <w:lvlJc w:val="left"/>
      <w:lvlText w:val="(%1)"/>
      <w:numFmt w:val="lowerLetter"/>
      <w:start w:val="4"/>
    </w:lvl>
    <w:lvl w:ilvl="1">
      <w:lvlJc w:val="left"/>
      <w:lvlText w:val="%2"/>
      <w:numFmt w:val="lowerLetter"/>
      <w:start w:val="1"/>
    </w:lvl>
  </w:abstractNum>
  <w:abstractNum w:abstractNumId="8">
    <w:nsid w:val="2A6AD9BE"/>
    <w:multiLevelType w:val="hybridMultilevel"/>
    <w:lvl w:ilvl="0">
      <w:lvlJc w:val="left"/>
      <w:lvlText w:val="%1"/>
      <w:numFmt w:val="lowerLetter"/>
      <w:start w:val="1"/>
    </w:lvl>
    <w:lvl w:ilvl="1">
      <w:lvlJc w:val="left"/>
      <w:lvlText w:val="(%2)"/>
      <w:numFmt w:val="lowerLetter"/>
      <w:start w:val="3"/>
    </w:lvl>
  </w:abstractNum>
  <w:abstractNum w:abstractNumId="9">
    <w:nsid w:val="BAAC1B4"/>
    <w:multiLevelType w:val="hybridMultilevel"/>
    <w:lvl w:ilvl="0">
      <w:lvlJc w:val="left"/>
      <w:lvlText w:val="(%1)"/>
      <w:numFmt w:val="lowerLetter"/>
      <w:start w:val="1"/>
    </w:lvl>
    <w:lvl w:ilvl="1">
      <w:lvlJc w:val="left"/>
      <w:lvlText w:val="(%2)"/>
      <w:numFmt w:val="lowerLetter"/>
      <w:start w:val="4"/>
    </w:lvl>
  </w:abstractNum>
  <w:abstractNum w:abstractNumId="10">
    <w:nsid w:val="36B2ACBC"/>
    <w:multiLevelType w:val="hybridMultilevel"/>
    <w:lvl w:ilvl="0">
      <w:lvlJc w:val="left"/>
      <w:lvlText w:val="(%1)"/>
      <w:numFmt w:val="lowerLetter"/>
      <w:start w:val="1"/>
    </w:lvl>
    <w:lvl w:ilvl="1">
      <w:lvlJc w:val="left"/>
      <w:lvlText w:val="(%2)"/>
      <w:numFmt w:val="lowerRoman"/>
      <w:start w:val="1"/>
    </w:lvl>
  </w:abstractNum>
  <w:abstractNum w:abstractNumId="11">
    <w:nsid w:val="779D8544"/>
    <w:multiLevelType w:val="hybridMultilevel"/>
    <w:lvl w:ilvl="0">
      <w:lvlJc w:val="left"/>
      <w:lvlText w:val="(%1)"/>
      <w:numFmt w:val="lowerLetter"/>
      <w:start w:val="2"/>
    </w:lvl>
  </w:abstractNum>
  <w:abstractNum w:abstractNumId="12">
    <w:nsid w:val="4AB26E78"/>
    <w:multiLevelType w:val="hybridMultilevel"/>
    <w:lvl w:ilvl="0">
      <w:lvlJc w:val="left"/>
      <w:lvlText w:val="(%1)"/>
      <w:numFmt w:val="lowerLetter"/>
      <w:start w:val="1"/>
    </w:lvl>
  </w:abstractNum>
  <w:abstractNum w:abstractNumId="13">
    <w:nsid w:val="21FAA2FA"/>
    <w:multiLevelType w:val="hybridMultilevel"/>
    <w:lvl w:ilvl="0">
      <w:lvlJc w:val="left"/>
      <w:lvlText w:val="(%1)"/>
      <w:numFmt w:val="lowerLetter"/>
      <w:start w:val="1"/>
    </w:lvl>
  </w:abstractNum>
  <w:abstractNum w:abstractNumId="14">
    <w:nsid w:val="5451CF49"/>
    <w:multiLevelType w:val="hybridMultilevel"/>
    <w:lvl w:ilvl="0">
      <w:lvlJc w:val="left"/>
      <w:lvlText w:val="(%1)"/>
      <w:numFmt w:val="lowerLetter"/>
      <w:start w:val="4"/>
    </w:lvl>
  </w:abstractNum>
  <w:abstractNum w:abstractNumId="15">
    <w:nsid w:val="6181EF69"/>
    <w:multiLevelType w:val="hybridMultilevel"/>
    <w:lvl w:ilvl="0">
      <w:lvlJc w:val="left"/>
      <w:lvlText w:val="(%1)"/>
      <w:numFmt w:val="lowerLetter"/>
      <w:start w:val="1"/>
    </w:lvl>
  </w:abstractNum>
  <w:abstractNum w:abstractNumId="16">
    <w:nsid w:val="3E6400E6"/>
    <w:multiLevelType w:val="hybridMultilevel"/>
    <w:lvl w:ilvl="0">
      <w:lvlJc w:val="left"/>
      <w:lvlText w:val="*"/>
      <w:numFmt w:val="bullet"/>
      <w:start w:val="1"/>
    </w:lvl>
  </w:abstractNum>
  <w:abstractNum w:abstractNumId="17">
    <w:nsid w:val="14217E23"/>
    <w:multiLevelType w:val="hybridMultilevel"/>
    <w:lvl w:ilvl="0">
      <w:lvlJc w:val="left"/>
      <w:lvlText w:val="(%1)"/>
      <w:numFmt w:val="lowerLetter"/>
      <w:start w:val="1"/>
    </w:lvl>
  </w:abstractNum>
  <w:abstractNum w:abstractNumId="18">
    <w:nsid w:val="710757D0"/>
    <w:multiLevelType w:val="hybridMultilevel"/>
    <w:lvl w:ilvl="0">
      <w:lvlJc w:val="left"/>
      <w:lvlText w:val="(%1)"/>
      <w:numFmt w:val="lowerRoman"/>
      <w:start w:val="7"/>
    </w:lvl>
  </w:abstractNum>
  <w:abstractNum w:abstractNumId="19">
    <w:nsid w:val="5015CD1A"/>
    <w:multiLevelType w:val="hybridMultilevel"/>
    <w:lvl w:ilvl="0">
      <w:lvlJc w:val="left"/>
      <w:lvlText w:val="(%1)"/>
      <w:numFmt w:val="lowerRoman"/>
      <w:start w:val="2"/>
    </w:lvl>
  </w:abstractNum>
  <w:abstractNum w:abstractNumId="20">
    <w:nsid w:val="424479DA"/>
    <w:multiLevelType w:val="hybridMultilevel"/>
    <w:lvl w:ilvl="0">
      <w:lvlJc w:val="left"/>
      <w:lvlText w:val="\ldblquote"/>
      <w:numFmt w:val="bullet"/>
      <w:start w:val="1"/>
    </w:lvl>
  </w:abstractNum>
  <w:abstractNum w:abstractNumId="21">
    <w:nsid w:val="1A9A9E69"/>
    <w:multiLevelType w:val="hybridMultilevel"/>
    <w:lvl w:ilvl="0">
      <w:lvlJc w:val="left"/>
      <w:lvlText w:val="(%1)"/>
      <w:numFmt w:val="lowerRoman"/>
      <w:start w:val="1"/>
    </w:lvl>
  </w:abstractNum>
  <w:abstractNum w:abstractNumId="22">
    <w:nsid w:val="475E256A"/>
    <w:multiLevelType w:val="hybridMultilevel"/>
    <w:lvl w:ilvl="0">
      <w:lvlJc w:val="left"/>
      <w:lvlText w:val="(%1)"/>
      <w:numFmt w:val="lowerLetter"/>
      <w:start w:val="1"/>
    </w:lvl>
  </w:abstractNum>
  <w:abstractNum w:abstractNumId="23">
    <w:nsid w:val="368DB37E"/>
    <w:multiLevelType w:val="hybridMultilevel"/>
    <w:lvl w:ilvl="0">
      <w:lvlJc w:val="left"/>
      <w:lvlText w:val="(%1)"/>
      <w:numFmt w:val="lowerLetter"/>
      <w:start w:val="1"/>
    </w:lvl>
  </w:abstractNum>
  <w:abstractNum w:abstractNumId="24">
    <w:nsid w:val="6A3B714C"/>
    <w:multiLevelType w:val="hybridMultilevel"/>
    <w:lvl w:ilvl="0">
      <w:lvlJc w:val="left"/>
      <w:lvlText w:val="(%1)"/>
      <w:numFmt w:val="lowerRoman"/>
      <w:start w:val="1"/>
    </w:lvl>
  </w:abstractNum>
  <w:abstractNum w:abstractNumId="25">
    <w:nsid w:val="327B517E"/>
    <w:multiLevelType w:val="hybridMultilevel"/>
    <w:lvl w:ilvl="0">
      <w:lvlJc w:val="left"/>
      <w:lvlText w:val="(%1)"/>
      <w:numFmt w:val="lowerLetter"/>
      <w:start w:val="1"/>
    </w:lvl>
  </w:abstractNum>
  <w:abstractNum w:abstractNumId="26">
    <w:nsid w:val="1F461B51"/>
    <w:multiLevelType w:val="hybridMultilevel"/>
    <w:lvl w:ilvl="0">
      <w:lvlJc w:val="left"/>
      <w:lvlText w:val="%1"/>
      <w:numFmt w:val="lowerLetter"/>
      <w:start w:val="1"/>
    </w:lvl>
    <w:lvl w:ilvl="1">
      <w:lvlJc w:val="left"/>
      <w:lvlText w:val="(%2)"/>
      <w:numFmt w:val="lowerLetter"/>
      <w:start w:val="1"/>
    </w:lvl>
  </w:abstractNum>
  <w:abstractNum w:abstractNumId="27">
    <w:nsid w:val="29BACF25"/>
    <w:multiLevelType w:val="hybridMultilevel"/>
    <w:lvl w:ilvl="0">
      <w:lvlJc w:val="left"/>
      <w:lvlText w:val="(%1)"/>
      <w:numFmt w:val="lowerLetter"/>
      <w:start w:val="2"/>
    </w:lvl>
    <w:lvl w:ilvl="1">
      <w:lvlJc w:val="left"/>
      <w:lvlText w:val="%2"/>
      <w:numFmt w:val="lowerLetter"/>
      <w:start w:val="1"/>
    </w:lvl>
  </w:abstractNum>
  <w:abstractNum w:abstractNumId="28">
    <w:nsid w:val="5D5BABB3"/>
    <w:multiLevelType w:val="hybridMultilevel"/>
    <w:lvl w:ilvl="0">
      <w:lvlJc w:val="left"/>
      <w:lvlText w:val="(%1)"/>
      <w:numFmt w:val="lowerLetter"/>
      <w:start w:val="1"/>
    </w:lvl>
  </w:abstractNum>
  <w:abstractNum w:abstractNumId="29">
    <w:nsid w:val="51BF6B48"/>
    <w:multiLevelType w:val="hybridMultilevel"/>
    <w:lvl w:ilvl="0">
      <w:lvlJc w:val="left"/>
      <w:lvlText w:val="%1"/>
      <w:numFmt w:val="lowerLetter"/>
      <w:start w:val="1"/>
    </w:lvl>
    <w:lvl w:ilvl="1">
      <w:lvlJc w:val="left"/>
      <w:lvlText w:val="(%2)"/>
      <w:numFmt w:val="lowerLetter"/>
      <w:start w:val="2"/>
    </w:lvl>
  </w:abstractNum>
  <w:abstractNum w:abstractNumId="30">
    <w:nsid w:val="7E0F6384"/>
    <w:multiLevelType w:val="hybridMultilevel"/>
    <w:lvl w:ilvl="0">
      <w:lvlJc w:val="left"/>
      <w:lvlText w:val="(%1)"/>
      <w:numFmt w:val="lowerLetter"/>
      <w:start w:val="35"/>
    </w:lvl>
    <w:lvl w:ilvl="1">
      <w:lvlJc w:val="left"/>
      <w:lvlText w:val="%2"/>
      <w:numFmt w:val="lowerLetter"/>
      <w:start w:val="1"/>
    </w:lvl>
  </w:abstractNum>
  <w:abstractNum w:abstractNumId="31">
    <w:nsid w:val="2B4B8B53"/>
    <w:multiLevelType w:val="hybridMultilevel"/>
    <w:lvl w:ilvl="0">
      <w:lvlJc w:val="left"/>
      <w:lvlText w:val="(%1)"/>
      <w:numFmt w:val="lowerRoman"/>
      <w:start w:val="1"/>
    </w:lvl>
  </w:abstractNum>
  <w:abstractNum w:abstractNumId="32">
    <w:nsid w:val="72E3413A"/>
    <w:multiLevelType w:val="hybridMultilevel"/>
    <w:lvl w:ilvl="0">
      <w:lvlJc w:val="left"/>
      <w:lvlText w:val="(%1)"/>
      <w:numFmt w:val="lowerLetter"/>
      <w:start w:val="1"/>
    </w:lvl>
    <w:lvl w:ilvl="1">
      <w:lvlJc w:val="left"/>
      <w:lvlText w:val="(%2)"/>
      <w:numFmt w:val="lowerRoman"/>
      <w:start w:val="1"/>
    </w:lvl>
  </w:abstractNum>
  <w:abstractNum w:abstractNumId="33">
    <w:nsid w:val="116AE494"/>
    <w:multiLevelType w:val="hybridMultilevel"/>
    <w:lvl w:ilvl="0">
      <w:lvlJc w:val="left"/>
      <w:lvlText w:val="%1"/>
      <w:numFmt w:val="lowerLetter"/>
      <w:start w:val="1"/>
    </w:lvl>
    <w:lvl w:ilvl="1">
      <w:lvlJc w:val="left"/>
      <w:lvlText w:val="(%2)"/>
      <w:numFmt w:val="lowerRoman"/>
      <w:start w:val="4"/>
    </w:lvl>
  </w:abstractNum>
  <w:abstractNum w:abstractNumId="34">
    <w:nsid w:val="3494B2FB"/>
    <w:multiLevelType w:val="hybridMultilevel"/>
    <w:lvl w:ilvl="0">
      <w:lvlJc w:val="left"/>
      <w:lvlText w:val="(%1)"/>
      <w:numFmt w:val="lowerLetter"/>
      <w:start w:val="3"/>
    </w:lvl>
    <w:lvl w:ilvl="1">
      <w:lvlJc w:val="left"/>
      <w:lvlText w:val="(%2)"/>
      <w:numFmt w:val="lowerRoman"/>
      <w:start w:val="1"/>
    </w:lvl>
  </w:abstractNum>
  <w:abstractNum w:abstractNumId="35">
    <w:nsid w:val="B13A31"/>
    <w:multiLevelType w:val="hybridMultilevel"/>
    <w:lvl w:ilvl="0">
      <w:lvlJc w:val="left"/>
      <w:lvlText w:val="(%1)"/>
      <w:numFmt w:val="lowerLetter"/>
      <w:start w:val="1"/>
    </w:lvl>
  </w:abstractNum>
  <w:abstractNum w:abstractNumId="36">
    <w:nsid w:val="64429599"/>
    <w:multiLevelType w:val="hybridMultilevel"/>
    <w:lvl w:ilvl="0">
      <w:lvlJc w:val="left"/>
      <w:lvlText w:val="(%1)"/>
      <w:numFmt w:val="lowerLetter"/>
      <w:start w:val="1"/>
    </w:lvl>
  </w:abstractNum>
  <w:abstractNum w:abstractNumId="37">
    <w:nsid w:val="631F1690"/>
    <w:multiLevelType w:val="hybridMultilevel"/>
    <w:lvl w:ilvl="0">
      <w:lvlJc w:val="left"/>
      <w:lvlText w:val="(%1)"/>
      <w:numFmt w:val="lowerLetter"/>
      <w:start w:val="4"/>
    </w:lvl>
  </w:abstractNum>
  <w:abstractNum w:abstractNumId="38">
    <w:nsid w:val="25973E32"/>
    <w:multiLevelType w:val="hybridMultilevel"/>
    <w:lvl w:ilvl="0">
      <w:lvlJc w:val="left"/>
      <w:lvlText w:val="(%1)"/>
      <w:numFmt w:val="lowerLetter"/>
      <w:start w:val="1"/>
    </w:lvl>
  </w:abstractNum>
  <w:abstractNum w:abstractNumId="39">
    <w:nsid w:val="EAD6F57"/>
    <w:multiLevelType w:val="hybridMultilevel"/>
    <w:lvl w:ilvl="0">
      <w:lvlJc w:val="left"/>
      <w:lvlText w:val="(%1)"/>
      <w:numFmt w:val="lowerLetter"/>
      <w:start w:val="1"/>
    </w:lvl>
  </w:abstractNum>
  <w:abstractNum w:abstractNumId="40">
    <w:nsid w:val="6EC9D844"/>
    <w:multiLevelType w:val="hybridMultilevel"/>
    <w:lvl w:ilvl="0">
      <w:lvlJc w:val="left"/>
      <w:lvlText w:val="(%1)"/>
      <w:numFmt w:val="lowerLetter"/>
      <w:start w:val="3"/>
    </w:lvl>
  </w:abstractNum>
  <w:abstractNum w:abstractNumId="41">
    <w:nsid w:val="5C49EAEE"/>
    <w:multiLevelType w:val="hybridMultilevel"/>
    <w:lvl w:ilvl="0">
      <w:lvlJc w:val="left"/>
      <w:lvlText w:val="(%1)"/>
      <w:numFmt w:val="lowerLetter"/>
      <w:start w:val="2"/>
    </w:lvl>
  </w:abstractNum>
  <w:abstractNum w:abstractNumId="42">
    <w:nsid w:val="64AF49B"/>
    <w:multiLevelType w:val="hybridMultilevel"/>
    <w:lvl w:ilvl="0">
      <w:lvlJc w:val="left"/>
      <w:lvlText w:val="(%1)"/>
      <w:numFmt w:val="lowerLetter"/>
      <w:start w:val="2"/>
    </w:lvl>
  </w:abstractNum>
  <w:abstractNum w:abstractNumId="43">
    <w:nsid w:val="397C46BC"/>
    <w:multiLevelType w:val="hybridMultilevel"/>
    <w:lvl w:ilvl="0">
      <w:lvlJc w:val="left"/>
      <w:lvlText w:val="(%1)"/>
      <w:numFmt w:val="lowerRoman"/>
      <w:start w:val="2"/>
    </w:lvl>
  </w:abstractNum>
  <w:abstractNum w:abstractNumId="44">
    <w:nsid w:val="7E448DE9"/>
    <w:multiLevelType w:val="hybridMultilevel"/>
    <w:lvl w:ilvl="0">
      <w:lvlJc w:val="left"/>
      <w:lvlText w:val="(%1)"/>
      <w:numFmt w:val="lowerLetter"/>
      <w:start w:val="1"/>
    </w:lvl>
  </w:abstractNum>
  <w:abstractNum w:abstractNumId="45">
    <w:nsid w:val="5A9CC3E5"/>
    <w:multiLevelType w:val="hybridMultilevel"/>
    <w:lvl w:ilvl="0">
      <w:lvlJc w:val="left"/>
      <w:lvlText w:val="(%1)"/>
      <w:numFmt w:val="lowerLetter"/>
      <w:start w:val="2"/>
    </w:lvl>
  </w:abstractNum>
  <w:abstractNum w:abstractNumId="46">
    <w:nsid w:val="1AFE3625"/>
    <w:multiLevelType w:val="hybridMultilevel"/>
    <w:lvl w:ilvl="0">
      <w:lvlJc w:val="left"/>
      <w:lvlText w:val="(%1)"/>
      <w:numFmt w:val="lowerRoman"/>
      <w:start w:val="2"/>
    </w:lvl>
  </w:abstractNum>
  <w:abstractNum w:abstractNumId="47">
    <w:nsid w:val="3CA88ECF"/>
    <w:multiLevelType w:val="hybridMultilevel"/>
    <w:lvl w:ilvl="0">
      <w:lvlJc w:val="left"/>
      <w:lvlText w:val="(%1)"/>
      <w:numFmt w:val="lowerLetter"/>
      <w:start w:val="1"/>
    </w:lvl>
  </w:abstractNum>
  <w:abstractNum w:abstractNumId="48">
    <w:nsid w:val="6EBE4208"/>
    <w:multiLevelType w:val="hybridMultilevel"/>
    <w:lvl w:ilvl="0">
      <w:lvlJc w:val="left"/>
      <w:lvlText w:val="(%1)"/>
      <w:numFmt w:val="lowerLetter"/>
      <w:start w:val="2"/>
    </w:lvl>
  </w:abstractNum>
  <w:abstractNum w:abstractNumId="49">
    <w:nsid w:val="C058DF5"/>
    <w:multiLevelType w:val="hybridMultilevel"/>
    <w:lvl w:ilvl="0">
      <w:lvlJc w:val="left"/>
      <w:lvlText w:val="(%1)"/>
      <w:numFmt w:val="upperLetter"/>
      <w:start w:val="1"/>
    </w:lvl>
  </w:abstractNum>
  <w:abstractNum w:abstractNumId="50">
    <w:nsid w:val="CBE5BE9"/>
    <w:multiLevelType w:val="hybridMultilevel"/>
    <w:lvl w:ilvl="0">
      <w:lvlJc w:val="left"/>
      <w:lvlText w:val="%1"/>
      <w:numFmt w:val="lowerLetter"/>
      <w:start w:val="1"/>
    </w:lvl>
    <w:lvl w:ilvl="1">
      <w:lvlJc w:val="left"/>
      <w:lvlText w:val="(%2)"/>
      <w:numFmt w:val="lowerLetter"/>
      <w:start w:val="1"/>
    </w:lvl>
  </w:abstractNum>
  <w:abstractNum w:abstractNumId="51">
    <w:nsid w:val="3102BBE2"/>
    <w:multiLevelType w:val="hybridMultilevel"/>
    <w:lvl w:ilvl="0">
      <w:lvlJc w:val="left"/>
      <w:lvlText w:val="(%1)"/>
      <w:numFmt w:val="lowerLetter"/>
      <w:start w:val="61"/>
    </w:lvl>
    <w:lvl w:ilvl="1">
      <w:lvlJc w:val="left"/>
      <w:lvlText w:val="(%2)"/>
      <w:numFmt w:val="lowerLetter"/>
      <w:start w:val="2"/>
    </w:lvl>
  </w:abstractNum>
  <w:abstractNum w:abstractNumId="52">
    <w:nsid w:val="26A02C5E"/>
    <w:multiLevelType w:val="hybridMultilevel"/>
    <w:lvl w:ilvl="0">
      <w:lvlJc w:val="left"/>
      <w:lvlText w:val="(%1)"/>
      <w:numFmt w:val="lowerLetter"/>
      <w:start w:val="1"/>
    </w:lvl>
  </w:abstractNum>
  <w:abstractNum w:abstractNumId="53">
    <w:nsid w:val="541C8153"/>
    <w:multiLevelType w:val="hybridMultilevel"/>
    <w:lvl w:ilvl="0">
      <w:lvlJc w:val="left"/>
      <w:lvlText w:val="(%1)"/>
      <w:numFmt w:val="lowerLetter"/>
      <w:start w:val="2"/>
    </w:lvl>
  </w:abstractNum>
  <w:abstractNum w:abstractNumId="54">
    <w:nsid w:val="67906F60"/>
    <w:multiLevelType w:val="hybridMultilevel"/>
    <w:lvl w:ilvl="0">
      <w:lvlJc w:val="left"/>
      <w:lvlText w:val="(%1)"/>
      <w:numFmt w:val="lowerLetter"/>
      <w:start w:val="1"/>
    </w:lvl>
  </w:abstractNum>
  <w:abstractNum w:abstractNumId="55">
    <w:nsid w:val="10DB9DAA"/>
    <w:multiLevelType w:val="hybridMultilevel"/>
    <w:lvl w:ilvl="0">
      <w:lvlJc w:val="left"/>
      <w:lvlText w:val="%1"/>
      <w:numFmt w:val="lowerLetter"/>
      <w:start w:val="1"/>
    </w:lvl>
    <w:lvl w:ilvl="1">
      <w:lvlJc w:val="left"/>
      <w:lvlText w:val="(%2)"/>
      <w:numFmt w:val="lowerLetter"/>
      <w:start w:val="2"/>
    </w:lvl>
  </w:abstractNum>
  <w:abstractNum w:abstractNumId="56">
    <w:nsid w:val="697D2D2"/>
    <w:multiLevelType w:val="hybridMultilevel"/>
    <w:lvl w:ilvl="0">
      <w:lvlJc w:val="left"/>
      <w:lvlText w:val="(%1)"/>
      <w:numFmt w:val="lowerLetter"/>
      <w:start w:val="2"/>
    </w:lvl>
    <w:lvl w:ilvl="1">
      <w:lvlJc w:val="left"/>
      <w:lvlText w:val="%2"/>
      <w:numFmt w:val="lowerLetter"/>
      <w:start w:val="1"/>
    </w:lvl>
  </w:abstractNum>
  <w:abstractNum w:abstractNumId="57">
    <w:nsid w:val="6D68AB2"/>
    <w:multiLevelType w:val="hybridMultilevel"/>
    <w:lvl w:ilvl="0">
      <w:lvlJc w:val="left"/>
      <w:lvlText w:val="(%1)"/>
      <w:numFmt w:val="lowerLetter"/>
      <w:start w:val="2"/>
    </w:lvl>
  </w:abstractNum>
  <w:abstractNum w:abstractNumId="58">
    <w:nsid w:val="3A966CD0"/>
    <w:multiLevelType w:val="hybridMultilevel"/>
    <w:lvl w:ilvl="0">
      <w:lvlJc w:val="left"/>
      <w:lvlText w:val="(%1)"/>
      <w:numFmt w:val="lowerLetter"/>
      <w:start w:val="1"/>
    </w:lvl>
  </w:abstractNum>
  <w:abstractNum w:abstractNumId="59">
    <w:nsid w:val="63F37E85"/>
    <w:multiLevelType w:val="hybridMultilevel"/>
    <w:lvl w:ilvl="0">
      <w:lvlJc w:val="left"/>
      <w:lvlText w:val="(%1)"/>
      <w:numFmt w:val="lowerLetter"/>
      <w:start w:val="3"/>
    </w:lvl>
  </w:abstractNum>
  <w:abstractNum w:abstractNumId="60">
    <w:nsid w:val="5895F5FA"/>
    <w:multiLevelType w:val="hybridMultilevel"/>
    <w:lvl w:ilvl="0">
      <w:lvlJc w:val="left"/>
      <w:lvlText w:val="(%1)"/>
      <w:numFmt w:val="lowerLetter"/>
      <w:start w:val="1"/>
    </w:lvl>
  </w:abstractNum>
  <w:abstractNum w:abstractNumId="61">
    <w:nsid w:val="38A5D054"/>
    <w:multiLevelType w:val="hybridMultilevel"/>
    <w:lvl w:ilvl="0">
      <w:lvlJc w:val="left"/>
      <w:lvlText w:val="(%1)"/>
      <w:numFmt w:val="lowerLetter"/>
      <w:start w:val="1"/>
    </w:lvl>
  </w:abstractNum>
  <w:abstractNum w:abstractNumId="62">
    <w:nsid w:val="F3F09D8"/>
    <w:multiLevelType w:val="hybridMultilevel"/>
    <w:lvl w:ilvl="0">
      <w:lvlJc w:val="left"/>
      <w:lvlText w:val="(%1)"/>
      <w:numFmt w:val="lowerLetter"/>
      <w:start w:val="1"/>
    </w:lvl>
  </w:abstractNum>
  <w:abstractNum w:abstractNumId="63">
    <w:nsid w:val="4B793735"/>
    <w:multiLevelType w:val="hybridMultilevel"/>
    <w:lvl w:ilvl="0">
      <w:lvlJc w:val="left"/>
      <w:lvlText w:val="(%1)"/>
      <w:numFmt w:val="lowerLetter"/>
      <w:start w:val="3"/>
    </w:lvl>
  </w:abstractNum>
  <w:abstractNum w:abstractNumId="64">
    <w:nsid w:val="4A10B4E8"/>
    <w:multiLevelType w:val="hybridMultilevel"/>
    <w:lvl w:ilvl="0">
      <w:lvlJc w:val="left"/>
      <w:lvlText w:val="(%1)"/>
      <w:numFmt w:val="lowerLetter"/>
      <w:start w:val="1"/>
    </w:lvl>
  </w:abstractNum>
  <w:abstractNum w:abstractNumId="65">
    <w:nsid w:val="43D3BCD4"/>
    <w:multiLevelType w:val="hybridMultilevel"/>
    <w:lvl w:ilvl="0">
      <w:lvlJc w:val="left"/>
      <w:lvlText w:val="(%1)"/>
      <w:numFmt w:val="lowerLetter"/>
      <w:start w:val="2"/>
    </w:lvl>
  </w:abstractNum>
  <w:abstractNum w:abstractNumId="66">
    <w:nsid w:val="4C2A7166"/>
    <w:multiLevelType w:val="hybridMultilevel"/>
    <w:lvl w:ilvl="0">
      <w:lvlJc w:val="left"/>
      <w:lvlText w:val="(%1)"/>
      <w:numFmt w:val="lowerLetter"/>
      <w:start w:val="2"/>
    </w:lvl>
  </w:abstractNum>
  <w:abstractNum w:abstractNumId="67">
    <w:nsid w:val="2E534A82"/>
    <w:multiLevelType w:val="hybridMultilevel"/>
    <w:lvl w:ilvl="0">
      <w:lvlJc w:val="left"/>
      <w:lvlText w:val="(%1)"/>
      <w:numFmt w:val="lowerLetter"/>
      <w:start w:val="1"/>
    </w:lvl>
  </w:abstractNum>
  <w:abstractNum w:abstractNumId="68">
    <w:nsid w:val="26F2D364"/>
    <w:multiLevelType w:val="hybridMultilevel"/>
    <w:lvl w:ilvl="0">
      <w:lvlJc w:val="left"/>
      <w:lvlText w:val="(%1)"/>
      <w:numFmt w:val="lowerLetter"/>
      <w:start w:val="1"/>
    </w:lvl>
    <w:lvl w:ilvl="1">
      <w:lvlJc w:val="left"/>
      <w:lvlText w:val="(%2)"/>
      <w:numFmt w:val="lowerRoman"/>
      <w:start w:val="1"/>
    </w:lvl>
  </w:abstractNum>
  <w:abstractNum w:abstractNumId="69">
    <w:nsid w:val="71C1AF98"/>
    <w:multiLevelType w:val="hybridMultilevel"/>
    <w:lvl w:ilvl="0">
      <w:lvlJc w:val="left"/>
      <w:lvlText w:val="%1"/>
      <w:numFmt w:val="upperLetter"/>
      <w:start w:val="1"/>
    </w:lvl>
    <w:lvl w:ilvl="1">
      <w:lvlJc w:val="left"/>
      <w:lvlText w:val="(%2)"/>
      <w:numFmt w:val="lowerRoman"/>
      <w:start w:val="4"/>
    </w:lvl>
  </w:abstractNum>
  <w:abstractNum w:abstractNumId="70">
    <w:nsid w:val="3D00B9D9"/>
    <w:multiLevelType w:val="hybridMultilevel"/>
    <w:lvl w:ilvl="0">
      <w:lvlJc w:val="left"/>
      <w:lvlText w:val="(%1)"/>
      <w:numFmt w:val="upperLetter"/>
      <w:start w:val="1"/>
    </w:lvl>
    <w:lvl w:ilvl="1">
      <w:lvlJc w:val="left"/>
      <w:lvlText w:val="(%2)"/>
      <w:numFmt w:val="lowerRoman"/>
      <w:start w:val="5"/>
    </w:lvl>
  </w:abstractNum>
  <w:abstractNum w:abstractNumId="71">
    <w:nsid w:val="15BCABA8"/>
    <w:multiLevelType w:val="hybridMultilevel"/>
    <w:lvl w:ilvl="0">
      <w:lvlJc w:val="left"/>
      <w:lvlText w:val="(%1)"/>
      <w:numFmt w:val="lowerLetter"/>
      <w:start w:val="3"/>
    </w:lvl>
  </w:abstractNum>
  <w:abstractNum w:abstractNumId="72">
    <w:nsid w:val="4E0B9A87"/>
    <w:multiLevelType w:val="hybridMultilevel"/>
    <w:lvl w:ilvl="0">
      <w:lvlJc w:val="left"/>
      <w:lvlText w:val="%1"/>
      <w:numFmt w:val="upperLetter"/>
      <w:start w:val="1"/>
    </w:lvl>
    <w:lvl w:ilvl="1">
      <w:lvlJc w:val="left"/>
      <w:lvlText w:val="(%2)"/>
      <w:numFmt w:val="lowerLetter"/>
      <w:start w:val="1"/>
    </w:lvl>
  </w:abstractNum>
  <w:abstractNum w:abstractNumId="73">
    <w:nsid w:val="434BAE75"/>
    <w:multiLevelType w:val="hybridMultilevel"/>
    <w:lvl w:ilvl="0">
      <w:lvlJc w:val="left"/>
      <w:lvlText w:val="(%1)"/>
      <w:numFmt w:val="upperLetter"/>
      <w:start w:val="1"/>
    </w:lvl>
    <w:lvl w:ilvl="1">
      <w:lvlJc w:val="left"/>
      <w:lvlText w:val="%2"/>
      <w:numFmt w:val="lowerLetter"/>
      <w:start w:val="1"/>
    </w:lvl>
  </w:abstractNum>
  <w:abstractNum w:abstractNumId="74">
    <w:nsid w:val="4F38F265"/>
    <w:multiLevelType w:val="hybridMultilevel"/>
    <w:lvl w:ilvl="0">
      <w:lvlJc w:val="left"/>
      <w:lvlText w:val="(%1)"/>
      <w:numFmt w:val="lowerLetter"/>
      <w:start w:val="2"/>
    </w:lvl>
  </w:abstractNum>
  <w:abstractNum w:abstractNumId="75">
    <w:nsid w:val="4C502870"/>
    <w:multiLevelType w:val="hybridMultilevel"/>
    <w:lvl w:ilvl="0">
      <w:lvlJc w:val="left"/>
      <w:lvlText w:val="(%1)"/>
      <w:numFmt w:val="lowerLetter"/>
      <w:start w:val="1"/>
    </w:lvl>
    <w:lvl w:ilvl="1">
      <w:lvlJc w:val="left"/>
      <w:lvlText w:val="(%2)"/>
      <w:numFmt w:val="lowerRoman"/>
      <w:start w:val="1"/>
    </w:lvl>
  </w:abstractNum>
  <w:abstractNum w:abstractNumId="76">
    <w:nsid w:val="1DE8725A"/>
    <w:multiLevelType w:val="hybridMultilevel"/>
    <w:lvl w:ilvl="0">
      <w:lvlJc w:val="left"/>
      <w:lvlText w:val="(%1)"/>
      <w:numFmt w:val="lowerLetter"/>
      <w:start w:val="4"/>
    </w:lvl>
  </w:abstractNum>
  <w:abstractNum w:abstractNumId="77">
    <w:nsid w:val="6A37288A"/>
    <w:multiLevelType w:val="hybridMultilevel"/>
    <w:lvl w:ilvl="0">
      <w:lvlJc w:val="left"/>
      <w:lvlText w:val="(%1)"/>
      <w:numFmt w:val="lowerLetter"/>
      <w:start w:val="1"/>
    </w:lvl>
  </w:abstractNum>
  <w:abstractNum w:abstractNumId="78">
    <w:nsid w:val="8F8B73F"/>
    <w:multiLevelType w:val="hybridMultilevel"/>
    <w:lvl w:ilvl="0">
      <w:lvlJc w:val="left"/>
      <w:lvlText w:val="(%1)"/>
      <w:numFmt w:val="lowerLetter"/>
      <w:start w:val="2"/>
    </w:lvl>
  </w:abstractNum>
  <w:abstractNum w:abstractNumId="79">
    <w:nsid w:val="CA6B462"/>
    <w:multiLevelType w:val="hybridMultilevel"/>
    <w:lvl w:ilvl="0">
      <w:lvlJc w:val="left"/>
      <w:lvlText w:val="%1"/>
      <w:numFmt w:val="decimal"/>
      <w:start w:val="1"/>
    </w:lvl>
    <w:lvl w:ilvl="1">
      <w:lvlJc w:val="left"/>
      <w:lvlText w:val="(%2)"/>
      <w:numFmt w:val="lowerLetter"/>
      <w:start w:val="1"/>
    </w:lvl>
  </w:abstractNum>
  <w:abstractNum w:abstractNumId="80">
    <w:nsid w:val="763CB680"/>
    <w:multiLevelType w:val="hybridMultilevel"/>
    <w:lvl w:ilvl="0">
      <w:lvlJc w:val="left"/>
      <w:lvlText w:val="(%1)"/>
      <w:numFmt w:val="decimal"/>
      <w:start w:val="1"/>
    </w:lvl>
    <w:lvl w:ilvl="1">
      <w:lvlJc w:val="left"/>
      <w:lvlText w:val="%2"/>
      <w:numFmt w:val="lowerLetter"/>
      <w:start w:val="1"/>
    </w:lvl>
  </w:abstractNum>
  <w:abstractNum w:abstractNumId="81">
    <w:nsid w:val="15B71329"/>
    <w:multiLevelType w:val="hybridMultilevel"/>
    <w:lvl w:ilvl="0">
      <w:lvlJc w:val="left"/>
      <w:lvlText w:val=","/>
      <w:numFmt w:val="bullet"/>
      <w:start w:val="1"/>
    </w:lvl>
    <w:lvl w:ilvl="1">
      <w:lvlJc w:val="left"/>
      <w:lvlText w:val="(%2)"/>
      <w:numFmt w:val="lowerLetter"/>
      <w:start w:val="3"/>
    </w:lvl>
  </w:abstractNum>
  <w:abstractNum w:abstractNumId="82">
    <w:nsid w:val="3DA97044"/>
    <w:multiLevelType w:val="hybridMultilevel"/>
    <w:lvl w:ilvl="0">
      <w:lvlJc w:val="left"/>
      <w:lvlText w:val="(%1)"/>
      <w:numFmt w:val="lowerLetter"/>
      <w:start w:val="1"/>
    </w:lvl>
  </w:abstractNum>
  <w:abstractNum w:abstractNumId="83">
    <w:nsid w:val="1CDCE2DE"/>
    <w:multiLevelType w:val="hybridMultilevel"/>
    <w:lvl w:ilvl="0">
      <w:lvlJc w:val="left"/>
      <w:lvlText w:val="(%1)"/>
      <w:numFmt w:val="lowerLetter"/>
      <w:start w:val="2"/>
    </w:lvl>
  </w:abstractNum>
  <w:abstractNum w:abstractNumId="84">
    <w:nsid w:val="69D3947C"/>
    <w:multiLevelType w:val="hybridMultilevel"/>
    <w:lvl w:ilvl="0">
      <w:lvlJc w:val="left"/>
      <w:lvlText w:val="(%1)"/>
      <w:numFmt w:val="lowerLetter"/>
      <w:start w:val="1"/>
    </w:lvl>
  </w:abstractNum>
  <w:abstractNum w:abstractNumId="85">
    <w:nsid w:val="2539DFA5"/>
    <w:multiLevelType w:val="hybridMultilevel"/>
    <w:lvl w:ilvl="0">
      <w:lvlJc w:val="left"/>
      <w:lvlText w:val="(%1)"/>
      <w:numFmt w:val="lowerLetter"/>
      <w:start w:val="3"/>
    </w:lvl>
  </w:abstractNum>
  <w:abstractNum w:abstractNumId="86">
    <w:nsid w:val="2DB88089"/>
    <w:multiLevelType w:val="hybridMultilevel"/>
    <w:lvl w:ilvl="0">
      <w:lvlJc w:val="left"/>
      <w:lvlText w:val="(%1)"/>
      <w:numFmt w:val="lowerLetter"/>
      <w:start w:val="1"/>
    </w:lvl>
  </w:abstractNum>
  <w:abstractNum w:abstractNumId="87">
    <w:nsid w:val="706B674E"/>
    <w:multiLevelType w:val="hybridMultilevel"/>
    <w:lvl w:ilvl="0">
      <w:lvlJc w:val="left"/>
      <w:lvlText w:val="%1"/>
      <w:numFmt w:val="lowerLetter"/>
      <w:start w:val="1"/>
    </w:lvl>
    <w:lvl w:ilvl="1">
      <w:lvlJc w:val="left"/>
      <w:lvlText w:val="(%2)"/>
      <w:numFmt w:val="lowerLetter"/>
      <w:start w:val="3"/>
    </w:lvl>
  </w:abstractNum>
  <w:abstractNum w:abstractNumId="88">
    <w:nsid w:val="2C106A57"/>
    <w:multiLevelType w:val="hybridMultilevel"/>
    <w:lvl w:ilvl="0">
      <w:lvlJc w:val="left"/>
      <w:lvlText w:val="(%1)"/>
      <w:numFmt w:val="lowerLetter"/>
      <w:start w:val="9"/>
    </w:lvl>
    <w:lvl w:ilvl="1">
      <w:lvlJc w:val="left"/>
      <w:lvlText w:val="%2"/>
      <w:numFmt w:val="lowerLetter"/>
      <w:start w:val="1"/>
    </w:lvl>
  </w:abstractNum>
  <w:abstractNum w:abstractNumId="89">
    <w:nsid w:val="684EED59"/>
    <w:multiLevelType w:val="hybridMultilevel"/>
    <w:lvl w:ilvl="0">
      <w:lvlJc w:val="left"/>
      <w:lvlText w:val="(%1)"/>
      <w:numFmt w:val="lowerLetter"/>
      <w:start w:val="1"/>
    </w:lvl>
  </w:abstractNum>
  <w:abstractNum w:abstractNumId="90">
    <w:nsid w:val="545EE5D3"/>
    <w:multiLevelType w:val="hybridMultilevel"/>
    <w:lvl w:ilvl="0">
      <w:lvlJc w:val="left"/>
      <w:lvlText w:val="(%1)"/>
      <w:numFmt w:val="lowerRoman"/>
      <w:start w:val="1"/>
    </w:lvl>
    <w:lvl w:ilvl="1">
      <w:lvlJc w:val="left"/>
      <w:lvlText w:val="(%2)"/>
      <w:numFmt w:val="lowerRoman"/>
      <w:start w:val="2"/>
    </w:lvl>
  </w:abstractNum>
  <w:abstractNum w:abstractNumId="91">
    <w:nsid w:val="4A66051"/>
    <w:multiLevelType w:val="hybridMultilevel"/>
    <w:lvl w:ilvl="0">
      <w:lvlJc w:val="left"/>
      <w:lvlText w:val="(%1)"/>
      <w:numFmt w:val="lowerLetter"/>
      <w:start w:val="2"/>
    </w:lvl>
  </w:abstractNum>
  <w:abstractNum w:abstractNumId="92">
    <w:nsid w:val="20F4BDAD"/>
    <w:multiLevelType w:val="hybridMultilevel"/>
    <w:lvl w:ilvl="0">
      <w:lvlJc w:val="left"/>
      <w:lvlText w:val="(%1)"/>
      <w:numFmt w:val="lowerLetter"/>
      <w:start w:val="1"/>
    </w:lvl>
    <w:lvl w:ilvl="1">
      <w:lvlJc w:val="left"/>
      <w:lvlText w:val="(%2)"/>
      <w:numFmt w:val="lowerRoman"/>
      <w:start w:val="1"/>
    </w:lvl>
  </w:abstractNum>
  <w:abstractNum w:abstractNumId="93">
    <w:nsid w:val="639DEFAC"/>
    <w:multiLevelType w:val="hybridMultilevel"/>
    <w:lvl w:ilvl="0">
      <w:lvlJc w:val="left"/>
      <w:lvlText w:val="%1"/>
      <w:numFmt w:val="lowerLetter"/>
      <w:start w:val="1"/>
    </w:lvl>
    <w:lvl w:ilvl="1">
      <w:lvlJc w:val="left"/>
      <w:lvlText w:val="(%2)"/>
      <w:numFmt w:val="lowerRoman"/>
      <w:start w:val="3"/>
    </w:lvl>
  </w:abstractNum>
  <w:abstractNum w:abstractNumId="94">
    <w:nsid w:val="501F9786"/>
    <w:multiLevelType w:val="hybridMultilevel"/>
    <w:lvl w:ilvl="0">
      <w:lvlJc w:val="left"/>
      <w:lvlText w:val="(%1)"/>
      <w:numFmt w:val="lowerLetter"/>
      <w:start w:val="2"/>
    </w:lvl>
    <w:lvl w:ilvl="1">
      <w:lvlJc w:val="left"/>
      <w:lvlText w:val="%2"/>
      <w:numFmt w:val="lowerRoman"/>
      <w:start w:val="1"/>
    </w:lvl>
  </w:abstractNum>
  <w:abstractNum w:abstractNumId="95">
    <w:nsid w:val="6B057295"/>
    <w:multiLevelType w:val="hybridMultilevel"/>
    <w:lvl w:ilvl="0">
      <w:lvlJc w:val="left"/>
      <w:lvlText w:val="(%1)"/>
      <w:numFmt w:val="lowerLetter"/>
      <w:start w:val="3"/>
    </w:lvl>
  </w:abstractNum>
  <w:abstractNum w:abstractNumId="96">
    <w:nsid w:val="2771AC80"/>
    <w:multiLevelType w:val="hybridMultilevel"/>
    <w:lvl w:ilvl="0">
      <w:lvlJc w:val="left"/>
      <w:lvlText w:val="(%1)"/>
      <w:numFmt w:val="lowerLetter"/>
      <w:start w:val="1"/>
    </w:lvl>
  </w:abstractNum>
  <w:abstractNum w:abstractNumId="97">
    <w:nsid w:val="1C4A08EC"/>
    <w:multiLevelType w:val="hybridMultilevel"/>
    <w:lvl w:ilvl="0">
      <w:lvlJc w:val="left"/>
      <w:lvlText w:val="(%1)"/>
      <w:numFmt w:val="lowerLetter"/>
      <w:start w:val="2"/>
    </w:lvl>
  </w:abstractNum>
  <w:abstractNum w:abstractNumId="98">
    <w:nsid w:val="1958BD17"/>
    <w:multiLevelType w:val="hybridMultilevel"/>
    <w:lvl w:ilvl="0">
      <w:lvlJc w:val="left"/>
      <w:lvlText w:val="(%1)"/>
      <w:numFmt w:val="lowerLetter"/>
      <w:start w:val="1"/>
    </w:lvl>
  </w:abstractNum>
  <w:abstractNum w:abstractNumId="99">
    <w:nsid w:val="4E647FE4"/>
    <w:multiLevelType w:val="hybridMultilevel"/>
    <w:lvl w:ilvl="0">
      <w:lvlJc w:val="left"/>
      <w:lvlText w:val="(%1)"/>
      <w:numFmt w:val="lowerLetter"/>
      <w:start w:val="2"/>
    </w:lvl>
  </w:abstractNum>
  <w:abstractNum w:abstractNumId="100">
    <w:nsid w:val="E0BB885"/>
    <w:multiLevelType w:val="hybridMultilevel"/>
    <w:lvl w:ilvl="0">
      <w:lvlJc w:val="left"/>
      <w:lvlText w:val="(%1)"/>
      <w:numFmt w:val="lowerLetter"/>
      <w:start w:val="1"/>
    </w:lvl>
  </w:abstractNum>
  <w:abstractNum w:abstractNumId="101">
    <w:nsid w:val="565976F1"/>
    <w:multiLevelType w:val="hybridMultilevel"/>
    <w:lvl w:ilvl="0">
      <w:lvlJc w:val="left"/>
      <w:lvlText w:val="(%1)"/>
      <w:numFmt w:val="lowerLetter"/>
      <w:start w:val="2"/>
    </w:lvl>
  </w:abstractNum>
  <w:abstractNum w:abstractNumId="102">
    <w:nsid w:val="64212B8C"/>
    <w:multiLevelType w:val="hybridMultilevel"/>
    <w:lvl w:ilvl="0">
      <w:lvlJc w:val="left"/>
      <w:lvlText w:val="(%1)"/>
      <w:numFmt w:val="lowerLetter"/>
      <w:start w:val="1"/>
    </w:lvl>
  </w:abstractNum>
  <w:abstractNum w:abstractNumId="103">
    <w:nsid w:val="5C17530C"/>
    <w:multiLevelType w:val="hybridMultilevel"/>
    <w:lvl w:ilvl="0">
      <w:lvlJc w:val="left"/>
      <w:lvlText w:val="%1"/>
      <w:numFmt w:val="lowerRoman"/>
      <w:start w:val="1"/>
    </w:lvl>
    <w:lvl w:ilvl="1">
      <w:lvlJc w:val="left"/>
      <w:lvlText w:val="(%2)"/>
      <w:numFmt w:val="lowerRoman"/>
      <w:start w:val="1"/>
    </w:lvl>
  </w:abstractNum>
  <w:abstractNum w:abstractNumId="104">
    <w:nsid w:val="19A52566"/>
    <w:multiLevelType w:val="hybridMultilevel"/>
    <w:lvl w:ilvl="0">
      <w:lvlJc w:val="left"/>
      <w:lvlText w:val="(%1)"/>
      <w:numFmt w:val="lowerRoman"/>
      <w:start w:val="4"/>
    </w:lvl>
    <w:lvl w:ilvl="1">
      <w:lvlJc w:val="left"/>
      <w:lvlText w:val="(%2)"/>
      <w:numFmt w:val="lowerRoman"/>
      <w:start w:val="2"/>
    </w:lvl>
  </w:abstractNum>
  <w:abstractNum w:abstractNumId="105">
    <w:nsid w:val="335A1DF1"/>
    <w:multiLevelType w:val="hybridMultilevel"/>
    <w:lvl w:ilvl="0">
      <w:lvlJc w:val="left"/>
      <w:lvlText w:val="(%1)"/>
      <w:numFmt w:val="lowerRoman"/>
      <w:start w:val="3"/>
    </w:lvl>
  </w:abstractNum>
  <w:abstractNum w:abstractNumId="106">
    <w:nsid w:val="28677B7C"/>
    <w:multiLevelType w:val="hybridMultilevel"/>
    <w:lvl w:ilvl="0">
      <w:lvlJc w:val="left"/>
      <w:lvlText w:val="%1"/>
      <w:numFmt w:val="lowerLetter"/>
      <w:start w:val="1"/>
    </w:lvl>
    <w:lvl w:ilvl="1">
      <w:lvlJc w:val="left"/>
      <w:lvlText w:val="(%2)"/>
      <w:numFmt w:val="lowerRoman"/>
      <w:start w:val="7"/>
    </w:lvl>
  </w:abstractNum>
  <w:abstractNum w:abstractNumId="107">
    <w:nsid w:val="378D97C0"/>
    <w:multiLevelType w:val="hybridMultilevel"/>
    <w:lvl w:ilvl="0">
      <w:lvlJc w:val="left"/>
      <w:lvlText w:val="(%1)"/>
      <w:numFmt w:val="lowerLetter"/>
      <w:start w:val="3"/>
    </w:lvl>
    <w:lvl w:ilvl="1">
      <w:lvlJc w:val="left"/>
      <w:lvlText w:val="%2"/>
      <w:numFmt w:val="lowerRoman"/>
      <w:start w:val="1"/>
    </w:lvl>
  </w:abstractNum>
  <w:abstractNum w:abstractNumId="108">
    <w:nsid w:val="1D91467C"/>
    <w:multiLevelType w:val="hybridMultilevel"/>
    <w:lvl w:ilvl="0">
      <w:lvlJc w:val="left"/>
      <w:lvlText w:val="(%1)"/>
      <w:numFmt w:val="lowerLetter"/>
      <w:start w:val="1"/>
    </w:lvl>
  </w:abstractNum>
  <w:abstractNum w:abstractNumId="109">
    <w:nsid w:val="316032BB"/>
    <w:multiLevelType w:val="hybridMultilevel"/>
    <w:lvl w:ilvl="0">
      <w:lvlJc w:val="left"/>
      <w:lvlText w:val="(%1)"/>
      <w:numFmt w:val="lowerLetter"/>
      <w:start w:val="2"/>
    </w:lvl>
  </w:abstractNum>
  <w:abstractNum w:abstractNumId="110">
    <w:nsid w:val="44344C22"/>
    <w:multiLevelType w:val="hybridMultilevel"/>
    <w:lvl w:ilvl="0">
      <w:lvlJc w:val="left"/>
      <w:lvlText w:val="(%1)"/>
      <w:numFmt w:val="lowerLetter"/>
      <w:start w:val="5"/>
    </w:lvl>
  </w:abstractNum>
  <w:abstractNum w:abstractNumId="111">
    <w:nsid w:val="13CDFCFC"/>
    <w:multiLevelType w:val="hybridMultilevel"/>
    <w:lvl w:ilvl="0">
      <w:lvlJc w:val="left"/>
      <w:lvlText w:val="(%1)"/>
      <w:numFmt w:val="lowerLetter"/>
      <w:start w:val="1"/>
    </w:lvl>
  </w:abstractNum>
  <w:abstractNum w:abstractNumId="112">
    <w:nsid w:val="471745E4"/>
    <w:multiLevelType w:val="hybridMultilevel"/>
    <w:lvl w:ilvl="0">
      <w:lvlJc w:val="left"/>
      <w:lvlText w:val="(%1)"/>
      <w:numFmt w:val="lowerLetter"/>
      <w:start w:val="1"/>
    </w:lvl>
    <w:lvl w:ilvl="1">
      <w:lvlJc w:val="left"/>
      <w:lvlText w:val="(%2)"/>
      <w:numFmt w:val="lowerRoman"/>
      <w:start w:val="1"/>
    </w:lvl>
  </w:abstractNum>
  <w:abstractNum w:abstractNumId="113">
    <w:nsid w:val="1DDBC66"/>
    <w:multiLevelType w:val="hybridMultilevel"/>
    <w:lvl w:ilvl="0">
      <w:lvlJc w:val="left"/>
      <w:lvlText w:val="(%1)"/>
      <w:numFmt w:val="lowerLetter"/>
      <w:start w:val="2"/>
    </w:lvl>
  </w:abstractNum>
  <w:abstractNum w:abstractNumId="114">
    <w:nsid w:val="30AADFDA"/>
    <w:multiLevelType w:val="hybridMultilevel"/>
    <w:lvl w:ilvl="0">
      <w:lvlJc w:val="left"/>
      <w:lvlText w:val="(%1)"/>
      <w:numFmt w:val="lowerLetter"/>
      <w:start w:val="1"/>
    </w:lvl>
  </w:abstractNum>
  <w:abstractNum w:abstractNumId="115">
    <w:nsid w:val="30EADA61"/>
    <w:multiLevelType w:val="hybridMultilevel"/>
    <w:lvl w:ilvl="0">
      <w:lvlJc w:val="left"/>
      <w:lvlText w:val="(%1)"/>
      <w:numFmt w:val="lowerRoman"/>
      <w:start w:val="1"/>
    </w:lvl>
  </w:abstractNum>
  <w:abstractNum w:abstractNumId="116">
    <w:nsid w:val="27179C0B"/>
    <w:multiLevelType w:val="hybridMultilevel"/>
    <w:lvl w:ilvl="0">
      <w:lvlJc w:val="left"/>
      <w:lvlText w:val="(%1)"/>
      <w:numFmt w:val="lowerLetter"/>
      <w:start w:val="1"/>
    </w:lvl>
  </w:abstractNum>
  <w:abstractNum w:abstractNumId="117">
    <w:nsid w:val="5E636063"/>
    <w:multiLevelType w:val="hybridMultilevel"/>
    <w:lvl w:ilvl="0">
      <w:lvlJc w:val="left"/>
      <w:lvlText w:val="(%1)"/>
      <w:numFmt w:val="lowerLetter"/>
      <w:start w:val="3"/>
    </w:lvl>
  </w:abstractNum>
  <w:abstractNum w:abstractNumId="118">
    <w:nsid w:val="215641AF"/>
    <w:multiLevelType w:val="hybridMultilevel"/>
    <w:lvl w:ilvl="0">
      <w:lvlJc w:val="left"/>
      <w:lvlText w:val="(%1)"/>
      <w:numFmt w:val="lowerLetter"/>
      <w:start w:val="1"/>
    </w:lvl>
  </w:abstractNum>
  <w:abstractNum w:abstractNumId="119">
    <w:nsid w:val="53280662"/>
    <w:multiLevelType w:val="hybridMultilevel"/>
    <w:lvl w:ilvl="0">
      <w:lvlJc w:val="left"/>
      <w:lvlText w:val="(%1)"/>
      <w:numFmt w:val="upperLetter"/>
      <w:start w:val="9"/>
    </w:lvl>
    <w:lvl w:ilvl="1">
      <w:lvlJc w:val="left"/>
      <w:lvlText w:val="(%2)"/>
      <w:numFmt w:val="lowerLetter"/>
      <w:start w:val="2"/>
    </w:lvl>
  </w:abstractNum>
  <w:abstractNum w:abstractNumId="120">
    <w:nsid w:val="46B24DBC"/>
    <w:multiLevelType w:val="hybridMultilevel"/>
    <w:lvl w:ilvl="0">
      <w:lvlJc w:val="left"/>
      <w:lvlText w:val="(%1)"/>
      <w:numFmt w:val="lowerLetter"/>
      <w:start w:val="3"/>
    </w:lvl>
  </w:abstractNum>
  <w:abstractNum w:abstractNumId="121">
    <w:nsid w:val="75B52783"/>
    <w:multiLevelType w:val="hybridMultilevel"/>
    <w:lvl w:ilvl="0">
      <w:lvlJc w:val="left"/>
      <w:lvlText w:val="(%1)"/>
      <w:numFmt w:val="lowerLetter"/>
      <w:start w:val="3"/>
    </w:lvl>
    <w:lvl w:ilvl="1">
      <w:lvlJc w:val="left"/>
      <w:lvlText w:val="(%2)"/>
      <w:numFmt w:val="lowerRoman"/>
      <w:start w:val="1"/>
    </w:lvl>
  </w:abstractNum>
  <w:abstractNum w:abstractNumId="122">
    <w:nsid w:val="57CE66B4"/>
    <w:multiLevelType w:val="hybridMultilevel"/>
    <w:lvl w:ilvl="0">
      <w:lvlJc w:val="left"/>
      <w:lvlText w:val="(%1)"/>
      <w:numFmt w:val="upperLetter"/>
      <w:start w:val="2"/>
    </w:lvl>
    <w:lvl w:ilvl="1">
      <w:lvlJc w:val="left"/>
      <w:lvlText w:val="(%2)"/>
      <w:numFmt w:val="lowerRoman"/>
      <w:start w:val="5"/>
    </w:lvl>
  </w:abstractNum>
  <w:abstractNum w:abstractNumId="123">
    <w:nsid w:val="67A70B69"/>
    <w:multiLevelType w:val="hybridMultilevel"/>
    <w:lvl w:ilvl="0">
      <w:lvlJc w:val="left"/>
      <w:lvlText w:val="(%1)"/>
      <w:numFmt w:val="upperLetter"/>
      <w:start w:val="35"/>
    </w:lvl>
    <w:lvl w:ilvl="1">
      <w:lvlJc w:val="left"/>
      <w:lvlText w:val="%2"/>
      <w:numFmt w:val="lowerRoman"/>
      <w:start w:val="1"/>
    </w:lvl>
  </w:abstractNum>
  <w:abstractNum w:abstractNumId="124">
    <w:nsid w:val="5953172F"/>
    <w:multiLevelType w:val="hybridMultilevel"/>
    <w:lvl w:ilvl="0">
      <w:lvlJc w:val="left"/>
      <w:lvlText w:val="(%1)"/>
      <w:numFmt w:val="lowerLetter"/>
      <w:start w:val="4"/>
    </w:lvl>
  </w:abstractNum>
  <w:abstractNum w:abstractNumId="125">
    <w:nsid w:val="27EDFE3A"/>
    <w:multiLevelType w:val="hybridMultilevel"/>
    <w:lvl w:ilvl="0">
      <w:lvlJc w:val="left"/>
      <w:lvlText w:val="(%1)"/>
      <w:numFmt w:val="lowerLetter"/>
      <w:start w:val="1"/>
    </w:lvl>
    <w:lvl w:ilvl="1">
      <w:lvlJc w:val="left"/>
      <w:lvlText w:val="(%2)"/>
      <w:numFmt w:val="lowerLetter"/>
      <w:start w:val="9"/>
    </w:lvl>
  </w:abstractNum>
  <w:abstractNum w:abstractNumId="126">
    <w:nsid w:val="52AC7DFF"/>
    <w:multiLevelType w:val="hybridMultilevel"/>
    <w:lvl w:ilvl="0">
      <w:lvlJc w:val="left"/>
      <w:lvlText w:val="(%1)"/>
      <w:numFmt w:val="lowerRoman"/>
      <w:start w:val="2"/>
    </w:lvl>
  </w:abstractNum>
  <w:abstractNum w:abstractNumId="127">
    <w:nsid w:val="C4C3AF"/>
    <w:multiLevelType w:val="hybridMultilevel"/>
    <w:lvl w:ilvl="0">
      <w:lvlJc w:val="left"/>
      <w:lvlText w:val="(%1)"/>
      <w:numFmt w:val="lowerLetter"/>
      <w:start w:val="2"/>
    </w:lvl>
  </w:abstractNum>
  <w:abstractNum w:abstractNumId="128">
    <w:nsid w:val="44380727"/>
    <w:multiLevelType w:val="hybridMultilevel"/>
    <w:lvl w:ilvl="0">
      <w:lvlJc w:val="left"/>
      <w:lvlText w:val="(%1)"/>
      <w:numFmt w:val="lowerLetter"/>
      <w:start w:val="5"/>
    </w:lvl>
  </w:abstractNum>
  <w:abstractNum w:abstractNumId="129">
    <w:nsid w:val="6C053B16"/>
    <w:multiLevelType w:val="hybridMultilevel"/>
    <w:lvl w:ilvl="0">
      <w:lvlJc w:val="left"/>
      <w:lvlText w:val="(%1)"/>
      <w:numFmt w:val="lowerLetter"/>
      <w:start w:val="1"/>
    </w:lvl>
  </w:abstractNum>
  <w:abstractNum w:abstractNumId="130">
    <w:nsid w:val="4F29439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31">
    <w:nsid w:val="5243BFAC"/>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132">
    <w:nsid w:val="425EB207"/>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133">
    <w:nsid w:val="334A6F1F"/>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134">
    <w:nsid w:val="2E5B12B8"/>
    <w:multiLevelType w:val="hybridMultilevel"/>
    <w:lvl w:ilvl="0">
      <w:lvlJc w:val="left"/>
      <w:lvlText w:val="(%1)"/>
      <w:numFmt w:val="upperLetter"/>
      <w:start w:val="4"/>
    </w:lvl>
  </w:abstractNum>
  <w:abstractNum w:abstractNumId="135">
    <w:nsid w:val="5C03D76D"/>
    <w:multiLevelType w:val="hybridMultilevel"/>
    <w:lvl w:ilvl="0">
      <w:lvlJc w:val="left"/>
      <w:lvlText w:val="(%1)"/>
      <w:numFmt w:val="lowerLetter"/>
      <w:start w:val="8"/>
    </w:lvl>
  </w:abstractNum>
  <w:abstractNum w:abstractNumId="136">
    <w:nsid w:val="66A48D11"/>
    <w:multiLevelType w:val="hybridMultilevel"/>
    <w:lvl w:ilvl="0">
      <w:lvlJc w:val="left"/>
      <w:lvlText w:val="%1"/>
      <w:numFmt w:val="lowerLetter"/>
      <w:start w:val="1"/>
    </w:lvl>
    <w:lvl w:ilvl="1">
      <w:lvlJc w:val="left"/>
      <w:lvlText w:val="(%2)"/>
      <w:numFmt w:val="lowerLetter"/>
      <w:start w:val="1"/>
    </w:lvl>
  </w:abstractNum>
  <w:abstractNum w:abstractNumId="137">
    <w:nsid w:val="56C28E34"/>
    <w:multiLevelType w:val="hybridMultilevel"/>
    <w:lvl w:ilvl="0">
      <w:lvlJc w:val="left"/>
      <w:lvlText w:val="(%1)"/>
      <w:numFmt w:val="lowerLetter"/>
      <w:start w:val="35"/>
    </w:lvl>
    <w:lvl w:ilvl="1">
      <w:lvlJc w:val="left"/>
      <w:lvlText w:val="%2"/>
      <w:numFmt w:val="lowerLetter"/>
      <w:start w:val="1"/>
    </w:lvl>
  </w:abstractNum>
  <w:abstractNum w:abstractNumId="138">
    <w:nsid w:val="13916F2D"/>
    <w:multiLevelType w:val="hybridMultilevel"/>
    <w:lvl w:ilvl="0">
      <w:lvlJc w:val="left"/>
      <w:lvlText w:val="(%1)"/>
      <w:numFmt w:val="lowerLetter"/>
      <w:start w:val="2"/>
    </w:lvl>
    <w:lvl w:ilvl="1">
      <w:lvlJc w:val="left"/>
      <w:lvlText w:val="(%2)"/>
      <w:numFmt w:val="lowerRoman"/>
      <w:start w:val="1"/>
    </w:lvl>
  </w:abstractNum>
  <w:abstractNum w:abstractNumId="139">
    <w:nsid w:val="435D38D"/>
    <w:multiLevelType w:val="hybridMultilevel"/>
    <w:lvl w:ilvl="0">
      <w:lvlJc w:val="left"/>
      <w:lvlText w:val="(%1)"/>
      <w:numFmt w:val="lowerLetter"/>
      <w:start w:val="3"/>
    </w:lvl>
  </w:abstractNum>
  <w:abstractNum w:abstractNumId="140">
    <w:nsid w:val="822C0EF"/>
    <w:multiLevelType w:val="hybridMultilevel"/>
    <w:lvl w:ilvl="0">
      <w:lvlJc w:val="left"/>
      <w:lvlText w:val="(%1)"/>
      <w:numFmt w:val="lowerLetter"/>
      <w:start w:val="1"/>
    </w:lvl>
  </w:abstractNum>
  <w:abstractNum w:abstractNumId="141">
    <w:nsid w:val="57C5BB4F"/>
    <w:multiLevelType w:val="hybridMultilevel"/>
    <w:lvl w:ilvl="0">
      <w:lvlJc w:val="left"/>
      <w:lvlText w:val="(%1)"/>
      <w:numFmt w:val="lowerRoman"/>
      <w:start w:val="1"/>
    </w:lvl>
  </w:abstractNum>
  <w:abstractNum w:abstractNumId="142">
    <w:nsid w:val="1803D089"/>
    <w:multiLevelType w:val="hybridMultilevel"/>
    <w:lvl w:ilvl="0">
      <w:lvlJc w:val="left"/>
      <w:lvlText w:val="%1"/>
      <w:numFmt w:val="lowerLetter"/>
      <w:start w:val="1"/>
    </w:lvl>
    <w:lvl w:ilvl="1">
      <w:lvlJc w:val="left"/>
      <w:lvlText w:val="(%2)"/>
      <w:numFmt w:val="upperLetter"/>
      <w:start w:val="1"/>
    </w:lvl>
  </w:abstractNum>
  <w:abstractNum w:abstractNumId="143">
    <w:nsid w:val="4F3A06D4"/>
    <w:multiLevelType w:val="hybridMultilevel"/>
    <w:lvl w:ilvl="0">
      <w:lvlJc w:val="left"/>
      <w:lvlText w:val="(%1)"/>
      <w:numFmt w:val="lowerLetter"/>
      <w:start w:val="25"/>
    </w:lvl>
    <w:lvl w:ilvl="1">
      <w:lvlJc w:val="left"/>
      <w:lvlText w:val="%2"/>
      <w:numFmt w:val="upperLetter"/>
      <w:start w:val="1"/>
    </w:lvl>
  </w:abstractNum>
  <w:abstractNum w:abstractNumId="144">
    <w:nsid w:val="59A377B6"/>
    <w:multiLevelType w:val="hybridMultilevel"/>
    <w:lvl w:ilvl="0">
      <w:lvlJc w:val="left"/>
      <w:lvlText w:val="(%1)"/>
      <w:numFmt w:val="upperLetter"/>
      <w:start w:val="3"/>
    </w:lvl>
    <w:lvl w:ilvl="1">
      <w:lvlJc w:val="left"/>
      <w:lvlText w:val="(%2)"/>
      <w:numFmt w:val="lowerLetter"/>
      <w:start w:val="25"/>
    </w:lvl>
  </w:abstractNum>
  <w:abstractNum w:abstractNumId="145">
    <w:nsid w:val="48AEB063"/>
    <w:multiLevelType w:val="hybridMultilevel"/>
    <w:lvl w:ilvl="0">
      <w:lvlJc w:val="left"/>
      <w:lvlText w:val="(%1)"/>
      <w:numFmt w:val="decimal"/>
      <w:start w:val="2"/>
    </w:lvl>
    <w:lvl w:ilvl="1">
      <w:lvlJc w:val="left"/>
      <w:lvlText w:val="(%2)"/>
      <w:numFmt w:val="lowerRoman"/>
      <w:start w:val="10"/>
    </w:lvl>
  </w:abstractNum>
  <w:abstractNum w:abstractNumId="146">
    <w:nsid w:val="24E135"/>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5"/>
    </w:lvl>
  </w:abstractNum>
  <w:abstractNum w:abstractNumId="147">
    <w:nsid w:val="BB13C1"/>
    <w:multiLevelType w:val="hybridMultilevel"/>
    <w:lvl w:ilvl="0">
      <w:lvlJc w:val="left"/>
      <w:lvlText w:val="%1"/>
      <w:numFmt w:val="lowerLetter"/>
      <w:start w:val="1"/>
    </w:lvl>
    <w:lvl w:ilvl="1">
      <w:lvlJc w:val="left"/>
      <w:lvlText w:val="(%2)"/>
      <w:numFmt w:val="upperLetter"/>
      <w:start w:val="7"/>
    </w:lvl>
    <w:lvl w:ilvl="2">
      <w:lvlJc w:val="left"/>
      <w:lvlText w:val="%3"/>
      <w:numFmt w:val="lowerLetter"/>
      <w:start w:val="1"/>
    </w:lvl>
  </w:abstractNum>
  <w:abstractNum w:abstractNumId="148">
    <w:nsid w:val="271210C7"/>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149">
    <w:nsid w:val="217B22E4"/>
    <w:multiLevelType w:val="hybridMultilevel"/>
    <w:lvl w:ilvl="0">
      <w:lvlJc w:val="left"/>
      <w:lvlText w:val="(%1)"/>
      <w:numFmt w:val="lowerRoman"/>
      <w:start w:val="2"/>
    </w:lvl>
  </w:abstractNum>
  <w:abstractNum w:abstractNumId="150">
    <w:nsid w:val="53E31A24"/>
    <w:multiLevelType w:val="hybridMultilevel"/>
    <w:lvl w:ilvl="0">
      <w:lvlJc w:val="left"/>
      <w:lvlText w:val="(%1)"/>
      <w:numFmt w:val="lowerLetter"/>
      <w:start w:val="1"/>
    </w:lvl>
  </w:abstractNum>
  <w:abstractNum w:abstractNumId="151">
    <w:nsid w:val="6DC45E83"/>
    <w:multiLevelType w:val="hybridMultilevel"/>
    <w:lvl w:ilvl="0">
      <w:lvlJc w:val="left"/>
      <w:lvlText w:val="(%1)"/>
      <w:numFmt w:val="lowerLetter"/>
      <w:start w:val="1"/>
    </w:lvl>
  </w:abstractNum>
  <w:abstractNum w:abstractNumId="152">
    <w:nsid w:val="17304A67"/>
    <w:multiLevelType w:val="hybridMultilevel"/>
    <w:lvl w:ilvl="0">
      <w:lvlJc w:val="left"/>
      <w:lvlText w:val="(%1)"/>
      <w:numFmt w:val="lowerRoman"/>
      <w:start w:val="1"/>
    </w:lvl>
    <w:lvl w:ilvl="1">
      <w:lvlJc w:val="left"/>
      <w:lvlText w:val="(%2)"/>
      <w:numFmt w:val="upperLetter"/>
      <w:start w:val="1"/>
    </w:lvl>
  </w:abstractNum>
  <w:abstractNum w:abstractNumId="153">
    <w:nsid w:val="2BB180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54">
    <w:nsid w:val="556B69E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55">
    <w:nsid w:val="7083619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6">
    <w:nsid w:val="539F7F12"/>
    <w:multiLevelType w:val="hybridMultilevel"/>
    <w:lvl w:ilvl="0">
      <w:lvlJc w:val="left"/>
      <w:lvlText w:val="(%1)"/>
      <w:numFmt w:val="lowerLetter"/>
      <w:start w:val="1"/>
    </w:lvl>
    <w:lvl w:ilvl="1">
      <w:lvlJc w:val="left"/>
      <w:lvlText w:val="(%2)"/>
      <w:numFmt w:val="lowerRoman"/>
      <w:start w:val="1"/>
    </w:lvl>
  </w:abstractNum>
  <w:abstractNum w:abstractNumId="157">
    <w:nsid w:val="2817E7E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8">
    <w:nsid w:val="71482545"/>
    <w:multiLevelType w:val="hybridMultilevel"/>
    <w:lvl w:ilvl="0">
      <w:lvlJc w:val="left"/>
      <w:lvlText w:val="(%1)"/>
      <w:numFmt w:val="lowerLetter"/>
      <w:start w:val="5"/>
    </w:lvl>
    <w:lvl w:ilvl="1">
      <w:lvlJc w:val="left"/>
      <w:lvlText w:val="(%2)"/>
      <w:numFmt w:val="lowerRoman"/>
      <w:start w:val="1"/>
    </w:lvl>
  </w:abstractNum>
  <w:abstractNum w:abstractNumId="159">
    <w:nsid w:val="17D78639"/>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4"/>
    </w:lvl>
    <w:lvl w:ilvl="3">
      <w:lvlJc w:val="left"/>
      <w:lvlText w:val="(%4)"/>
      <w:numFmt w:val="upperLetter"/>
      <w:start w:val="1"/>
    </w:lvl>
  </w:abstractNum>
  <w:abstractNum w:abstractNumId="160">
    <w:nsid w:val="141D230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161">
    <w:nsid w:val="407168D8"/>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162">
    <w:nsid w:val="6A1B45E5"/>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63">
    <w:nsid w:val="567BD50A"/>
    <w:multiLevelType w:val="hybridMultilevel"/>
    <w:lvl w:ilvl="0">
      <w:lvlJc w:val="left"/>
      <w:lvlText w:val="(%1)"/>
      <w:numFmt w:val="lowerRoman"/>
      <w:start w:val="2"/>
    </w:lvl>
  </w:abstractNum>
  <w:abstractNum w:abstractNumId="164">
    <w:nsid w:val="73BBD7F8"/>
    <w:multiLevelType w:val="hybridMultilevel"/>
    <w:lvl w:ilvl="0">
      <w:lvlJc w:val="left"/>
      <w:lvlText w:val="(%1)"/>
      <w:numFmt w:val="lowerLetter"/>
      <w:start w:val="1"/>
    </w:lvl>
  </w:abstractNum>
  <w:abstractNum w:abstractNumId="165">
    <w:nsid w:val="1876589D"/>
    <w:multiLevelType w:val="hybridMultilevel"/>
    <w:lvl w:ilvl="0">
      <w:lvlJc w:val="left"/>
      <w:lvlText w:val="(%1)"/>
      <w:numFmt w:val="lowerLetter"/>
      <w:start w:val="1"/>
    </w:lvl>
  </w:abstractNum>
  <w:abstractNum w:abstractNumId="166">
    <w:nsid w:val="327FAC77"/>
    <w:multiLevelType w:val="hybridMultilevel"/>
    <w:lvl w:ilvl="0">
      <w:lvlJc w:val="left"/>
      <w:lvlText w:val="(%1)"/>
      <w:numFmt w:val="lowerLetter"/>
      <w:start w:val="1"/>
    </w:lvl>
  </w:abstractNum>
  <w:abstractNum w:abstractNumId="167">
    <w:nsid w:val="5A606509"/>
    <w:multiLevelType w:val="hybridMultilevel"/>
    <w:lvl w:ilvl="0">
      <w:lvlJc w:val="left"/>
      <w:lvlText w:val="(%1)"/>
      <w:numFmt w:val="lowerLetter"/>
      <w:start w:val="1"/>
    </w:lvl>
  </w:abstractNum>
  <w:abstractNum w:abstractNumId="168">
    <w:nsid w:val="6F38E6D1"/>
    <w:multiLevelType w:val="hybridMultilevel"/>
    <w:lvl w:ilvl="0">
      <w:lvlJc w:val="left"/>
      <w:lvlText w:val="(%1)"/>
      <w:numFmt w:val="lowerLetter"/>
      <w:start w:val="1"/>
    </w:lvl>
  </w:abstractNum>
  <w:abstractNum w:abstractNumId="169">
    <w:nsid w:val="46111BA5"/>
    <w:multiLevelType w:val="hybridMultilevel"/>
    <w:lvl w:ilvl="0">
      <w:lvlJc w:val="left"/>
      <w:lvlText w:val="(%1)"/>
      <w:numFmt w:val="lowerLetter"/>
      <w:start w:val="2"/>
    </w:lvl>
  </w:abstractNum>
  <w:abstractNum w:abstractNumId="170">
    <w:nsid w:val="5E963896"/>
    <w:multiLevelType w:val="hybridMultilevel"/>
    <w:lvl w:ilvl="0">
      <w:lvlJc w:val="left"/>
      <w:lvlText w:val="(%1)"/>
      <w:numFmt w:val="lowerLetter"/>
      <w:start w:val="1"/>
    </w:lvl>
  </w:abstractNum>
  <w:abstractNum w:abstractNumId="171">
    <w:nsid w:val="775BA7C1"/>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72">
    <w:nsid w:val="1DD6D6F4"/>
    <w:multiLevelType w:val="hybridMultilevel"/>
    <w:lvl w:ilvl="0">
      <w:lvlJc w:val="left"/>
      <w:lvlText w:val="(%1)"/>
      <w:numFmt w:val="lowerRoman"/>
      <w:start w:val="5"/>
    </w:lvl>
    <w:lvl w:ilvl="1">
      <w:lvlJc w:val="left"/>
      <w:lvlText w:val="(%2)"/>
      <w:numFmt w:val="lowerLetter"/>
      <w:start w:val="4"/>
    </w:lvl>
    <w:lvl w:ilvl="2">
      <w:lvlJc w:val="left"/>
      <w:lvlText w:val="(%3)"/>
      <w:numFmt w:val="lowerRoman"/>
      <w:start w:val="1"/>
    </w:lvl>
  </w:abstractNum>
  <w:abstractNum w:abstractNumId="173">
    <w:nsid w:val="769A091F"/>
    <w:multiLevelType w:val="hybridMultilevel"/>
    <w:lvl w:ilvl="0">
      <w:lvlJc w:val="left"/>
      <w:lvlText w:val="(%1)"/>
      <w:numFmt w:val="lowerLetter"/>
      <w:start w:val="1"/>
    </w:lvl>
  </w:abstractNum>
  <w:abstractNum w:abstractNumId="174">
    <w:nsid w:val="4695AE95"/>
    <w:multiLevelType w:val="hybridMultilevel"/>
    <w:lvl w:ilvl="0">
      <w:lvlJc w:val="left"/>
      <w:lvlText w:val="(%1)"/>
      <w:numFmt w:val="lowerLetter"/>
      <w:start w:val="1"/>
    </w:lvl>
  </w:abstractNum>
  <w:abstractNum w:abstractNumId="175">
    <w:nsid w:val="777A4EAA"/>
    <w:multiLevelType w:val="hybridMultilevel"/>
    <w:lvl w:ilvl="0">
      <w:lvlJc w:val="left"/>
      <w:lvlText w:val="(%1)"/>
      <w:numFmt w:val="lowerLetter"/>
      <w:start w:val="6"/>
    </w:lvl>
  </w:abstractNum>
  <w:abstractNum w:abstractNumId="176">
    <w:nsid w:val="3F48B982"/>
    <w:multiLevelType w:val="hybridMultilevel"/>
    <w:lvl w:ilvl="0">
      <w:lvlJc w:val="left"/>
      <w:lvlText w:val="%1"/>
      <w:numFmt w:val="upperLetter"/>
      <w:start w:val="1"/>
    </w:lvl>
    <w:lvl w:ilvl="1">
      <w:lvlJc w:val="left"/>
      <w:lvlText w:val="(%2)"/>
      <w:numFmt w:val="lowerLetter"/>
      <w:start w:val="1"/>
    </w:lvl>
  </w:abstractNum>
  <w:abstractNum w:abstractNumId="177">
    <w:nsid w:val="46BA8FCA"/>
    <w:multiLevelType w:val="hybridMultilevel"/>
    <w:lvl w:ilvl="0">
      <w:lvlJc w:val="left"/>
      <w:lvlText w:val="(%1)"/>
      <w:numFmt w:val="upperLetter"/>
      <w:start w:val="4"/>
    </w:lvl>
    <w:lvl w:ilvl="1">
      <w:lvlJc w:val="left"/>
      <w:lvlText w:val="%2"/>
      <w:numFmt w:val="lowerLetter"/>
      <w:start w:val="1"/>
    </w:lvl>
  </w:abstractNum>
  <w:abstractNum w:abstractNumId="178">
    <w:nsid w:val="7835626C"/>
    <w:multiLevelType w:val="hybridMultilevel"/>
    <w:lvl w:ilvl="0">
      <w:lvlJc w:val="left"/>
      <w:lvlText w:val="(%1)"/>
      <w:numFmt w:val="lowerLetter"/>
      <w:start w:val="2"/>
    </w:lvl>
  </w:abstractNum>
  <w:abstractNum w:abstractNumId="179">
    <w:nsid w:val="665ACA49"/>
    <w:multiLevelType w:val="hybridMultilevel"/>
    <w:lvl w:ilvl="0">
      <w:lvlJc w:val="left"/>
      <w:lvlText w:val="(%1)"/>
      <w:numFmt w:val="lowerLetter"/>
      <w:start w:val="1"/>
    </w:lvl>
  </w:abstractNum>
  <w:abstractNum w:abstractNumId="180">
    <w:nsid w:val="6835B2AE"/>
    <w:multiLevelType w:val="hybridMultilevel"/>
    <w:lvl w:ilvl="0">
      <w:lvlJc w:val="left"/>
      <w:lvlText w:val="(%1)"/>
      <w:numFmt w:val="lowerLetter"/>
      <w:start w:val="4"/>
    </w:lvl>
    <w:lvl w:ilvl="1">
      <w:lvlJc w:val="left"/>
      <w:lvlText w:val="(%2)"/>
      <w:numFmt w:val="lowerRoman"/>
      <w:start w:val="1"/>
    </w:lvl>
  </w:abstractNum>
  <w:abstractNum w:abstractNumId="181">
    <w:nsid w:val="4C187C90"/>
    <w:multiLevelType w:val="hybridMultilevel"/>
    <w:lvl w:ilvl="0">
      <w:lvlJc w:val="left"/>
      <w:lvlText w:val="%1"/>
      <w:numFmt w:val="decimal"/>
      <w:start w:val="1"/>
    </w:lvl>
    <w:lvl w:ilvl="1">
      <w:lvlJc w:val="left"/>
      <w:lvlText w:val="(%2)"/>
      <w:numFmt w:val="lowerLetter"/>
      <w:start w:val="1"/>
    </w:lvl>
  </w:abstractNum>
  <w:abstractNum w:abstractNumId="182">
    <w:nsid w:val="541F28CD"/>
    <w:multiLevelType w:val="hybridMultilevel"/>
    <w:lvl w:ilvl="0">
      <w:lvlJc w:val="left"/>
      <w:lvlText w:val="(%1)"/>
      <w:numFmt w:val="decimal"/>
      <w:start w:val="3"/>
    </w:lvl>
    <w:lvl w:ilvl="1">
      <w:lvlJc w:val="left"/>
      <w:lvlText w:val="(%2)"/>
      <w:numFmt w:val="lowerLetter"/>
      <w:start w:val="3"/>
    </w:lvl>
  </w:abstractNum>
  <w:abstractNum w:abstractNumId="183">
    <w:nsid w:val="7F65FD16"/>
    <w:multiLevelType w:val="hybridMultilevel"/>
    <w:lvl w:ilvl="0">
      <w:lvlJc w:val="left"/>
      <w:lvlText w:val="(%1)"/>
      <w:numFmt w:val="lowerLetter"/>
      <w:start w:val="6"/>
    </w:lvl>
  </w:abstractNum>
  <w:abstractNum w:abstractNumId="184">
    <w:nsid w:val="77C9FD68"/>
    <w:multiLevelType w:val="hybridMultilevel"/>
    <w:lvl w:ilvl="0">
      <w:lvlJc w:val="left"/>
      <w:lvlText w:val="(%1)"/>
      <w:numFmt w:val="lowerLetter"/>
      <w:start w:val="1"/>
    </w:lvl>
  </w:abstractNum>
  <w:abstractNum w:abstractNumId="185">
    <w:nsid w:val="298A92BA"/>
    <w:multiLevelType w:val="hybridMultilevel"/>
    <w:lvl w:ilvl="0">
      <w:lvlJc w:val="left"/>
      <w:lvlText w:val="(%1)"/>
      <w:numFmt w:val="lowerLetter"/>
      <w:start w:val="7"/>
    </w:lvl>
  </w:abstractNum>
  <w:abstractNum w:abstractNumId="186">
    <w:nsid w:val="6FE95EAC"/>
    <w:multiLevelType w:val="hybridMultilevel"/>
    <w:lvl w:ilvl="0">
      <w:lvlJc w:val="left"/>
      <w:lvlText w:val="(%1)"/>
      <w:numFmt w:val="lowerLetter"/>
      <w:start w:val="1"/>
    </w:lvl>
  </w:abstractNum>
  <w:abstractNum w:abstractNumId="187">
    <w:nsid w:val="4B697C7A"/>
    <w:multiLevelType w:val="hybridMultilevel"/>
    <w:lvl w:ilvl="0">
      <w:lvlJc w:val="left"/>
      <w:lvlText w:val="%1"/>
      <w:numFmt w:val="lowerLetter"/>
      <w:start w:val="1"/>
    </w:lvl>
    <w:lvl w:ilvl="1">
      <w:lvlJc w:val="left"/>
      <w:lvlText w:val="(%2)"/>
      <w:numFmt w:val="lowerLetter"/>
      <w:start w:val="5"/>
    </w:lvl>
  </w:abstractNum>
  <w:abstractNum w:abstractNumId="188">
    <w:nsid w:val="51A27AA6"/>
    <w:multiLevelType w:val="hybridMultilevel"/>
    <w:lvl w:ilvl="0">
      <w:lvlJc w:val="left"/>
      <w:lvlText w:val="(%1)"/>
      <w:numFmt w:val="lowerLetter"/>
      <w:start w:val="24"/>
    </w:lvl>
    <w:lvl w:ilvl="1">
      <w:lvlJc w:val="left"/>
      <w:lvlText w:val="(%2)"/>
      <w:numFmt w:val="lowerLetter"/>
      <w:start w:val="7"/>
    </w:lvl>
  </w:abstractNum>
  <w:abstractNum w:abstractNumId="189">
    <w:nsid w:val="613183F2"/>
    <w:multiLevelType w:val="hybridMultilevel"/>
    <w:lvl w:ilvl="0">
      <w:lvlJc w:val="left"/>
      <w:lvlText w:val="(%1)"/>
      <w:numFmt w:val="lowerLetter"/>
      <w:start w:val="1"/>
    </w:lvl>
  </w:abstractNum>
  <w:abstractNum w:abstractNumId="190">
    <w:nsid w:val="634102B4"/>
    <w:multiLevelType w:val="hybridMultilevel"/>
    <w:lvl w:ilvl="0">
      <w:lvlJc w:val="left"/>
      <w:lvlText w:val="(%1)"/>
      <w:numFmt w:val="lowerRoman"/>
      <w:start w:val="2"/>
    </w:lvl>
  </w:abstractNum>
  <w:abstractNum w:abstractNumId="191">
    <w:nsid w:val="65BF9DA8"/>
    <w:multiLevelType w:val="hybridMultilevel"/>
    <w:lvl w:ilvl="0">
      <w:lvlJc w:val="left"/>
      <w:lvlText w:val="(%1)"/>
      <w:numFmt w:val="lowerLetter"/>
      <w:start w:val="1"/>
    </w:lvl>
  </w:abstractNum>
  <w:abstractNum w:abstractNumId="192">
    <w:nsid w:val="21A2ECCA"/>
    <w:multiLevelType w:val="hybridMultilevel"/>
    <w:lvl w:ilvl="0">
      <w:lvlJc w:val="left"/>
      <w:lvlText w:val="(%1)"/>
      <w:numFmt w:val="lowerLetter"/>
      <w:start w:val="4"/>
    </w:lvl>
  </w:abstractNum>
  <w:abstractNum w:abstractNumId="193">
    <w:nsid w:val="4D5C4899"/>
    <w:multiLevelType w:val="hybridMultilevel"/>
    <w:lvl w:ilvl="0">
      <w:lvlJc w:val="left"/>
      <w:lvlText w:val="(%1)"/>
      <w:numFmt w:val="lowerLetter"/>
      <w:start w:val="3"/>
    </w:lvl>
  </w:abstractNum>
  <w:abstractNum w:abstractNumId="194">
    <w:nsid w:val="3C3B72B2"/>
    <w:multiLevelType w:val="hybridMultilevel"/>
    <w:lvl w:ilvl="0">
      <w:lvlJc w:val="left"/>
      <w:lvlText w:val="(%1)"/>
      <w:numFmt w:val="lowerLetter"/>
      <w:start w:val="1"/>
    </w:lvl>
  </w:abstractNum>
  <w:abstractNum w:abstractNumId="195">
    <w:nsid w:val="155EC4C2"/>
    <w:multiLevelType w:val="hybridMultilevel"/>
    <w:lvl w:ilvl="0">
      <w:lvlJc w:val="left"/>
      <w:lvlText w:val="(%1)"/>
      <w:numFmt w:val="lowerLetter"/>
      <w:start w:val="2"/>
    </w:lvl>
  </w:abstractNum>
  <w:abstractNum w:abstractNumId="196">
    <w:nsid w:val="65D2A137"/>
    <w:multiLevelType w:val="hybridMultilevel"/>
    <w:lvl w:ilvl="0">
      <w:lvlJc w:val="left"/>
      <w:lvlText w:val="(%1)"/>
      <w:numFmt w:val="lowerLetter"/>
      <w:start w:val="2"/>
    </w:lvl>
  </w:abstractNum>
  <w:abstractNum w:abstractNumId="197">
    <w:nsid w:val="6EBB1F2A"/>
    <w:multiLevelType w:val="hybridMultilevel"/>
    <w:lvl w:ilvl="0">
      <w:lvlJc w:val="left"/>
      <w:lvlText w:val="%1"/>
      <w:numFmt w:val="lowerLetter"/>
      <w:start w:val="1"/>
    </w:lvl>
    <w:lvl w:ilvl="1">
      <w:lvlJc w:val="left"/>
      <w:lvlText w:val="(%2)"/>
      <w:numFmt w:val="lowerLetter"/>
      <w:start w:val="1"/>
    </w:lvl>
  </w:abstractNum>
  <w:abstractNum w:abstractNumId="198">
    <w:nsid w:val="6FBF29CB"/>
    <w:multiLevelType w:val="hybridMultilevel"/>
    <w:lvl w:ilvl="0">
      <w:lvlJc w:val="left"/>
      <w:lvlText w:val="(%1)"/>
      <w:numFmt w:val="lowerLetter"/>
      <w:start w:val="9"/>
    </w:lvl>
    <w:lvl w:ilvl="1">
      <w:lvlJc w:val="left"/>
      <w:lvlText w:val="%2"/>
      <w:numFmt w:val="lowerLetter"/>
      <w:start w:val="1"/>
    </w:lvl>
  </w:abstractNum>
  <w:abstractNum w:abstractNumId="199">
    <w:nsid w:val="550B8808"/>
    <w:multiLevelType w:val="hybridMultilevel"/>
    <w:lvl w:ilvl="0">
      <w:lvlJc w:val="left"/>
      <w:lvlText w:val="(%1)"/>
      <w:numFmt w:val="lowerLetter"/>
      <w:start w:val="2"/>
    </w:lvl>
  </w:abstractNum>
  <w:abstractNum w:abstractNumId="200">
    <w:nsid w:val="34CC3ACF"/>
    <w:multiLevelType w:val="hybridMultilevel"/>
    <w:lvl w:ilvl="0">
      <w:lvlJc w:val="left"/>
      <w:lvlText w:val="(%1)"/>
      <w:numFmt w:val="lowerLetter"/>
      <w:start w:val="1"/>
    </w:lvl>
  </w:abstractNum>
  <w:abstractNum w:abstractNumId="201">
    <w:nsid w:val="4E556261"/>
    <w:multiLevelType w:val="hybridMultilevel"/>
    <w:lvl w:ilvl="0">
      <w:lvlJc w:val="left"/>
      <w:lvlText w:val="(%1)"/>
      <w:numFmt w:val="lowerLetter"/>
      <w:start w:val="9"/>
    </w:lvl>
  </w:abstractNum>
  <w:abstractNum w:abstractNumId="202">
    <w:nsid w:val="4C672FC9"/>
    <w:multiLevelType w:val="hybridMultilevel"/>
    <w:lvl w:ilvl="0">
      <w:lvlJc w:val="left"/>
      <w:lvlText w:val="(%1)"/>
      <w:numFmt w:val="lowerLetter"/>
      <w:start w:val="18"/>
    </w:lvl>
  </w:abstractNum>
  <w:abstractNum w:abstractNumId="203">
    <w:nsid w:val="52A311C3"/>
    <w:multiLevelType w:val="hybridMultilevel"/>
    <w:lvl w:ilvl="0">
      <w:lvlJc w:val="left"/>
      <w:lvlText w:val="(%1)"/>
      <w:numFmt w:val="lowerLetter"/>
      <w:start w:val="1"/>
    </w:lvl>
  </w:abstractNum>
  <w:abstractNum w:abstractNumId="204">
    <w:nsid w:val="44EF6B80"/>
    <w:multiLevelType w:val="hybridMultilevel"/>
    <w:lvl w:ilvl="0">
      <w:lvlJc w:val="left"/>
      <w:lvlText w:val="(%1)"/>
      <w:numFmt w:val="lowerLetter"/>
      <w:start w:val="7"/>
    </w:lvl>
    <w:lvl w:ilvl="1">
      <w:lvlJc w:val="left"/>
      <w:lvlText w:val="(%2)"/>
      <w:numFmt w:val="lowerRoman"/>
      <w:start w:val="1"/>
    </w:lvl>
  </w:abstractNum>
  <w:abstractNum w:abstractNumId="205">
    <w:nsid w:val="12FCDE5E"/>
    <w:multiLevelType w:val="hybridMultilevel"/>
    <w:lvl w:ilvl="0">
      <w:lvlJc w:val="left"/>
      <w:lvlText w:val="(%1)"/>
      <w:numFmt w:val="lowerLetter"/>
      <w:start w:val="9"/>
    </w:lvl>
  </w:abstractNum>
  <w:abstractNum w:abstractNumId="206">
    <w:nsid w:val="4A1D606E"/>
    <w:multiLevelType w:val="hybridMultilevel"/>
    <w:lvl w:ilvl="0">
      <w:lvlJc w:val="left"/>
      <w:lvlText w:val="(%1)"/>
      <w:numFmt w:val="lowerLetter"/>
      <w:start w:val="13"/>
    </w:lvl>
  </w:abstractNum>
  <w:abstractNum w:abstractNumId="207">
    <w:nsid w:val="4382503"/>
    <w:multiLevelType w:val="hybridMultilevel"/>
    <w:lvl w:ilvl="0">
      <w:lvlJc w:val="left"/>
      <w:lvlText w:val="%1"/>
      <w:numFmt w:val="lowerLetter"/>
      <w:start w:val="1"/>
    </w:lvl>
    <w:lvl w:ilvl="1">
      <w:lvlJc w:val="left"/>
      <w:lvlText w:val="(%2)"/>
      <w:numFmt w:val="lowerLetter"/>
      <w:start w:val="1"/>
    </w:lvl>
  </w:abstractNum>
  <w:abstractNum w:abstractNumId="208">
    <w:nsid w:val="59B76E28"/>
    <w:multiLevelType w:val="hybridMultilevel"/>
    <w:lvl w:ilvl="0">
      <w:lvlJc w:val="left"/>
      <w:lvlText w:val="(%1)"/>
      <w:numFmt w:val="lowerLetter"/>
      <w:start w:val="35"/>
    </w:lvl>
    <w:lvl w:ilvl="1">
      <w:lvlJc w:val="left"/>
      <w:lvlText w:val="%2"/>
      <w:numFmt w:val="lowerLetter"/>
      <w:start w:val="1"/>
    </w:lvl>
  </w:abstractNum>
  <w:abstractNum w:abstractNumId="209">
    <w:nsid w:val="4252C2DA"/>
    <w:multiLevelType w:val="hybridMultilevel"/>
    <w:lvl w:ilvl="0">
      <w:lvlJc w:val="left"/>
      <w:lvlText w:val="%1"/>
      <w:numFmt w:val="lowerRoman"/>
      <w:start w:val="1"/>
    </w:lvl>
    <w:lvl w:ilvl="1">
      <w:lvlJc w:val="left"/>
      <w:lvlText w:val="(%2)"/>
      <w:numFmt w:val="lowerLetter"/>
      <w:start w:val="4"/>
    </w:lvl>
  </w:abstractNum>
  <w:abstractNum w:abstractNumId="210">
    <w:nsid w:val="6A92EF4C"/>
    <w:multiLevelType w:val="hybridMultilevel"/>
    <w:lvl w:ilvl="0">
      <w:lvlJc w:val="left"/>
      <w:lvlText w:val="(%1)"/>
      <w:numFmt w:val="lowerRoman"/>
      <w:start w:val="2"/>
    </w:lvl>
    <w:lvl w:ilvl="1">
      <w:lvlJc w:val="left"/>
      <w:lvlText w:val="(%2)"/>
      <w:numFmt w:val="lowerLetter"/>
      <w:start w:val="5"/>
    </w:lvl>
  </w:abstractNum>
  <w:abstractNum w:abstractNumId="211">
    <w:nsid w:val="41ED20D7"/>
    <w:multiLevelType w:val="hybridMultilevel"/>
    <w:lvl w:ilvl="0">
      <w:lvlJc w:val="left"/>
      <w:lvlText w:val="(%1)"/>
      <w:numFmt w:val="lowerLetter"/>
      <w:start w:val="9"/>
    </w:lvl>
    <w:lvl w:ilvl="1">
      <w:lvlJc w:val="left"/>
      <w:lvlText w:val="(%2)"/>
      <w:numFmt w:val="lowerLetter"/>
      <w:start w:val="6"/>
    </w:lvl>
  </w:abstractNum>
  <w:abstractNum w:abstractNumId="212">
    <w:nsid w:val="E6B3F6A"/>
    <w:multiLevelType w:val="hybridMultilevel"/>
    <w:lvl w:ilvl="0">
      <w:lvlJc w:val="left"/>
      <w:lvlText w:val="(%1)"/>
      <w:numFmt w:val="lowerRoman"/>
      <w:start w:val="1"/>
    </w:lvl>
  </w:abstractNum>
  <w:abstractNum w:abstractNumId="213">
    <w:nsid w:val="3EB21819"/>
    <w:multiLevelType w:val="hybridMultilevel"/>
    <w:lvl w:ilvl="0">
      <w:lvlJc w:val="left"/>
      <w:lvlText w:val="(%1)"/>
      <w:numFmt w:val="lowerLetter"/>
      <w:start w:val="9"/>
    </w:lvl>
  </w:abstractNum>
  <w:abstractNum w:abstractNumId="214">
    <w:nsid w:val="41531DED"/>
    <w:multiLevelType w:val="hybridMultilevel"/>
    <w:lvl w:ilvl="0">
      <w:lvlJc w:val="left"/>
      <w:lvlText w:val="(%1)"/>
      <w:numFmt w:val="lowerLetter"/>
      <w:start w:val="12"/>
    </w:lvl>
  </w:abstractNum>
  <w:abstractNum w:abstractNumId="215">
    <w:nsid w:val="6353CD2"/>
    <w:multiLevelType w:val="hybridMultilevel"/>
    <w:lvl w:ilvl="0">
      <w:lvlJc w:val="left"/>
      <w:lvlText w:val="(%1)"/>
      <w:numFmt w:val="lowerLetter"/>
      <w:start w:val="21"/>
    </w:lvl>
  </w:abstractNum>
  <w:abstractNum w:abstractNumId="216">
    <w:nsid w:val="683CAAD3"/>
    <w:multiLevelType w:val="hybridMultilevel"/>
    <w:lvl w:ilvl="0">
      <w:lvlJc w:val="left"/>
      <w:lvlText w:val="(%1)"/>
      <w:numFmt w:val="lowerLetter"/>
      <w:start w:val="23"/>
    </w:lvl>
  </w:abstractNum>
  <w:abstractNum w:abstractNumId="217">
    <w:nsid w:val="313C7C99"/>
    <w:multiLevelType w:val="hybridMultilevel"/>
    <w:lvl w:ilvl="0">
      <w:lvlJc w:val="left"/>
      <w:lvlText w:val="(%1)"/>
      <w:numFmt w:val="lowerLetter"/>
      <w:start w:val="19"/>
    </w:lvl>
  </w:abstractNum>
  <w:abstractNum w:abstractNumId="218">
    <w:nsid w:val="519EB94C"/>
    <w:multiLevelType w:val="hybridMultilevel"/>
    <w:lvl w:ilvl="0">
      <w:lvlJc w:val="left"/>
      <w:lvlText w:val="%1"/>
      <w:numFmt w:val="lowerLetter"/>
      <w:start w:val="1"/>
    </w:lvl>
    <w:lvl w:ilvl="1">
      <w:lvlJc w:val="left"/>
      <w:lvlText w:val="(%2)"/>
      <w:numFmt w:val="lowerLetter"/>
      <w:start w:val="1"/>
    </w:lvl>
  </w:abstractNum>
  <w:abstractNum w:abstractNumId="219">
    <w:nsid w:val="39DF2579"/>
    <w:multiLevelType w:val="hybridMultilevel"/>
    <w:lvl w:ilvl="0">
      <w:lvlJc w:val="left"/>
      <w:lvlText w:val="(%1)"/>
      <w:numFmt w:val="lowerLetter"/>
      <w:start w:val="35"/>
    </w:lvl>
    <w:lvl w:ilvl="1">
      <w:lvlJc w:val="left"/>
      <w:lvlText w:val="%2"/>
      <w:numFmt w:val="lowerLetter"/>
      <w:start w:val="1"/>
    </w:lvl>
  </w:abstractNum>
  <w:abstractNum w:abstractNumId="220">
    <w:nsid w:val="126E008B"/>
    <w:multiLevelType w:val="hybridMultilevel"/>
    <w:lvl w:ilvl="0">
      <w:lvlJc w:val="left"/>
      <w:lvlText w:val="%1"/>
      <w:numFmt w:val="lowerLetter"/>
      <w:start w:val="1"/>
    </w:lvl>
    <w:lvl w:ilvl="1">
      <w:lvlJc w:val="left"/>
      <w:lvlText w:val="(%2)"/>
      <w:numFmt w:val="lowerLetter"/>
      <w:start w:val="2"/>
    </w:lvl>
  </w:abstractNum>
  <w:abstractNum w:abstractNumId="221">
    <w:nsid w:val="34DFBC00"/>
    <w:multiLevelType w:val="hybridMultilevel"/>
    <w:lvl w:ilvl="0">
      <w:lvlJc w:val="left"/>
      <w:lvlText w:val="(%1)"/>
      <w:numFmt w:val="lowerLetter"/>
      <w:start w:val="61"/>
    </w:lvl>
    <w:lvl w:ilvl="1">
      <w:lvlJc w:val="left"/>
      <w:lvlText w:val="(%2)"/>
      <w:numFmt w:val="lowerLetter"/>
      <w:start w:val="4"/>
    </w:lvl>
  </w:abstractNum>
  <w:abstractNum w:abstractNumId="222">
    <w:nsid w:val="1F9EC322"/>
    <w:multiLevelType w:val="hybridMultilevel"/>
    <w:lvl w:ilvl="0">
      <w:lvlJc w:val="left"/>
      <w:lvlText w:val="(%1)"/>
      <w:numFmt w:val="lowerLetter"/>
      <w:start w:val="1"/>
    </w:lvl>
  </w:abstractNum>
  <w:abstractNum w:abstractNumId="223">
    <w:nsid w:val="3410ED56"/>
    <w:multiLevelType w:val="hybridMultilevel"/>
    <w:lvl w:ilvl="0">
      <w:lvlJc w:val="left"/>
      <w:lvlText w:val="(%1)"/>
      <w:numFmt w:val="lowerLetter"/>
      <w:start w:val="4"/>
    </w:lvl>
  </w:abstractNum>
  <w:abstractNum w:abstractNumId="224">
    <w:nsid w:val="23C049A"/>
    <w:multiLevelType w:val="hybridMultilevel"/>
    <w:lvl w:ilvl="0">
      <w:lvlJc w:val="left"/>
      <w:lvlText w:val="(%1)"/>
      <w:numFmt w:val="lowerLetter"/>
      <w:start w:val="16"/>
    </w:lvl>
  </w:abstractNum>
  <w:abstractNum w:abstractNumId="225">
    <w:nsid w:val="5BDA35D4"/>
    <w:multiLevelType w:val="hybridMultilevel"/>
    <w:lvl w:ilvl="0">
      <w:lvlJc w:val="left"/>
      <w:lvlText w:val="(%1)"/>
      <w:numFmt w:val="lowerLetter"/>
      <w:start w:val="16"/>
    </w:lvl>
  </w:abstractNum>
  <w:abstractNum w:abstractNumId="226">
    <w:nsid w:val="496FB218"/>
    <w:multiLevelType w:val="hybridMultilevel"/>
    <w:lvl w:ilvl="0">
      <w:lvlJc w:val="left"/>
      <w:lvlText w:val="(%1)"/>
      <w:numFmt w:val="lowerLetter"/>
      <w:start w:val="1"/>
    </w:lvl>
  </w:abstractNum>
  <w:abstractNum w:abstractNumId="227">
    <w:nsid w:val="680EA5D1"/>
    <w:multiLevelType w:val="hybridMultilevel"/>
    <w:lvl w:ilvl="0">
      <w:lvlJc w:val="left"/>
      <w:lvlText w:val="(%1)"/>
      <w:numFmt w:val="lowerLetter"/>
      <w:start w:val="8"/>
    </w:lvl>
  </w:abstractNum>
  <w:abstractNum w:abstractNumId="228">
    <w:nsid w:val="4A9554FE"/>
    <w:multiLevelType w:val="hybridMultilevel"/>
    <w:lvl w:ilvl="0">
      <w:lvlJc w:val="left"/>
      <w:lvlText w:val="(%1)"/>
      <w:numFmt w:val="lowerLetter"/>
      <w:start w:val="11"/>
    </w:lvl>
  </w:abstractNum>
  <w:abstractNum w:abstractNumId="229">
    <w:nsid w:val="392EDBE4"/>
    <w:multiLevelType w:val="hybridMultilevel"/>
    <w:lvl w:ilvl="0">
      <w:lvlJc w:val="left"/>
      <w:lvlText w:val="(%1)"/>
      <w:numFmt w:val="lowerRoman"/>
      <w:start w:val="6"/>
    </w:lvl>
  </w:abstractNum>
  <w:abstractNum w:abstractNumId="230">
    <w:nsid w:val="3D1A2DD9"/>
    <w:multiLevelType w:val="hybridMultilevel"/>
    <w:lvl w:ilvl="0">
      <w:lvlJc w:val="left"/>
      <w:lvlText w:val="(%1)"/>
      <w:numFmt w:val="lowerLetter"/>
      <w:start w:val="1"/>
    </w:lvl>
  </w:abstractNum>
  <w:abstractNum w:abstractNumId="231">
    <w:nsid w:val="7F618FCD"/>
    <w:multiLevelType w:val="hybridMultilevel"/>
    <w:lvl w:ilvl="0">
      <w:lvlJc w:val="left"/>
      <w:lvlText w:val="(%1)"/>
      <w:numFmt w:val="decimal"/>
      <w:start w:val="3"/>
    </w:lvl>
  </w:abstractNum>
  <w:abstractNum w:abstractNumId="232">
    <w:nsid w:val="7843E45"/>
    <w:multiLevelType w:val="hybridMultilevel"/>
    <w:lvl w:ilvl="0">
      <w:lvlJc w:val="left"/>
      <w:lvlText w:val="(%1)"/>
      <w:numFmt w:val="lowerLetter"/>
      <w:start w:val="2"/>
    </w:lvl>
  </w:abstractNum>
  <w:abstractNum w:abstractNumId="233">
    <w:nsid w:val="9815DA3"/>
    <w:multiLevelType w:val="hybridMultilevel"/>
    <w:lvl w:ilvl="0">
      <w:lvlJc w:val="left"/>
      <w:lvlText w:val="(%1)"/>
      <w:numFmt w:val="lowerLetter"/>
      <w:start w:val="4"/>
    </w:lvl>
  </w:abstractNum>
  <w:abstractNum w:abstractNumId="234">
    <w:nsid w:val="5204A191"/>
    <w:multiLevelType w:val="hybridMultilevel"/>
    <w:lvl w:ilvl="0">
      <w:lvlJc w:val="left"/>
      <w:lvlText w:val="(%1)"/>
      <w:numFmt w:val="lowerLetter"/>
      <w:start w:val="1"/>
    </w:lvl>
  </w:abstractNum>
  <w:abstractNum w:abstractNumId="235">
    <w:nsid w:val="4C73A9C6"/>
    <w:multiLevelType w:val="hybridMultilevel"/>
    <w:lvl w:ilvl="0">
      <w:lvlJc w:val="left"/>
      <w:lvlText w:val="(%1)"/>
      <w:numFmt w:val="lowerLetter"/>
      <w:start w:val="2"/>
    </w:lvl>
  </w:abstractNum>
  <w:abstractNum w:abstractNumId="236">
    <w:nsid w:val="1C7E3C01"/>
    <w:multiLevelType w:val="hybridMultilevel"/>
    <w:lvl w:ilvl="0">
      <w:lvlJc w:val="left"/>
      <w:lvlText w:val="(%1)"/>
      <w:numFmt w:val="lowerLetter"/>
      <w:start w:val="6"/>
    </w:lvl>
  </w:abstractNum>
  <w:abstractNum w:abstractNumId="237">
    <w:nsid w:val="1C2201FF"/>
    <w:multiLevelType w:val="hybridMultilevel"/>
    <w:lvl w:ilvl="0">
      <w:lvlJc w:val="left"/>
      <w:lvlText w:val="(%1)"/>
      <w:numFmt w:val="lowerLetter"/>
      <w:start w:val="2"/>
    </w:lvl>
  </w:abstractNum>
  <w:abstractNum w:abstractNumId="238">
    <w:nsid w:val="50ABCEC9"/>
    <w:multiLevelType w:val="hybridMultilevel"/>
    <w:lvl w:ilvl="0">
      <w:lvlJc w:val="left"/>
      <w:lvlText w:val="(%1)"/>
      <w:numFmt w:val="lowerLetter"/>
      <w:start w:val="1"/>
    </w:lvl>
  </w:abstractNum>
  <w:abstractNum w:abstractNumId="239">
    <w:nsid w:val="7635AA2A"/>
    <w:multiLevelType w:val="hybridMultilevel"/>
    <w:lvl w:ilvl="0">
      <w:lvlJc w:val="left"/>
      <w:lvlText w:val="%1"/>
      <w:numFmt w:val="upperLetter"/>
      <w:start w:val="1"/>
    </w:lvl>
    <w:lvl w:ilvl="1">
      <w:lvlJc w:val="left"/>
      <w:lvlText w:val="(%2)"/>
      <w:numFmt w:val="lowerLetter"/>
      <w:start w:val="4"/>
    </w:lvl>
  </w:abstractNum>
  <w:abstractNum w:abstractNumId="240">
    <w:nsid w:val="5E74C4D9"/>
    <w:multiLevelType w:val="hybridMultilevel"/>
    <w:lvl w:ilvl="0">
      <w:lvlJc w:val="left"/>
      <w:lvlText w:val="(%1)"/>
      <w:numFmt w:val="upperLetter"/>
      <w:start w:val="2"/>
    </w:lvl>
    <w:lvl w:ilvl="1">
      <w:lvlJc w:val="left"/>
      <w:lvlText w:val="(%2)"/>
      <w:numFmt w:val="lowerLetter"/>
      <w:start w:val="6"/>
    </w:lvl>
  </w:abstractNum>
  <w:abstractNum w:abstractNumId="241">
    <w:nsid w:val="3B3EBE15"/>
    <w:multiLevelType w:val="hybridMultilevel"/>
    <w:lvl w:ilvl="0">
      <w:lvlJc w:val="left"/>
      <w:lvlText w:val="%1"/>
      <w:numFmt w:val="lowerLetter"/>
      <w:start w:val="1"/>
    </w:lvl>
    <w:lvl w:ilvl="1">
      <w:lvlJc w:val="left"/>
      <w:lvlText w:val="(%2)"/>
      <w:numFmt w:val="lowerLetter"/>
      <w:start w:val="8"/>
    </w:lvl>
  </w:abstractNum>
  <w:abstractNum w:abstractNumId="242">
    <w:nsid w:val="3822CB01"/>
    <w:multiLevelType w:val="hybridMultilevel"/>
    <w:lvl w:ilvl="0">
      <w:lvlJc w:val="left"/>
      <w:lvlText w:val="(%1)"/>
      <w:numFmt w:val="lowerLetter"/>
      <w:start w:val="9"/>
    </w:lvl>
    <w:lvl w:ilvl="1">
      <w:lvlJc w:val="left"/>
      <w:lvlText w:val="(%2)"/>
      <w:numFmt w:val="lowerLetter"/>
      <w:start w:val="9"/>
    </w:lvl>
  </w:abstractNum>
  <w:abstractNum w:abstractNumId="243">
    <w:nsid w:val="6CE00443"/>
    <w:multiLevelType w:val="hybridMultilevel"/>
    <w:lvl w:ilvl="0">
      <w:lvlJc w:val="left"/>
      <w:lvlText w:val="(%1)"/>
      <w:numFmt w:val="upperLetter"/>
      <w:start w:val="1"/>
    </w:lvl>
    <w:lvl w:ilvl="1">
      <w:lvlJc w:val="left"/>
      <w:lvlText w:val="(%2)"/>
      <w:numFmt w:val="lowerLetter"/>
      <w:start w:val="16"/>
    </w:lvl>
  </w:abstractNum>
  <w:abstractNum w:abstractNumId="244">
    <w:nsid w:val="79F0D62F"/>
    <w:multiLevelType w:val="hybridMultilevel"/>
    <w:lvl w:ilvl="0">
      <w:lvlJc w:val="left"/>
      <w:lvlText w:val="(%1)"/>
      <w:numFmt w:val="lowerLetter"/>
      <w:start w:val="1"/>
    </w:lvl>
  </w:abstractNum>
  <w:abstractNum w:abstractNumId="245">
    <w:nsid w:val="7975E8EE"/>
    <w:multiLevelType w:val="hybridMultilevel"/>
    <w:lvl w:ilvl="0">
      <w:lvlJc w:val="left"/>
      <w:lvlText w:val="(%1)"/>
      <w:numFmt w:val="lowerLetter"/>
      <w:start w:val="3"/>
    </w:lvl>
  </w:abstractNum>
  <w:abstractNum w:abstractNumId="246">
    <w:nsid w:val="73154115"/>
    <w:multiLevelType w:val="hybridMultilevel"/>
    <w:lvl w:ilvl="0">
      <w:lvlJc w:val="left"/>
      <w:lvlText w:val="(%1)"/>
      <w:numFmt w:val="lowerLetter"/>
      <w:start w:val="1"/>
    </w:lvl>
  </w:abstractNum>
  <w:abstractNum w:abstractNumId="247">
    <w:nsid w:val="622D8102"/>
    <w:multiLevelType w:val="hybridMultilevel"/>
    <w:lvl w:ilvl="0">
      <w:lvlJc w:val="left"/>
      <w:lvlText w:val="(%1)"/>
      <w:numFmt w:val="lowerLetter"/>
      <w:start w:val="1"/>
    </w:lvl>
  </w:abstractNum>
  <w:abstractNum w:abstractNumId="248">
    <w:nsid w:val="2AB26587"/>
    <w:multiLevelType w:val="hybridMultilevel"/>
    <w:lvl w:ilvl="0">
      <w:lvlJc w:val="left"/>
      <w:lvlText w:val="(%1)"/>
      <w:numFmt w:val="lowerLetter"/>
      <w:start w:val="1"/>
    </w:lvl>
  </w:abstractNum>
  <w:abstractNum w:abstractNumId="249">
    <w:nsid w:val="44B3FA61"/>
    <w:multiLevelType w:val="hybridMultilevel"/>
    <w:lvl w:ilvl="0">
      <w:lvlJc w:val="left"/>
      <w:lvlText w:val="(%1)"/>
      <w:numFmt w:val="lowerLetter"/>
      <w:start w:val="1"/>
    </w:lvl>
  </w:abstractNum>
  <w:abstractNum w:abstractNumId="250">
    <w:nsid w:val="1C0CA67C"/>
    <w:multiLevelType w:val="hybridMultilevel"/>
    <w:lvl w:ilvl="0">
      <w:lvlJc w:val="left"/>
      <w:lvlText w:val="(%1)"/>
      <w:numFmt w:val="lowerLetter"/>
      <w:start w:val="2"/>
    </w:lvl>
  </w:abstractNum>
  <w:abstractNum w:abstractNumId="251">
    <w:nsid w:val="3D206613"/>
    <w:multiLevelType w:val="hybridMultilevel"/>
    <w:lvl w:ilvl="0">
      <w:lvlJc w:val="left"/>
      <w:lvlText w:val="(%1)"/>
      <w:numFmt w:val="lowerLetter"/>
      <w:start w:val="1"/>
    </w:lvl>
    <w:lvl w:ilvl="1">
      <w:lvlJc w:val="left"/>
      <w:lvlText w:val="(%2)"/>
      <w:numFmt w:val="lowerRoman"/>
      <w:start w:val="1"/>
    </w:lvl>
  </w:abstractNum>
  <w:abstractNum w:abstractNumId="252">
    <w:nsid w:val="7993B662"/>
    <w:multiLevelType w:val="hybridMultilevel"/>
    <w:lvl w:ilvl="0">
      <w:lvlJc w:val="left"/>
      <w:lvlText w:val="%1"/>
      <w:numFmt w:val="lowerLetter"/>
      <w:start w:val="1"/>
    </w:lvl>
    <w:lvl w:ilvl="1">
      <w:lvlJc w:val="left"/>
      <w:lvlText w:val="(%2)"/>
      <w:numFmt w:val="lowerRoman"/>
      <w:start w:val="3"/>
    </w:lvl>
  </w:abstractNum>
  <w:abstractNum w:abstractNumId="253">
    <w:nsid w:val="3BAB699E"/>
    <w:multiLevelType w:val="hybridMultilevel"/>
    <w:lvl w:ilvl="0">
      <w:lvlJc w:val="left"/>
      <w:lvlText w:val="(%1)"/>
      <w:numFmt w:val="lowerLetter"/>
      <w:start w:val="2"/>
    </w:lvl>
    <w:lvl w:ilvl="1">
      <w:lvlJc w:val="left"/>
      <w:lvlText w:val="%2"/>
      <w:numFmt w:val="lowerRoman"/>
      <w:start w:val="1"/>
    </w:lvl>
  </w:abstractNum>
  <w:abstractNum w:abstractNumId="254">
    <w:nsid w:val="71315369"/>
    <w:multiLevelType w:val="hybridMultilevel"/>
    <w:lvl w:ilvl="0">
      <w:lvlJc w:val="left"/>
      <w:lvlText w:val="(%1)"/>
      <w:numFmt w:val="lowerLetter"/>
      <w:start w:val="1"/>
    </w:lvl>
  </w:abstractNum>
  <w:abstractNum w:abstractNumId="255">
    <w:nsid w:val="7BCFBAFC"/>
    <w:multiLevelType w:val="hybridMultilevel"/>
    <w:lvl w:ilvl="0">
      <w:lvlJc w:val="left"/>
      <w:lvlText w:val="(%1)"/>
      <w:numFmt w:val="lowerLetter"/>
      <w:start w:val="4"/>
    </w:lvl>
  </w:abstractNum>
  <w:abstractNum w:abstractNumId="256">
    <w:nsid w:val="17859F72"/>
    <w:multiLevelType w:val="hybridMultilevel"/>
    <w:lvl w:ilvl="0">
      <w:lvlJc w:val="left"/>
      <w:lvlText w:val="(%1)"/>
      <w:numFmt w:val="lowerLetter"/>
      <w:start w:val="1"/>
    </w:lvl>
    <w:lvl w:ilvl="1">
      <w:lvlJc w:val="left"/>
      <w:lvlText w:val="(%2)"/>
      <w:numFmt w:val="lowerRoman"/>
      <w:start w:val="1"/>
    </w:lvl>
  </w:abstractNum>
  <w:abstractNum w:abstractNumId="257">
    <w:nsid w:val="3AA10581"/>
    <w:multiLevelType w:val="hybridMultilevel"/>
    <w:lvl w:ilvl="0">
      <w:lvlJc w:val="left"/>
      <w:lvlText w:val="(%1)"/>
      <w:numFmt w:val="lowerLetter"/>
      <w:start w:val="2"/>
    </w:lvl>
  </w:abstractNum>
  <w:abstractNum w:abstractNumId="258">
    <w:nsid w:val="63DE60CD"/>
    <w:multiLevelType w:val="hybridMultilevel"/>
    <w:lvl w:ilvl="0">
      <w:lvlJc w:val="left"/>
      <w:lvlText w:val="(%1)"/>
      <w:numFmt w:val="lowerLetter"/>
      <w:start w:val="1"/>
    </w:lvl>
  </w:abstractNum>
  <w:abstractNum w:abstractNumId="259">
    <w:nsid w:val="621AF471"/>
    <w:multiLevelType w:val="hybridMultilevel"/>
    <w:lvl w:ilvl="0">
      <w:lvlJc w:val="left"/>
      <w:lvlText w:val="(%1)"/>
      <w:numFmt w:val="lowerLetter"/>
      <w:start w:val="2"/>
    </w:lvl>
  </w:abstractNum>
  <w:abstractNum w:abstractNumId="260">
    <w:nsid w:val="73CFE165"/>
    <w:multiLevelType w:val="hybridMultilevel"/>
    <w:lvl w:ilvl="0">
      <w:lvlJc w:val="left"/>
      <w:lvlText w:val="(%1)"/>
      <w:numFmt w:val="lowerLetter"/>
      <w:start w:val="5"/>
    </w:lvl>
  </w:abstractNum>
  <w:abstractNum w:abstractNumId="261">
    <w:nsid w:val="20F88EA6"/>
    <w:multiLevelType w:val="hybridMultilevel"/>
    <w:lvl w:ilvl="0">
      <w:lvlJc w:val="left"/>
      <w:lvlText w:val="(%1)"/>
      <w:numFmt w:val="lowerLetter"/>
      <w:start w:val="1"/>
    </w:lvl>
  </w:abstractNum>
  <w:abstractNum w:abstractNumId="262">
    <w:nsid w:val="617C843E"/>
    <w:multiLevelType w:val="hybridMultilevel"/>
    <w:lvl w:ilvl="0">
      <w:lvlJc w:val="left"/>
      <w:lvlText w:val="(%1)"/>
      <w:numFmt w:val="lowerLetter"/>
      <w:start w:val="2"/>
    </w:lvl>
    <w:lvl w:ilvl="1">
      <w:lvlJc w:val="left"/>
      <w:lvlText w:val="(%2)"/>
      <w:numFmt w:val="lowerRoman"/>
      <w:start w:val="1"/>
    </w:lvl>
  </w:abstractNum>
  <w:abstractNum w:abstractNumId="263">
    <w:nsid w:val="7B541FAB"/>
    <w:multiLevelType w:val="hybridMultilevel"/>
    <w:lvl w:ilvl="0">
      <w:lvlJc w:val="left"/>
      <w:lvlText w:val="(%1)"/>
      <w:numFmt w:val="lowerLetter"/>
      <w:start w:val="6"/>
    </w:lvl>
  </w:abstractNum>
  <w:abstractNum w:abstractNumId="264">
    <w:nsid w:val="2A79EC49"/>
    <w:multiLevelType w:val="hybridMultilevel"/>
    <w:lvl w:ilvl="0">
      <w:lvlJc w:val="left"/>
      <w:lvlText w:val="(%1)"/>
      <w:numFmt w:val="lowerLetter"/>
      <w:start w:val="1"/>
    </w:lvl>
  </w:abstractNum>
  <w:abstractNum w:abstractNumId="265">
    <w:nsid w:val="338125CF"/>
    <w:multiLevelType w:val="hybridMultilevel"/>
    <w:lvl w:ilvl="0">
      <w:lvlJc w:val="left"/>
      <w:lvlText w:val="(%1)"/>
      <w:numFmt w:val="lowerLetter"/>
      <w:start w:val="4"/>
    </w:lvl>
  </w:abstractNum>
  <w:abstractNum w:abstractNumId="266">
    <w:nsid w:val="47C7C971"/>
    <w:multiLevelType w:val="hybridMultilevel"/>
    <w:lvl w:ilvl="0">
      <w:lvlJc w:val="left"/>
      <w:lvlText w:val="(%1)"/>
      <w:numFmt w:val="lowerRoman"/>
      <w:start w:val="1"/>
    </w:lvl>
  </w:abstractNum>
  <w:abstractNum w:abstractNumId="267">
    <w:nsid w:val="46F8284B"/>
    <w:multiLevelType w:val="hybridMultilevel"/>
    <w:lvl w:ilvl="0">
      <w:lvlJc w:val="left"/>
      <w:lvlText w:val="%1"/>
      <w:numFmt w:val="upperLetter"/>
      <w:start w:val="1"/>
    </w:lvl>
    <w:lvl w:ilvl="1">
      <w:lvlJc w:val="left"/>
      <w:lvlText w:val="(%2)"/>
      <w:numFmt w:val="lowerLetter"/>
      <w:start w:val="1"/>
    </w:lvl>
  </w:abstractNum>
  <w:abstractNum w:abstractNumId="268">
    <w:nsid w:val="4FA327CE"/>
    <w:multiLevelType w:val="hybridMultilevel"/>
    <w:lvl w:ilvl="0">
      <w:lvlJc w:val="left"/>
      <w:lvlText w:val="(%1)"/>
      <w:numFmt w:val="upperLetter"/>
      <w:start w:val="2"/>
    </w:lvl>
    <w:lvl w:ilvl="1">
      <w:lvlJc w:val="left"/>
      <w:lvlText w:val="%2"/>
      <w:numFmt w:val="lowerLetter"/>
      <w:start w:val="1"/>
    </w:lvl>
  </w:abstractNum>
  <w:abstractNum w:abstractNumId="269">
    <w:nsid w:val="1873983A"/>
    <w:multiLevelType w:val="hybridMultilevel"/>
    <w:lvl w:ilvl="0">
      <w:lvlJc w:val="left"/>
      <w:lvlText w:val="%1"/>
      <w:numFmt w:val="lowerLetter"/>
      <w:start w:val="1"/>
    </w:lvl>
    <w:lvl w:ilvl="1">
      <w:lvlJc w:val="left"/>
      <w:lvlText w:val="(%2)"/>
      <w:numFmt w:val="lowerLetter"/>
      <w:start w:val="3"/>
    </w:lvl>
  </w:abstractNum>
  <w:abstractNum w:abstractNumId="270">
    <w:nsid w:val="3D2DD275"/>
    <w:multiLevelType w:val="hybridMultilevel"/>
    <w:lvl w:ilvl="0">
      <w:lvlJc w:val="left"/>
      <w:lvlText w:val="(%1)"/>
      <w:numFmt w:val="lowerLetter"/>
      <w:start w:val="2"/>
    </w:lvl>
    <w:lvl w:ilvl="1">
      <w:lvlJc w:val="left"/>
      <w:lvlText w:val="(%2)"/>
      <w:numFmt w:val="lowerLetter"/>
      <w:start w:val="4"/>
    </w:lvl>
  </w:abstractNum>
  <w:abstractNum w:abstractNumId="271">
    <w:nsid w:val="2E17ECA7"/>
    <w:multiLevelType w:val="hybridMultilevel"/>
    <w:lvl w:ilvl="0">
      <w:lvlJc w:val="left"/>
      <w:lvlText w:val="(%1)"/>
      <w:numFmt w:val="lowerLetter"/>
      <w:start w:val="1"/>
    </w:lvl>
  </w:abstractNum>
  <w:abstractNum w:abstractNumId="272">
    <w:nsid w:val="53B2564F"/>
    <w:multiLevelType w:val="hybridMultilevel"/>
    <w:lvl w:ilvl="0">
      <w:lvlJc w:val="left"/>
      <w:lvlText w:val="(%1)"/>
      <w:numFmt w:val="lowerLetter"/>
      <w:start w:val="3"/>
    </w:lvl>
  </w:abstractNum>
  <w:abstractNum w:abstractNumId="273">
    <w:nsid w:val="75509D76"/>
    <w:multiLevelType w:val="hybridMultilevel"/>
    <w:lvl w:ilvl="0">
      <w:lvlJc w:val="left"/>
      <w:lvlText w:val="(%1)"/>
      <w:numFmt w:val="upperLetter"/>
      <w:start w:val="1"/>
    </w:lvl>
  </w:abstractNum>
  <w:abstractNum w:abstractNumId="274">
    <w:nsid w:val="1AF7F0E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5">
    <w:nsid w:val="4DA32C7E"/>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76">
    <w:nsid w:val="6EC68664"/>
    <w:multiLevelType w:val="hybridMultilevel"/>
    <w:lvl w:ilvl="0">
      <w:lvlJc w:val="left"/>
      <w:lvlText w:val="%1"/>
      <w:numFmt w:val="lowerRoman"/>
      <w:start w:val="1"/>
    </w:lvl>
    <w:lvl w:ilvl="1">
      <w:lvlJc w:val="left"/>
      <w:lvlText w:val="(%2)"/>
      <w:numFmt w:val="upperLetter"/>
      <w:start w:val="2"/>
    </w:lvl>
  </w:abstractNum>
  <w:abstractNum w:abstractNumId="277">
    <w:nsid w:val="E0D31FF"/>
    <w:multiLevelType w:val="hybridMultilevel"/>
    <w:lvl w:ilvl="0">
      <w:lvlJc w:val="left"/>
      <w:lvlText w:val="(%1)"/>
      <w:numFmt w:val="lowerRoman"/>
      <w:start w:val="4"/>
    </w:lvl>
    <w:lvl w:ilvl="1">
      <w:lvlJc w:val="left"/>
      <w:lvlText w:val="%2"/>
      <w:numFmt w:val="upperLetter"/>
      <w:start w:val="1"/>
    </w:lvl>
  </w:abstractNum>
  <w:abstractNum w:abstractNumId="278">
    <w:nsid w:val="2FD0AD81"/>
    <w:multiLevelType w:val="hybridMultilevel"/>
    <w:lvl w:ilvl="0">
      <w:lvlJc w:val="left"/>
      <w:lvlText w:val="(%1)"/>
      <w:numFmt w:val="lowerLetter"/>
      <w:start w:val="3"/>
    </w:lvl>
  </w:abstractNum>
  <w:abstractNum w:abstractNumId="279">
    <w:nsid w:val="1978EBEB"/>
    <w:multiLevelType w:val="hybridMultilevel"/>
    <w:lvl w:ilvl="0">
      <w:lvlJc w:val="left"/>
      <w:lvlText w:val="(%1)"/>
      <w:numFmt w:val="lowerLetter"/>
      <w:start w:val="5"/>
    </w:lvl>
  </w:abstractNum>
  <w:abstractNum w:abstractNumId="280">
    <w:nsid w:val="52C12C61"/>
    <w:multiLevelType w:val="hybridMultilevel"/>
    <w:lvl w:ilvl="0">
      <w:lvlJc w:val="left"/>
      <w:lvlText w:val="(%1)"/>
      <w:numFmt w:val="lowerLetter"/>
      <w:start w:val="7"/>
    </w:lvl>
  </w:abstractNum>
  <w:abstractNum w:abstractNumId="281">
    <w:nsid w:val="4BDD53FD"/>
    <w:multiLevelType w:val="hybridMultilevel"/>
    <w:lvl w:ilvl="0">
      <w:lvlJc w:val="left"/>
      <w:lvlText w:val="(%1)"/>
      <w:numFmt w:val="lowerLetter"/>
      <w:start w:val="1"/>
    </w:lvl>
  </w:abstractNum>
  <w:abstractNum w:abstractNumId="282">
    <w:nsid w:val="569951FE"/>
    <w:multiLevelType w:val="hybridMultilevel"/>
    <w:lvl w:ilvl="0">
      <w:lvlJc w:val="left"/>
      <w:lvlText w:val="(%1)"/>
      <w:numFmt w:val="lowerLetter"/>
      <w:start w:val="1"/>
    </w:lvl>
  </w:abstractNum>
  <w:abstractNum w:abstractNumId="283">
    <w:nsid w:val="4C54E2C3"/>
    <w:multiLevelType w:val="hybridMultilevel"/>
    <w:lvl w:ilvl="0">
      <w:lvlJc w:val="left"/>
      <w:lvlText w:val="(%1)"/>
      <w:numFmt w:val="upperLetter"/>
      <w:start w:val="1"/>
    </w:lvl>
  </w:abstractNum>
  <w:abstractNum w:abstractNumId="284">
    <w:nsid w:val="788BD9B"/>
    <w:multiLevelType w:val="hybridMultilevel"/>
    <w:lvl w:ilvl="0">
      <w:lvlJc w:val="left"/>
      <w:lvlText w:val="(%1)"/>
      <w:numFmt w:val="lowerLetter"/>
      <w:start w:val="1"/>
    </w:lvl>
  </w:abstractNum>
  <w:abstractNum w:abstractNumId="285">
    <w:nsid w:val="47CAA567"/>
    <w:multiLevelType w:val="hybridMultilevel"/>
    <w:lvl w:ilvl="0">
      <w:lvlJc w:val="left"/>
      <w:lvlText w:val="(%1)"/>
      <w:numFmt w:val="lowerLetter"/>
      <w:start w:val="2"/>
    </w:lvl>
  </w:abstractNum>
  <w:abstractNum w:abstractNumId="286">
    <w:nsid w:val="48249DBF"/>
    <w:multiLevelType w:val="hybridMultilevel"/>
    <w:lvl w:ilvl="0">
      <w:lvlJc w:val="left"/>
      <w:lvlText w:val="(%1)"/>
      <w:numFmt w:val="lowerLetter"/>
      <w:start w:val="1"/>
    </w:lvl>
    <w:lvl w:ilvl="1">
      <w:lvlJc w:val="left"/>
      <w:lvlText w:val="(%2)"/>
      <w:numFmt w:val="lowerRoman"/>
      <w:start w:val="1"/>
    </w:lvl>
  </w:abstractNum>
  <w:abstractNum w:abstractNumId="287">
    <w:nsid w:val="1F0E5D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8">
    <w:nsid w:val="26BAAE9"/>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289">
    <w:nsid w:val="2C02FE8C"/>
    <w:multiLevelType w:val="hybridMultilevel"/>
    <w:lvl w:ilvl="0">
      <w:lvlJc w:val="left"/>
      <w:lvlText w:val="(%1)"/>
      <w:numFmt w:val="lowerLetter"/>
      <w:start w:val="1"/>
    </w:lvl>
  </w:abstractNum>
  <w:abstractNum w:abstractNumId="290">
    <w:nsid w:val="129517E"/>
    <w:multiLevelType w:val="hybridMultilevel"/>
    <w:lvl w:ilvl="0">
      <w:lvlJc w:val="left"/>
      <w:lvlText w:val="(%1)"/>
      <w:numFmt w:val="lowerRoman"/>
      <w:start w:val="1"/>
    </w:lvl>
  </w:abstractNum>
  <w:abstractNum w:abstractNumId="291">
    <w:nsid w:val="763B8C4E"/>
    <w:multiLevelType w:val="hybridMultilevel"/>
    <w:lvl w:ilvl="0">
      <w:lvlJc w:val="left"/>
      <w:lvlText w:val="%1"/>
      <w:numFmt w:val="decimal"/>
      <w:start w:val="55"/>
    </w:lvl>
  </w:abstractNum>
  <w:abstractNum w:abstractNumId="292">
    <w:nsid w:val="4CFB8D32"/>
    <w:multiLevelType w:val="hybridMultilevel"/>
    <w:lvl w:ilvl="0">
      <w:lvlJc w:val="left"/>
      <w:lvlText w:val="%1."/>
      <w:numFmt w:val="decimal"/>
      <w:start w:val="1"/>
    </w:lvl>
    <w:lvl w:ilvl="1">
      <w:lvlJc w:val="left"/>
      <w:lvlText w:val="(%2)"/>
      <w:numFmt w:val="lowerLetter"/>
      <w:start w:val="1"/>
    </w:lvl>
  </w:abstractNum>
  <w:abstractNum w:abstractNumId="293">
    <w:nsid w:val="62A5D5BD"/>
    <w:multiLevelType w:val="hybridMultilevel"/>
    <w:lvl w:ilvl="0">
      <w:lvlJc w:val="left"/>
      <w:lvlText w:val="(%1)"/>
      <w:numFmt w:val="lowerLetter"/>
      <w:start w:val="2"/>
    </w:lvl>
  </w:abstractNum>
  <w:abstractNum w:abstractNumId="294">
    <w:nsid w:val="718FABF9"/>
    <w:multiLevelType w:val="hybridMultilevel"/>
    <w:lvl w:ilvl="0">
      <w:lvlJc w:val="left"/>
      <w:lvlText w:val="(%1)"/>
      <w:numFmt w:val="lowerLetter"/>
      <w:start w:val="4"/>
    </w:lvl>
  </w:abstractNum>
  <w:abstractNum w:abstractNumId="295">
    <w:nsid w:val="7775797C"/>
    <w:multiLevelType w:val="hybridMultilevel"/>
    <w:lvl w:ilvl="0">
      <w:lvlJc w:val="left"/>
      <w:lvlText w:val="(%1)"/>
      <w:numFmt w:val="lowerLetter"/>
      <w:start w:val="8"/>
    </w:lvl>
  </w:abstractNum>
  <w:abstractNum w:abstractNumId="296">
    <w:nsid w:val="1626FB8C"/>
    <w:multiLevelType w:val="hybridMultilevel"/>
    <w:lvl w:ilvl="0">
      <w:lvlJc w:val="left"/>
      <w:lvlText w:val="(%1)"/>
      <w:numFmt w:val="lowerLetter"/>
      <w:start w:val="14"/>
    </w:lvl>
  </w:abstractNum>
  <w:abstractNum w:abstractNumId="297">
    <w:nsid w:val="3957756A"/>
    <w:multiLevelType w:val="hybridMultilevel"/>
    <w:lvl w:ilvl="0">
      <w:lvlJc w:val="left"/>
      <w:lvlText w:val="(%1)"/>
      <w:numFmt w:val="lowerLetter"/>
      <w:start w:val="18"/>
    </w:lvl>
  </w:abstractNum>
  <w:abstractNum w:abstractNumId="298">
    <w:nsid w:val="3E6DA1C7"/>
    <w:multiLevelType w:val="hybridMultilevel"/>
    <w:lvl w:ilvl="0">
      <w:lvlJc w:val="left"/>
      <w:lvlText w:val="(%1)"/>
      <w:numFmt w:val="lowerLetter"/>
      <w:start w:val="21"/>
    </w:lvl>
  </w:abstractNum>
  <w:abstractNum w:abstractNumId="299">
    <w:nsid w:val="65CA235B"/>
    <w:multiLevelType w:val="hybridMultilevel"/>
    <w:lvl w:ilvl="0">
      <w:lvlJc w:val="left"/>
      <w:lvlText w:val="(%1)"/>
      <w:numFmt w:val="lowerLetter"/>
      <w:start w:val="24"/>
    </w:lvl>
  </w:abstractNum>
  <w:abstractNum w:abstractNumId="300">
    <w:nsid w:val="51CB0DA4"/>
    <w:multiLevelType w:val="hybridMultilevel"/>
    <w:lvl w:ilvl="0">
      <w:lvlJc w:val="left"/>
      <w:lvlText w:val="(%1)"/>
      <w:numFmt w:val="lowerLetter"/>
      <w:start w:val="27"/>
    </w:lvl>
  </w:abstractNum>
  <w:abstractNum w:abstractNumId="301">
    <w:nsid w:val="7B9B743C"/>
    <w:multiLevelType w:val="hybridMultilevel"/>
    <w:lvl w:ilvl="0">
      <w:lvlJc w:val="left"/>
      <w:lvlText w:val="(%1)"/>
      <w:numFmt w:val="lowerLetter"/>
      <w:start w:val="28"/>
    </w:lvl>
  </w:abstractNum>
  <w:abstractNum w:abstractNumId="302">
    <w:nsid w:val="13E21002"/>
    <w:multiLevelType w:val="hybridMultilevel"/>
    <w:lvl w:ilvl="0">
      <w:lvlJc w:val="left"/>
      <w:lvlText w:val="(%1)"/>
      <w:numFmt w:val="lowerLetter"/>
      <w:start w:val="29"/>
    </w:lvl>
  </w:abstractNum>
  <w:abstractNum w:abstractNumId="303">
    <w:nsid w:val="257D63F4"/>
    <w:multiLevelType w:val="hybridMultilevel"/>
    <w:lvl w:ilvl="0">
      <w:lvlJc w:val="left"/>
      <w:lvlText w:val="(%1)"/>
      <w:numFmt w:val="lowerLetter"/>
      <w:start w:val="31"/>
    </w:lvl>
  </w:abstractNum>
  <w:abstractNum w:abstractNumId="304">
    <w:nsid w:val="70EC11B2"/>
    <w:multiLevelType w:val="hybridMultilevel"/>
    <w:lvl w:ilvl="0">
      <w:lvlJc w:val="left"/>
      <w:lvlText w:val="(%1)"/>
      <w:numFmt w:val="lowerLetter"/>
      <w:start w:val="35"/>
    </w:lvl>
  </w:abstractNum>
  <w:abstractNum w:abstractNumId="305">
    <w:nsid w:val="2EDA00ED"/>
    <w:multiLevelType w:val="hybridMultilevel"/>
    <w:lvl w:ilvl="0">
      <w:lvlJc w:val="left"/>
      <w:lvlText w:val="(%1)"/>
      <w:numFmt w:val="lowerLetter"/>
      <w:start w:val="41"/>
    </w:lvl>
  </w:abstractNum>
  <w:abstractNum w:abstractNumId="306">
    <w:nsid w:val="73209072"/>
    <w:multiLevelType w:val="hybridMultilevel"/>
    <w:lvl w:ilvl="0">
      <w:lvlJc w:val="left"/>
      <w:lvlText w:val="(%1)"/>
      <w:numFmt w:val="lowerLetter"/>
      <w:start w:val="45"/>
    </w:lvl>
  </w:abstractNum>
  <w:abstractNum w:abstractNumId="307">
    <w:nsid w:val="5FB29816"/>
    <w:multiLevelType w:val="hybridMultilevel"/>
    <w:lvl w:ilvl="0">
      <w:lvlJc w:val="left"/>
      <w:lvlText w:val="(%1)"/>
      <w:numFmt w:val="lowerLetter"/>
      <w:start w:val="48"/>
    </w:lvl>
  </w:abstractNum>
  <w:abstractNum w:abstractNumId="308">
    <w:nsid w:val="3CE732EC"/>
    <w:multiLevelType w:val="hybridMultilevel"/>
    <w:lvl w:ilvl="0">
      <w:lvlJc w:val="left"/>
      <w:lvlText w:val="%1."/>
      <w:numFmt w:val="decimal"/>
      <w:start w:val="3"/>
    </w:lvl>
    <w:lvl w:ilvl="1">
      <w:lvlJc w:val="left"/>
      <w:lvlText w:val="(%2)"/>
      <w:numFmt w:val="lowerLetter"/>
      <w:start w:val="1"/>
    </w:lvl>
  </w:abstractNum>
  <w:abstractNum w:abstractNumId="309">
    <w:nsid w:val="22F13DF3"/>
    <w:multiLevelType w:val="hybridMultilevel"/>
    <w:lvl w:ilvl="0">
      <w:lvlJc w:val="left"/>
      <w:lvlText w:val="(%1)"/>
      <w:numFmt w:val="lowerLetter"/>
      <w:start w:val="4"/>
    </w:lvl>
  </w:abstractNum>
  <w:abstractNum w:abstractNumId="310">
    <w:nsid w:val="792B8401"/>
    <w:multiLevelType w:val="hybridMultilevel"/>
    <w:lvl w:ilvl="0">
      <w:lvlJc w:val="left"/>
      <w:lvlText w:val="%1"/>
      <w:numFmt w:val="decimal"/>
      <w:start w:val="1"/>
    </w:lvl>
    <w:lvl w:ilvl="1">
      <w:lvlJc w:val="left"/>
      <w:lvlText w:val="(%2)"/>
      <w:numFmt w:val="lowerLetter"/>
      <w:start w:val="8"/>
    </w:lvl>
  </w:abstractNum>
  <w:abstractNum w:abstractNumId="311">
    <w:nsid w:val="FA85F4D"/>
    <w:multiLevelType w:val="hybridMultilevel"/>
    <w:lvl w:ilvl="0">
      <w:lvlJc w:val="left"/>
      <w:lvlText w:val="%1."/>
      <w:numFmt w:val="decimal"/>
      <w:start w:val="4"/>
    </w:lvl>
    <w:lvl w:ilvl="1">
      <w:lvlJc w:val="left"/>
      <w:lvlText w:val="(%2)"/>
      <w:numFmt w:val="lowerLetter"/>
      <w:start w:val="1"/>
    </w:lvl>
  </w:abstractNum>
  <w:abstractNum w:abstractNumId="312">
    <w:nsid w:val="6ECE91F0"/>
    <w:multiLevelType w:val="hybridMultilevel"/>
    <w:lvl w:ilvl="0">
      <w:lvlJc w:val="left"/>
      <w:lvlText w:val="(%1)"/>
      <w:numFmt w:val="lowerLetter"/>
      <w:start w:val="2"/>
    </w:lvl>
  </w:abstractNum>
  <w:abstractNum w:abstractNumId="313">
    <w:nsid w:val="4FC4D600"/>
    <w:multiLevelType w:val="hybridMultilevel"/>
    <w:lvl w:ilvl="0">
      <w:lvlJc w:val="left"/>
      <w:lvlText w:val="(%1)"/>
      <w:numFmt w:val="lowerLetter"/>
      <w:start w:val="4"/>
    </w:lvl>
  </w:abstractNum>
  <w:abstractNum w:abstractNumId="314">
    <w:nsid w:val="5BFD4210"/>
    <w:multiLevelType w:val="hybridMultilevel"/>
    <w:lvl w:ilvl="0">
      <w:lvlJc w:val="left"/>
      <w:lvlText w:val="%1"/>
      <w:numFmt w:val="lowerLetter"/>
      <w:start w:val="1"/>
    </w:lvl>
    <w:lvl w:ilvl="1">
      <w:lvlJc w:val="left"/>
      <w:lvlText w:val="(%2)"/>
      <w:numFmt w:val="lowerLetter"/>
      <w:start w:val="8"/>
    </w:lvl>
  </w:abstractNum>
  <w:abstractNum w:abstractNumId="315">
    <w:nsid w:val="76574F8B"/>
    <w:multiLevelType w:val="hybridMultilevel"/>
    <w:lvl w:ilvl="0">
      <w:lvlJc w:val="left"/>
      <w:lvlText w:val="(%1)"/>
      <w:numFmt w:val="lowerLetter"/>
      <w:start w:val="9"/>
    </w:lvl>
    <w:lvl w:ilvl="1">
      <w:lvlJc w:val="left"/>
      <w:lvlText w:val="%2"/>
      <w:numFmt w:val="lowerLetter"/>
      <w:start w:val="1"/>
    </w:lvl>
  </w:abstractNum>
  <w:abstractNum w:abstractNumId="316">
    <w:nsid w:val="178F7B67"/>
    <w:multiLevelType w:val="hybridMultilevel"/>
    <w:lvl w:ilvl="0">
      <w:lvlJc w:val="left"/>
      <w:lvlText w:val="(%1)"/>
      <w:numFmt w:val="lowerLetter"/>
      <w:start w:val="12"/>
    </w:lvl>
  </w:abstractNum>
  <w:abstractNum w:abstractNumId="317">
    <w:nsid w:val="2421DFCF"/>
    <w:multiLevelType w:val="hybridMultilevel"/>
    <w:lvl w:ilvl="0">
      <w:lvlJc w:val="left"/>
      <w:lvlText w:val="(%1)"/>
      <w:numFmt w:val="lowerLetter"/>
      <w:start w:val="18"/>
    </w:lvl>
  </w:abstractNum>
  <w:abstractNum w:abstractNumId="318">
    <w:nsid w:val="1565AC99"/>
    <w:multiLevelType w:val="hybridMultilevel"/>
    <w:lvl w:ilvl="0">
      <w:lvlJc w:val="left"/>
      <w:lvlText w:val="(%1)"/>
      <w:numFmt w:val="lowerLetter"/>
      <w:start w:val="21"/>
    </w:lvl>
  </w:abstractNum>
  <w:abstractNum w:abstractNumId="319">
    <w:nsid w:val="19FB2650"/>
    <w:multiLevelType w:val="hybridMultilevel"/>
    <w:lvl w:ilvl="0">
      <w:lvlJc w:val="left"/>
      <w:lvlText w:val="%1"/>
      <w:numFmt w:val="decimal"/>
      <w:start w:val="1"/>
    </w:lvl>
    <w:lvl w:ilvl="1">
      <w:lvlJc w:val="left"/>
      <w:lvlText w:val="(%2)"/>
      <w:numFmt w:val="lowerRoman"/>
      <w:start w:val="10"/>
    </w:lvl>
  </w:abstractNum>
  <w:abstractNum w:abstractNumId="320">
    <w:nsid w:val="5024DE5B"/>
    <w:multiLevelType w:val="hybridMultilevel"/>
    <w:lvl w:ilvl="0">
      <w:lvlJc w:val="left"/>
      <w:lvlText w:val="%1."/>
      <w:numFmt w:val="decimal"/>
      <w:start w:val="5"/>
    </w:lvl>
    <w:lvl w:ilvl="1">
      <w:lvlJc w:val="left"/>
      <w:lvlText w:val="%2"/>
      <w:numFmt w:val="lowerRoman"/>
      <w:start w:val="1"/>
    </w:lvl>
  </w:abstractNum>
  <w:abstractNum w:abstractNumId="321">
    <w:nsid w:val="168EFE17"/>
    <w:multiLevelType w:val="hybridMultilevel"/>
    <w:lvl w:ilvl="0">
      <w:lvlJc w:val="left"/>
      <w:lvlText w:val="(%1)"/>
      <w:numFmt w:val="lowerRoman"/>
      <w:start w:val="7"/>
    </w:lvl>
    <w:lvl w:ilvl="1">
      <w:lvlJc w:val="left"/>
      <w:lvlText w:val="%2."/>
      <w:numFmt w:val="decimal"/>
      <w:start w:val="6"/>
    </w:lvl>
    <w:lvl w:ilvl="2">
      <w:lvlJc w:val="left"/>
      <w:lvlText w:val="(%3)"/>
      <w:numFmt w:val="lowerLetter"/>
      <w:start w:val="1"/>
    </w:lvl>
  </w:abstractNum>
  <w:abstractNum w:abstractNumId="322">
    <w:nsid w:val="1036B29F"/>
    <w:multiLevelType w:val="hybridMultilevel"/>
    <w:lvl w:ilvl="0">
      <w:lvlJc w:val="left"/>
      <w:lvlText w:val="(%1)"/>
      <w:numFmt w:val="lowerLetter"/>
      <w:start w:val="4"/>
    </w:lvl>
    <w:lvl w:ilvl="1">
      <w:lvlJc w:val="left"/>
      <w:lvlText w:val="(%2)"/>
      <w:numFmt w:val="lowerRoman"/>
      <w:start w:val="1"/>
    </w:lvl>
  </w:abstractNum>
  <w:abstractNum w:abstractNumId="323">
    <w:nsid w:val="1D206B8E"/>
    <w:multiLevelType w:val="hybridMultilevel"/>
    <w:lvl w:ilvl="0">
      <w:lvlJc w:val="left"/>
      <w:lvlText w:val="(%1)"/>
      <w:numFmt w:val="lowerLetter"/>
      <w:start w:val="7"/>
    </w:lvl>
  </w:abstractNum>
  <w:abstractNum w:abstractNumId="324">
    <w:nsid w:val="7934D3D4"/>
    <w:multiLevelType w:val="hybridMultilevel"/>
    <w:lvl w:ilvl="0">
      <w:lvlJc w:val="left"/>
      <w:lvlText w:val="%1."/>
      <w:numFmt w:val="decimal"/>
      <w:start w:val="7"/>
    </w:lvl>
    <w:lvl w:ilvl="1">
      <w:lvlJc w:val="left"/>
      <w:lvlText w:val="(%2)"/>
      <w:numFmt w:val="lowerLetter"/>
      <w:start w:val="1"/>
    </w:lvl>
  </w:abstractNum>
  <w:abstractNum w:abstractNumId="325">
    <w:nsid w:val="1C65E98"/>
    <w:multiLevelType w:val="hybridMultilevel"/>
    <w:lvl w:ilvl="0">
      <w:lvlJc w:val="left"/>
      <w:lvlText w:val="(%1)"/>
      <w:numFmt w:val="lowerLetter"/>
      <w:start w:val="2"/>
    </w:lvl>
  </w:abstractNum>
  <w:abstractNum w:abstractNumId="326">
    <w:nsid w:val="1495E50A"/>
    <w:multiLevelType w:val="hybridMultilevel"/>
    <w:lvl w:ilvl="0">
      <w:lvlJc w:val="left"/>
      <w:lvlText w:val="(%1)"/>
      <w:numFmt w:val="lowerLetter"/>
      <w:start w:val="9"/>
    </w:lvl>
    <w:lvl w:ilvl="1">
      <w:lvlJc w:val="left"/>
      <w:lvlText w:val="(%2)"/>
      <w:numFmt w:val="lowerLetter"/>
      <w:start w:val="3"/>
    </w:lvl>
  </w:abstractNum>
  <w:abstractNum w:abstractNumId="327">
    <w:nsid w:val="F5BCF61"/>
    <w:multiLevelType w:val="hybridMultilevel"/>
    <w:lvl w:ilvl="0">
      <w:lvlJc w:val="left"/>
      <w:lvlText w:val="%1"/>
      <w:numFmt w:val="lowerLetter"/>
      <w:start w:val="1"/>
    </w:lvl>
    <w:lvl w:ilvl="1">
      <w:lvlJc w:val="left"/>
      <w:lvlText w:val="(%2)"/>
      <w:numFmt w:val="lowerLetter"/>
      <w:start w:val="4"/>
    </w:lvl>
  </w:abstractNum>
  <w:abstractNum w:abstractNumId="328">
    <w:nsid w:val="3B1DD403"/>
    <w:multiLevelType w:val="hybridMultilevel"/>
    <w:lvl w:ilvl="0">
      <w:lvlJc w:val="left"/>
      <w:lvlText w:val="(%1)"/>
      <w:numFmt w:val="lowerLetter"/>
      <w:start w:val="9"/>
    </w:lvl>
    <w:lvl w:ilvl="1">
      <w:lvlJc w:val="left"/>
      <w:lvlText w:val="(%2)"/>
      <w:numFmt w:val="lowerLetter"/>
      <w:start w:val="5"/>
    </w:lvl>
  </w:abstractNum>
  <w:abstractNum w:abstractNumId="329">
    <w:nsid w:val="530386D1"/>
    <w:multiLevelType w:val="hybridMultilevel"/>
    <w:lvl w:ilvl="0">
      <w:lvlJc w:val="left"/>
      <w:lvlText w:val="%1."/>
      <w:numFmt w:val="decimal"/>
      <w:start w:val="8"/>
    </w:lvl>
    <w:lvl w:ilvl="1">
      <w:lvlJc w:val="left"/>
      <w:lvlText w:val="(%2)"/>
      <w:numFmt w:val="lowerLetter"/>
      <w:start w:val="1"/>
    </w:lvl>
  </w:abstractNum>
  <w:abstractNum w:abstractNumId="330">
    <w:nsid w:val="7525F2BC"/>
    <w:multiLevelType w:val="hybridMultilevel"/>
    <w:lvl w:ilvl="0">
      <w:lvlJc w:val="left"/>
      <w:lvlText w:val="%1"/>
      <w:numFmt w:val="decimal"/>
      <w:start w:val="1"/>
    </w:lvl>
    <w:lvl w:ilvl="1">
      <w:lvlJc w:val="left"/>
      <w:lvlText w:val="(%2)"/>
      <w:numFmt w:val="lowerLetter"/>
      <w:start w:val="2"/>
    </w:lvl>
  </w:abstractNum>
  <w:abstractNum w:abstractNumId="331">
    <w:nsid w:val="CE8E1A7"/>
    <w:multiLevelType w:val="hybridMultilevel"/>
    <w:lvl w:ilvl="0">
      <w:lvlJc w:val="left"/>
      <w:lvlText w:val="%1."/>
      <w:numFmt w:val="decimal"/>
      <w:start w:val="9"/>
    </w:lvl>
    <w:lvl w:ilvl="1">
      <w:lvlJc w:val="left"/>
      <w:lvlText w:val="%2"/>
      <w:numFmt w:val="lowerLetter"/>
      <w:start w:val="1"/>
    </w:lvl>
  </w:abstractNum>
  <w:abstractNum w:abstractNumId="332">
    <w:nsid w:val="4E9EFB0D"/>
    <w:multiLevelType w:val="hybridMultilevel"/>
    <w:lvl w:ilvl="0">
      <w:lvlJc w:val="left"/>
      <w:lvlText w:val="%1"/>
      <w:numFmt w:val="decimal"/>
      <w:start w:val="55"/>
    </w:lvl>
  </w:abstractNum>
  <w:abstractNum w:abstractNumId="333">
    <w:nsid w:val="90802BE"/>
    <w:multiLevelType w:val="hybridMultilevel"/>
    <w:lvl w:ilvl="0">
      <w:lvlJc w:val="left"/>
      <w:lvlText w:val="%1"/>
      <w:numFmt w:val="decimal"/>
      <w:start w:val="450"/>
    </w:lvl>
  </w:abstractNum>
  <w:abstractNum w:abstractNumId="334">
    <w:nsid w:val="3266459B"/>
    <w:multiLevelType w:val="hybridMultilevel"/>
    <w:lvl w:ilvl="0">
      <w:lvlJc w:val="left"/>
      <w:lvlText w:val="%1."/>
      <w:numFmt w:val="decimal"/>
      <w:start w:val="11"/>
    </w:lvl>
  </w:abstractNum>
  <w:abstractNum w:abstractNumId="335">
    <w:nsid w:val="3F8B0CBF"/>
    <w:multiLevelType w:val="hybridMultilevel"/>
    <w:lvl w:ilvl="0">
      <w:lvlJc w:val="left"/>
      <w:lvlText w:val="%1."/>
      <w:numFmt w:val="decimal"/>
      <w:start w:val="13"/>
    </w:lvl>
    <w:lvl w:ilvl="1">
      <w:lvlJc w:val="left"/>
      <w:lvlText w:val="(%2)"/>
      <w:numFmt w:val="lowerLetter"/>
      <w:start w:val="1"/>
    </w:lvl>
  </w:abstractNum>
  <w:abstractNum w:abstractNumId="336">
    <w:nsid w:val="37E203AB"/>
    <w:multiLevelType w:val="hybridMultilevel"/>
    <w:lvl w:ilvl="0">
      <w:lvlJc w:val="left"/>
      <w:lvlText w:val="(%1)"/>
      <w:numFmt w:val="lowerLetter"/>
      <w:start w:val="2"/>
    </w:lvl>
  </w:abstractNum>
  <w:abstractNum w:abstractNumId="337">
    <w:nsid w:val="2586D60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2023-05-18T05:19:58Z</dcterms:created>
  <dcterms:modified xsi:type="dcterms:W3CDTF">2023-05-18T05:19:58Z</dcterms:modified>
</cp:coreProperties>
</file>