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36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36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52,897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1,764,619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1,764,119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1,763,519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9.72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1,762,619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1,762,519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1,762,319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9.79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1,761,919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1,377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1,760,542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9.71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1,759,342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9.73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1,759,242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1,756,142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1,755,942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1,755,442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1,752,642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1,752,542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1,751,542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1,746,242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1,745,342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1,745,242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1,745,142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1,744,942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1,744,642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1,743,242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36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(A)5.Number(D)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Exercisable.6DateExercisableDate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Title.7Title andShares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140" w:type="dxa"/>
            <w:vAlign w:val="bottom"/>
            <w:gridSpan w:val="12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sales reported in this Form 4 were effected pursuant to a Rule 10b5-1 trading plan adopted by the reporting person on June 8, 2007.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/s/ Carl A. Valenstein,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highlight w:val="white"/>
              </w:rPr>
              <w:t>09/27/2007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5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highlight w:val="white"/>
              </w:rPr>
              <w:t>in 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</w:t>
            </w:r>
          </w:p>
        </w:tc>
        <w:tc>
          <w:tcPr>
            <w:tcW w:w="24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1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3"/>
                <w:szCs w:val="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 xml:space="preserve"> Instruction 6 for procedure.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0" w:type="dxa"/>
            <w:vAlign w:val="bottom"/>
            <w:gridSpan w:val="17"/>
          </w:tcPr>
          <w:p>
            <w:pPr>
              <w:ind w:left="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2019-12-16T12:59:44Z</dcterms:created>
  <dcterms:modified xsi:type="dcterms:W3CDTF">2019-12-16T12:59:44Z</dcterms:modified>
</cp:coreProperties>
</file>