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7930137.xml.htm"/>
      <w:bookmarkStart w:id="1" w:name="kswkform4_177793013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FOWLER JOHN D JR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PROFESSIONAL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GAITHERSBURG</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20879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Emergent BioSolutions Inc.</w:t>
              </w:r>
            </w:hyperlink>
            <w:r>
              <w:rPr/>
              <w:t xml:space="preserve"> [ </w:t>
            </w:r>
            <w:r>
              <w:rPr>
                <w:rFonts w:ascii="Times;serif" w:hAnsi="Times;serif"/>
                <w:color w:val="0000FF"/>
                <w:sz w:val="24"/>
                <w:shd w:fill="FFFFFF" w:val="clear"/>
              </w:rPr>
              <w:t>EBS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04/30/2026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25,344</w:t>
            </w:r>
            <w:r>
              <w:rPr>
                <w:rFonts w:ascii="Times;serif" w:hAnsi="Times;serif"/>
                <w:color w:val="008000"/>
                <w:position w:val="7"/>
                <w:sz w:val="16"/>
                <w:sz w:val="20"/>
                <w:shd w:fill="FFFFFF" w:val="clear"/>
              </w:rPr>
              <w:t>(1)</w:t>
            </w:r>
            <w:r>
              <w:rPr/>
              <w:t xml:space="preserve"> </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30,350</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8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61"/>
        <w:gridCol w:w="801"/>
        <w:gridCol w:w="936"/>
        <w:gridCol w:w="831"/>
        <w:gridCol w:w="846"/>
      </w:tblGrid>
      <w:tr>
        <w:trPr>
          <w:tblHeader w:val="true"/>
        </w:trPr>
        <w:tc>
          <w:tcPr>
            <w:tcW w:w="1208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7.99</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11,296</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04/30/2033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11,296</w:t>
            </w: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11,296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an annual grant of restricted stock units ("RSUs") granted under the Company's Stock Incentive plan, as amended and restated, for Board and Committee service. Each RSU represents a right to receive one share of Emergent BioSolutions Inc. (the "Company") common stock upon vesting. The shares underlying the RSUs will vest on the day prior to the one-year anniversary of the grant date ("Annual Grant Vesting Date"), subject to the reporting person remaining a member of the Company's board of directors through the Annual Grant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Consists of stock options granted under the Company's Stock Incentive Plan, as amended and restated, for Board and Committee service. The shares underlying the options will vest on the Annual Grant Vesting Date, subject to the reporting person remaining a member of the Company's board of directors through the Annual Grant Vesting Date. Each stock option represents a right to purchase one share of the Company's common stock upon vesting at the exercise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number of options granted was determined by multiplying 25% of the total non-employee director compensation value, and then dividing by the Black-Scholes value of a single option calculated as of the date of the grant.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Richard S. Lindahl,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90344" TargetMode="External"/><Relationship Id="rId5" Type="http://schemas.openxmlformats.org/officeDocument/2006/relationships/hyperlink" Target="http://www.sec.gov/cgi-bin/browse-edgar?action=getcompany&amp;CIK=000136764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776</Words>
  <Characters>4186</Characters>
  <CharactersWithSpaces>4893</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