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40"/>
        <w:spacing w:after="0" w:line="234" w:lineRule="auto"/>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CURRENT REPORT</w:t>
      </w:r>
    </w:p>
    <w:p>
      <w:pPr>
        <w:jc w:val="center"/>
        <w:ind w:right="40"/>
        <w:spacing w:after="0" w:line="234" w:lineRule="auto"/>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24, 2018</w:t>
      </w:r>
    </w:p>
    <w:p>
      <w:pPr>
        <w:spacing w:after="0" w:line="1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Emergent BioSolutions Inc.</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89" w:lineRule="exact"/>
        <w:rPr>
          <w:sz w:val="24"/>
          <w:szCs w:val="24"/>
          <w:color w:val="auto"/>
        </w:rPr>
      </w:pPr>
    </w:p>
    <w:tbl>
      <w:tblPr>
        <w:tblLayout w:type="fixed"/>
        <w:tblInd w:w="1340" w:type="dxa"/>
        <w:tblCellMar>
          <w:top w:w="0" w:type="dxa"/>
          <w:left w:w="0" w:type="dxa"/>
          <w:bottom w:w="0" w:type="dxa"/>
          <w:right w:w="0" w:type="dxa"/>
        </w:tblCellMar>
      </w:tblPr>
      <w:tr>
        <w:trPr>
          <w:trHeight w:val="139"/>
        </w:trPr>
        <w:tc>
          <w:tcPr>
            <w:tcW w:w="3980" w:type="dxa"/>
            <w:vAlign w:val="bottom"/>
          </w:tcPr>
          <w:p>
            <w:pPr>
              <w:jc w:val="center"/>
              <w:ind w:right="26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20" w:type="dxa"/>
            <w:vAlign w:val="bottom"/>
          </w:tcPr>
          <w:p>
            <w:pPr>
              <w:jc w:val="center"/>
              <w:ind w:right="1320"/>
              <w:spacing w:after="0"/>
              <w:rPr>
                <w:sz w:val="20"/>
                <w:szCs w:val="20"/>
                <w:color w:val="auto"/>
              </w:rPr>
            </w:pPr>
            <w:r>
              <w:rPr>
                <w:rFonts w:ascii="Times New Roman" w:cs="Times New Roman" w:eastAsia="Times New Roman" w:hAnsi="Times New Roman"/>
                <w:sz w:val="12"/>
                <w:szCs w:val="12"/>
                <w:b w:val="1"/>
                <w:bCs w:val="1"/>
                <w:color w:val="auto"/>
                <w:w w:val="99"/>
              </w:rPr>
              <w:t>001-33137</w:t>
            </w:r>
          </w:p>
        </w:tc>
        <w:tc>
          <w:tcPr>
            <w:tcW w:w="2400" w:type="dxa"/>
            <w:vAlign w:val="bottom"/>
          </w:tcPr>
          <w:p>
            <w:pPr>
              <w:jc w:val="center"/>
              <w:ind w:left="1440"/>
              <w:spacing w:after="0"/>
              <w:rPr>
                <w:sz w:val="20"/>
                <w:szCs w:val="20"/>
                <w:color w:val="auto"/>
              </w:rPr>
            </w:pPr>
            <w:r>
              <w:rPr>
                <w:rFonts w:ascii="Times New Roman" w:cs="Times New Roman" w:eastAsia="Times New Roman" w:hAnsi="Times New Roman"/>
                <w:sz w:val="12"/>
                <w:szCs w:val="12"/>
                <w:b w:val="1"/>
                <w:bCs w:val="1"/>
                <w:color w:val="auto"/>
                <w:w w:val="99"/>
              </w:rPr>
              <w:t>14-1902018</w:t>
            </w:r>
          </w:p>
        </w:tc>
      </w:tr>
      <w:tr>
        <w:trPr>
          <w:trHeight w:val="135"/>
        </w:trPr>
        <w:tc>
          <w:tcPr>
            <w:tcW w:w="3980" w:type="dxa"/>
            <w:vAlign w:val="bottom"/>
          </w:tcPr>
          <w:p>
            <w:pPr>
              <w:jc w:val="center"/>
              <w:ind w:right="2620"/>
              <w:spacing w:after="0" w:line="135"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2220" w:type="dxa"/>
            <w:vAlign w:val="bottom"/>
          </w:tcPr>
          <w:p>
            <w:pPr>
              <w:jc w:val="center"/>
              <w:ind w:right="1320"/>
              <w:spacing w:after="0" w:line="135" w:lineRule="exact"/>
              <w:rPr>
                <w:sz w:val="20"/>
                <w:szCs w:val="20"/>
                <w:color w:val="auto"/>
              </w:rPr>
            </w:pPr>
            <w:r>
              <w:rPr>
                <w:rFonts w:ascii="Times New Roman" w:cs="Times New Roman" w:eastAsia="Times New Roman" w:hAnsi="Times New Roman"/>
                <w:sz w:val="12"/>
                <w:szCs w:val="12"/>
                <w:color w:val="auto"/>
                <w:w w:val="98"/>
              </w:rPr>
              <w:t>(Commission</w:t>
            </w:r>
          </w:p>
        </w:tc>
        <w:tc>
          <w:tcPr>
            <w:tcW w:w="2400" w:type="dxa"/>
            <w:vAlign w:val="bottom"/>
          </w:tcPr>
          <w:p>
            <w:pPr>
              <w:jc w:val="center"/>
              <w:ind w:left="1440"/>
              <w:spacing w:after="0" w:line="135" w:lineRule="exact"/>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3980" w:type="dxa"/>
            <w:vAlign w:val="bottom"/>
          </w:tcPr>
          <w:p>
            <w:pPr>
              <w:jc w:val="center"/>
              <w:ind w:right="2620"/>
              <w:spacing w:after="0"/>
              <w:rPr>
                <w:sz w:val="20"/>
                <w:szCs w:val="20"/>
                <w:color w:val="auto"/>
              </w:rPr>
            </w:pPr>
            <w:r>
              <w:rPr>
                <w:rFonts w:ascii="Times New Roman" w:cs="Times New Roman" w:eastAsia="Times New Roman" w:hAnsi="Times New Roman"/>
                <w:sz w:val="12"/>
                <w:szCs w:val="12"/>
                <w:color w:val="auto"/>
                <w:w w:val="99"/>
              </w:rPr>
              <w:t>of Incorporation)</w:t>
            </w:r>
          </w:p>
        </w:tc>
        <w:tc>
          <w:tcPr>
            <w:tcW w:w="2220" w:type="dxa"/>
            <w:vAlign w:val="bottom"/>
          </w:tcPr>
          <w:p>
            <w:pPr>
              <w:jc w:val="center"/>
              <w:ind w:right="1340"/>
              <w:spacing w:after="0"/>
              <w:rPr>
                <w:sz w:val="20"/>
                <w:szCs w:val="20"/>
                <w:color w:val="auto"/>
              </w:rPr>
            </w:pPr>
            <w:r>
              <w:rPr>
                <w:rFonts w:ascii="Times New Roman" w:cs="Times New Roman" w:eastAsia="Times New Roman" w:hAnsi="Times New Roman"/>
                <w:sz w:val="12"/>
                <w:szCs w:val="12"/>
                <w:color w:val="auto"/>
              </w:rPr>
              <w:t>File Number)</w:t>
            </w:r>
          </w:p>
        </w:tc>
        <w:tc>
          <w:tcPr>
            <w:tcW w:w="2400" w:type="dxa"/>
            <w:vAlign w:val="bottom"/>
          </w:tcPr>
          <w:p>
            <w:pPr>
              <w:jc w:val="center"/>
              <w:ind w:left="144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7"/>
        </w:trPr>
        <w:tc>
          <w:tcPr>
            <w:tcW w:w="3980" w:type="dxa"/>
            <w:vAlign w:val="bottom"/>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9"/>
              </w:rPr>
              <w:t>400 Professional Drive, Suite 400 Gaithersburg, Maryland</w:t>
            </w:r>
          </w:p>
        </w:tc>
        <w:tc>
          <w:tcPr>
            <w:tcW w:w="2220" w:type="dxa"/>
            <w:vAlign w:val="bottom"/>
          </w:tcPr>
          <w:p>
            <w:pPr>
              <w:spacing w:after="0"/>
              <w:rPr>
                <w:sz w:val="24"/>
                <w:szCs w:val="24"/>
                <w:color w:val="auto"/>
              </w:rPr>
            </w:pPr>
          </w:p>
        </w:tc>
        <w:tc>
          <w:tcPr>
            <w:tcW w:w="2400" w:type="dxa"/>
            <w:vAlign w:val="bottom"/>
          </w:tcPr>
          <w:p>
            <w:pPr>
              <w:jc w:val="center"/>
              <w:ind w:left="1440"/>
              <w:spacing w:after="0"/>
              <w:rPr>
                <w:sz w:val="20"/>
                <w:szCs w:val="20"/>
                <w:color w:val="auto"/>
              </w:rPr>
            </w:pPr>
            <w:r>
              <w:rPr>
                <w:rFonts w:ascii="Times New Roman" w:cs="Times New Roman" w:eastAsia="Times New Roman" w:hAnsi="Times New Roman"/>
                <w:sz w:val="12"/>
                <w:szCs w:val="12"/>
                <w:b w:val="1"/>
                <w:bCs w:val="1"/>
                <w:color w:val="auto"/>
                <w:w w:val="99"/>
              </w:rPr>
              <w:t>20879</w:t>
            </w:r>
          </w:p>
        </w:tc>
      </w:tr>
      <w:tr>
        <w:trPr>
          <w:trHeight w:val="155"/>
        </w:trPr>
        <w:tc>
          <w:tcPr>
            <w:tcW w:w="3980" w:type="dxa"/>
            <w:vAlign w:val="bottom"/>
          </w:tcPr>
          <w:p>
            <w:pPr>
              <w:jc w:val="center"/>
              <w:ind w:left="80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20" w:type="dxa"/>
            <w:vAlign w:val="bottom"/>
          </w:tcPr>
          <w:p>
            <w:pPr>
              <w:spacing w:after="0"/>
              <w:rPr>
                <w:sz w:val="13"/>
                <w:szCs w:val="13"/>
                <w:color w:val="auto"/>
              </w:rPr>
            </w:pPr>
          </w:p>
        </w:tc>
        <w:tc>
          <w:tcPr>
            <w:tcW w:w="240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(240) 631-3200</w:t>
      </w:r>
    </w:p>
    <w:p>
      <w:pPr>
        <w:spacing w:after="0" w:line="1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9" w:lineRule="exact"/>
        <w:rPr>
          <w:rFonts w:ascii="MS PGothic" w:cs="MS PGothic" w:eastAsia="MS PGothic" w:hAnsi="MS PGothic"/>
          <w:sz w:val="12"/>
          <w:szCs w:val="12"/>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9" w:lineRule="exact"/>
        <w:rPr>
          <w:rFonts w:ascii="MS PGothic" w:cs="MS PGothic" w:eastAsia="MS PGothic" w:hAnsi="MS PGothic"/>
          <w:sz w:val="12"/>
          <w:szCs w:val="12"/>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7" w:lineRule="exact"/>
        <w:rPr>
          <w:sz w:val="24"/>
          <w:szCs w:val="24"/>
          <w:color w:val="auto"/>
        </w:rPr>
      </w:pPr>
    </w:p>
    <w:p>
      <w:pPr>
        <w:ind w:right="80"/>
        <w:spacing w:after="0" w:line="358"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90" w:lineRule="exact"/>
        <w:rPr>
          <w:sz w:val="24"/>
          <w:szCs w:val="24"/>
          <w:color w:val="auto"/>
        </w:rPr>
      </w:pPr>
    </w:p>
    <w:p>
      <w:pPr>
        <w:spacing w:after="0" w:line="138" w:lineRule="exact"/>
        <w:tabs>
          <w:tab w:leader="none" w:pos="144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89" w:lineRule="exact"/>
        <w:rPr>
          <w:sz w:val="24"/>
          <w:szCs w:val="24"/>
          <w:color w:val="auto"/>
        </w:rPr>
      </w:pPr>
    </w:p>
    <w:p>
      <w:pPr>
        <w:ind w:right="140"/>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________________________________________________________________________________________________________________________________________________________________</w:t>
      </w:r>
    </w:p>
    <w:p>
      <w:pPr>
        <w:spacing w:after="0" w:line="95" w:lineRule="exact"/>
        <w:rPr>
          <w:sz w:val="24"/>
          <w:szCs w:val="24"/>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5.02</w:t>
      </w:r>
      <w:r>
        <w:rPr>
          <w:sz w:val="20"/>
          <w:szCs w:val="20"/>
          <w:color w:val="auto"/>
        </w:rPr>
        <w:tab/>
      </w:r>
      <w:r>
        <w:rPr>
          <w:rFonts w:ascii="Times New Roman" w:cs="Times New Roman" w:eastAsia="Times New Roman" w:hAnsi="Times New Roman"/>
          <w:sz w:val="12"/>
          <w:szCs w:val="12"/>
          <w:b w:val="1"/>
          <w:bCs w:val="1"/>
          <w:color w:val="auto"/>
        </w:rPr>
        <w:t>Departure of Directors or Certain Officers; Election of Directors; Appointment of Certain Officers; Compensatory Arrangements of Certain Officers.</w:t>
      </w:r>
    </w:p>
    <w:p>
      <w:pPr>
        <w:spacing w:after="0" w:line="19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On May 24, 2018, Emergent BioSolutions Inc. held its 2018 annual meeting of stockholders. At the annual meeting, Emergent's stockholders approved the Emergent BioSolutions Inc. Stock Incentive Plan, or the Amended Plan.</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board of directors adopted the Amended Plan on March 22, 2018, subject to stockholder approval.</w:t>
      </w:r>
    </w:p>
    <w:p>
      <w:pPr>
        <w:spacing w:after="0" w:line="28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2"/>
          <w:szCs w:val="12"/>
          <w:color w:val="auto"/>
        </w:rPr>
        <w:t>The Amended Plan includes the following material changes to the Fourth Amended and Restated Emergent BioSolutions Inc. 2006 Stock Incentive Plan, which:</w:t>
      </w:r>
    </w:p>
    <w:p>
      <w:pPr>
        <w:spacing w:after="0" w:line="150" w:lineRule="exact"/>
        <w:rPr>
          <w:sz w:val="24"/>
          <w:szCs w:val="24"/>
          <w:color w:val="auto"/>
        </w:rPr>
      </w:pPr>
    </w:p>
    <w:p>
      <w:pPr>
        <w:ind w:left="1340" w:right="620" w:hanging="359"/>
        <w:spacing w:after="0" w:line="280" w:lineRule="auto"/>
        <w:tabs>
          <w:tab w:leader="none" w:pos="1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Increase the number of shares of Emergent's common stock available for issuance under the plan by 3,000,000 shares, subject to adjustment in the event of stock splits and other similar events; and · Extend the term of the plan so that it expires on May 23, 2028.</w:t>
      </w:r>
    </w:p>
    <w:p>
      <w:pPr>
        <w:spacing w:after="0" w:line="110" w:lineRule="exact"/>
        <w:rPr>
          <w:sz w:val="24"/>
          <w:szCs w:val="24"/>
          <w:color w:val="auto"/>
        </w:rPr>
      </w:pPr>
    </w:p>
    <w:p>
      <w:pPr>
        <w:ind w:right="220" w:firstLine="432"/>
        <w:spacing w:after="0" w:line="265" w:lineRule="auto"/>
        <w:rPr>
          <w:sz w:val="20"/>
          <w:szCs w:val="20"/>
          <w:color w:val="auto"/>
        </w:rPr>
      </w:pPr>
      <w:r>
        <w:rPr>
          <w:rFonts w:ascii="Times New Roman" w:cs="Times New Roman" w:eastAsia="Times New Roman" w:hAnsi="Times New Roman"/>
          <w:sz w:val="12"/>
          <w:szCs w:val="12"/>
          <w:color w:val="auto"/>
        </w:rPr>
        <w:t>The description above is a summary of certain provisions contained in the Amended Plan and does not purport to be complete. A more fulsome description of the terms and conditions of the Amended Plan is set forth in Emergent's definitive proxy statement on Schedule 14A related to the annual meeting, filed on April 13, 2018. Such descriptions are qualified in their entirety by reference to the Amended Plan, a blacklined copy of which is attached as Appendix A to the proxy statement.</w:t>
      </w:r>
    </w:p>
    <w:p>
      <w:pPr>
        <w:spacing w:after="0" w:line="115" w:lineRule="exact"/>
        <w:rPr>
          <w:sz w:val="24"/>
          <w:szCs w:val="24"/>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5.07</w:t>
      </w:r>
      <w:r>
        <w:rPr>
          <w:sz w:val="20"/>
          <w:szCs w:val="20"/>
          <w:color w:val="auto"/>
        </w:rPr>
        <w:tab/>
      </w:r>
      <w:r>
        <w:rPr>
          <w:rFonts w:ascii="Times New Roman" w:cs="Times New Roman" w:eastAsia="Times New Roman" w:hAnsi="Times New Roman"/>
          <w:sz w:val="12"/>
          <w:szCs w:val="12"/>
          <w:b w:val="1"/>
          <w:bCs w:val="1"/>
          <w:color w:val="auto"/>
        </w:rPr>
        <w:t>Submission of Matters to a Vote of Security Holders.</w:t>
      </w:r>
    </w:p>
    <w:p>
      <w:pPr>
        <w:spacing w:after="0" w:line="190" w:lineRule="exact"/>
        <w:rPr>
          <w:sz w:val="24"/>
          <w:szCs w:val="24"/>
          <w:color w:val="auto"/>
        </w:rPr>
      </w:pPr>
    </w:p>
    <w:p>
      <w:pPr>
        <w:ind w:right="160" w:firstLine="476"/>
        <w:spacing w:after="0" w:line="265" w:lineRule="auto"/>
        <w:rPr>
          <w:sz w:val="20"/>
          <w:szCs w:val="20"/>
          <w:color w:val="auto"/>
        </w:rPr>
      </w:pPr>
      <w:r>
        <w:rPr>
          <w:rFonts w:ascii="Times New Roman" w:cs="Times New Roman" w:eastAsia="Times New Roman" w:hAnsi="Times New Roman"/>
          <w:sz w:val="12"/>
          <w:szCs w:val="12"/>
          <w:color w:val="auto"/>
        </w:rPr>
        <w:t>As noted above, the annual meeting was held on May 24, 2018. A total of 46,521,338 shares of Emergent's common stock were present or represented by proxy, which represented approximately 93.40% of Emergent's 49,808,692 shares of common stock that were outstanding and entitled to vote at the annual meeting as of the record date of March 29, 2018. Stockholders considered the four proposals outlined below, each of which is described in more detail in the proxy statement.</w:t>
      </w:r>
    </w:p>
    <w:p>
      <w:pPr>
        <w:spacing w:after="0" w:line="11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Proposal 1</w:t>
      </w:r>
      <w:r>
        <w:rPr>
          <w:rFonts w:ascii="Times New Roman" w:cs="Times New Roman" w:eastAsia="Times New Roman" w:hAnsi="Times New Roman"/>
          <w:sz w:val="12"/>
          <w:szCs w:val="12"/>
          <w:color w:val="auto"/>
        </w:rPr>
        <w:t>. To elect three Class III directors to hold office for a term expiring at our 2021 annual meeting of stockholders and until their respective successors are duly elected and qualified. All director nominees were elected.</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voting results were as follows:</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135"/>
        </w:trPr>
        <w:tc>
          <w:tcPr>
            <w:tcW w:w="2460" w:type="dxa"/>
            <w:vAlign w:val="bottom"/>
            <w:tcBorders>
              <w:top w:val="single" w:sz="8" w:color="auto"/>
              <w:left w:val="single" w:sz="8" w:color="auto"/>
              <w:right w:val="single" w:sz="8" w:color="auto"/>
            </w:tcBorders>
            <w:gridSpan w:val="3"/>
          </w:tcPr>
          <w:p>
            <w:pPr>
              <w:ind w:left="780"/>
              <w:spacing w:after="0" w:line="135" w:lineRule="exact"/>
              <w:rPr>
                <w:sz w:val="20"/>
                <w:szCs w:val="20"/>
                <w:color w:val="auto"/>
              </w:rPr>
            </w:pPr>
            <w:r>
              <w:rPr>
                <w:rFonts w:ascii="Times New Roman" w:cs="Times New Roman" w:eastAsia="Times New Roman" w:hAnsi="Times New Roman"/>
                <w:sz w:val="12"/>
                <w:szCs w:val="12"/>
                <w:color w:val="auto"/>
              </w:rPr>
              <w:t>Director Nominee</w:t>
            </w:r>
          </w:p>
        </w:tc>
        <w:tc>
          <w:tcPr>
            <w:tcW w:w="1060" w:type="dxa"/>
            <w:vAlign w:val="bottom"/>
            <w:tcBorders>
              <w:top w:val="single" w:sz="8" w:color="auto"/>
            </w:tcBorders>
          </w:tcPr>
          <w:p>
            <w:pPr>
              <w:spacing w:after="0"/>
              <w:rPr>
                <w:sz w:val="11"/>
                <w:szCs w:val="11"/>
                <w:color w:val="auto"/>
              </w:rPr>
            </w:pPr>
          </w:p>
        </w:tc>
        <w:tc>
          <w:tcPr>
            <w:tcW w:w="1260" w:type="dxa"/>
            <w:vAlign w:val="bottom"/>
            <w:tcBorders>
              <w:top w:val="single" w:sz="8" w:color="auto"/>
              <w:right w:val="single" w:sz="8" w:color="auto"/>
            </w:tcBorders>
            <w:gridSpan w:val="2"/>
          </w:tcPr>
          <w:p>
            <w:pPr>
              <w:jc w:val="center"/>
              <w:ind w:right="1100"/>
              <w:spacing w:after="0" w:line="135" w:lineRule="exact"/>
              <w:rPr>
                <w:sz w:val="20"/>
                <w:szCs w:val="20"/>
                <w:color w:val="auto"/>
              </w:rPr>
            </w:pPr>
            <w:r>
              <w:rPr>
                <w:rFonts w:ascii="Times New Roman" w:cs="Times New Roman" w:eastAsia="Times New Roman" w:hAnsi="Times New Roman"/>
                <w:sz w:val="12"/>
                <w:szCs w:val="12"/>
                <w:color w:val="auto"/>
                <w:w w:val="95"/>
              </w:rPr>
              <w:t>For</w:t>
            </w:r>
          </w:p>
        </w:tc>
        <w:tc>
          <w:tcPr>
            <w:tcW w:w="860" w:type="dxa"/>
            <w:vAlign w:val="bottom"/>
            <w:tcBorders>
              <w:top w:val="single" w:sz="8" w:color="auto"/>
            </w:tcBorders>
          </w:tcPr>
          <w:p>
            <w:pPr>
              <w:spacing w:after="0"/>
              <w:rPr>
                <w:sz w:val="11"/>
                <w:szCs w:val="11"/>
                <w:color w:val="auto"/>
              </w:rPr>
            </w:pPr>
          </w:p>
        </w:tc>
        <w:tc>
          <w:tcPr>
            <w:tcW w:w="1280" w:type="dxa"/>
            <w:vAlign w:val="bottom"/>
            <w:tcBorders>
              <w:top w:val="single" w:sz="8" w:color="auto"/>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Against</w:t>
            </w:r>
          </w:p>
        </w:tc>
        <w:tc>
          <w:tcPr>
            <w:tcW w:w="2020" w:type="dxa"/>
            <w:vAlign w:val="bottom"/>
            <w:tcBorders>
              <w:top w:val="single" w:sz="8" w:color="auto"/>
              <w:right w:val="single" w:sz="8" w:color="auto"/>
            </w:tcBorders>
            <w:gridSpan w:val="3"/>
          </w:tcPr>
          <w:p>
            <w:pPr>
              <w:ind w:left="740"/>
              <w:spacing w:after="0" w:line="135" w:lineRule="exact"/>
              <w:rPr>
                <w:sz w:val="20"/>
                <w:szCs w:val="20"/>
                <w:color w:val="auto"/>
              </w:rPr>
            </w:pPr>
            <w:r>
              <w:rPr>
                <w:rFonts w:ascii="Times New Roman" w:cs="Times New Roman" w:eastAsia="Times New Roman" w:hAnsi="Times New Roman"/>
                <w:sz w:val="12"/>
                <w:szCs w:val="12"/>
                <w:color w:val="auto"/>
              </w:rPr>
              <w:t>Abstaining</w:t>
            </w:r>
          </w:p>
        </w:tc>
        <w:tc>
          <w:tcPr>
            <w:tcW w:w="820" w:type="dxa"/>
            <w:vAlign w:val="bottom"/>
            <w:tcBorders>
              <w:top w:val="single" w:sz="8" w:color="auto"/>
            </w:tcBorders>
          </w:tcPr>
          <w:p>
            <w:pPr>
              <w:spacing w:after="0"/>
              <w:rPr>
                <w:sz w:val="11"/>
                <w:szCs w:val="11"/>
                <w:color w:val="auto"/>
              </w:rPr>
            </w:pPr>
          </w:p>
        </w:tc>
        <w:tc>
          <w:tcPr>
            <w:tcW w:w="1720" w:type="dxa"/>
            <w:vAlign w:val="bottom"/>
            <w:tcBorders>
              <w:top w:val="single" w:sz="8" w:color="auto"/>
              <w:right w:val="single" w:sz="8" w:color="auto"/>
            </w:tcBorders>
            <w:gridSpan w:val="2"/>
          </w:tcPr>
          <w:p>
            <w:pPr>
              <w:jc w:val="center"/>
              <w:ind w:right="840"/>
              <w:spacing w:after="0" w:line="135" w:lineRule="exact"/>
              <w:rPr>
                <w:sz w:val="20"/>
                <w:szCs w:val="20"/>
                <w:color w:val="auto"/>
              </w:rPr>
            </w:pPr>
            <w:r>
              <w:rPr>
                <w:rFonts w:ascii="Times New Roman" w:cs="Times New Roman" w:eastAsia="Times New Roman" w:hAnsi="Times New Roman"/>
                <w:sz w:val="12"/>
                <w:szCs w:val="12"/>
                <w:color w:val="auto"/>
                <w:w w:val="98"/>
              </w:rPr>
              <w:t>Broker Non-Votes</w:t>
            </w:r>
          </w:p>
        </w:tc>
      </w:tr>
      <w:tr>
        <w:trPr>
          <w:trHeight w:val="20"/>
        </w:trPr>
        <w:tc>
          <w:tcPr>
            <w:tcW w:w="7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2460" w:type="dxa"/>
            <w:vAlign w:val="bottom"/>
            <w:tcBorders>
              <w:left w:val="single" w:sz="8" w:color="auto"/>
              <w:bottom w:val="single" w:sz="8" w:color="auto"/>
              <w:right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2"/>
                <w:szCs w:val="12"/>
                <w:color w:val="auto"/>
              </w:rPr>
              <w:t>Daniel J. Abdun-Nabi</w:t>
            </w:r>
          </w:p>
        </w:tc>
        <w:tc>
          <w:tcPr>
            <w:tcW w:w="2320" w:type="dxa"/>
            <w:vAlign w:val="bottom"/>
            <w:tcBorders>
              <w:bottom w:val="single" w:sz="8" w:color="auto"/>
              <w:right w:val="single" w:sz="8" w:color="auto"/>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2"/>
                <w:szCs w:val="12"/>
                <w:color w:val="auto"/>
                <w:w w:val="99"/>
              </w:rPr>
              <w:t>42,022,748</w:t>
            </w:r>
          </w:p>
        </w:tc>
        <w:tc>
          <w:tcPr>
            <w:tcW w:w="2140" w:type="dxa"/>
            <w:vAlign w:val="bottom"/>
            <w:tcBorders>
              <w:bottom w:val="single" w:sz="8" w:color="auto"/>
              <w:right w:val="single" w:sz="8" w:color="auto"/>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2"/>
                <w:szCs w:val="12"/>
                <w:color w:val="auto"/>
                <w:w w:val="99"/>
              </w:rPr>
              <w:t>1,547,938</w:t>
            </w:r>
          </w:p>
        </w:tc>
        <w:tc>
          <w:tcPr>
            <w:tcW w:w="1260" w:type="dxa"/>
            <w:vAlign w:val="bottom"/>
            <w:tcBorders>
              <w:bottom w:val="single" w:sz="8" w:color="auto"/>
            </w:tcBorders>
            <w:gridSpan w:val="2"/>
          </w:tcPr>
          <w:p>
            <w:pPr>
              <w:jc w:val="center"/>
              <w:ind w:left="660"/>
              <w:spacing w:after="0" w:line="129" w:lineRule="exact"/>
              <w:rPr>
                <w:sz w:val="20"/>
                <w:szCs w:val="20"/>
                <w:color w:val="auto"/>
              </w:rPr>
            </w:pPr>
            <w:r>
              <w:rPr>
                <w:rFonts w:ascii="Times New Roman" w:cs="Times New Roman" w:eastAsia="Times New Roman" w:hAnsi="Times New Roman"/>
                <w:sz w:val="12"/>
                <w:szCs w:val="12"/>
                <w:color w:val="auto"/>
                <w:w w:val="96"/>
              </w:rPr>
              <w:t>4,990</w:t>
            </w:r>
          </w:p>
        </w:tc>
        <w:tc>
          <w:tcPr>
            <w:tcW w:w="76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left="760"/>
              <w:spacing w:after="0" w:line="129" w:lineRule="exact"/>
              <w:rPr>
                <w:sz w:val="20"/>
                <w:szCs w:val="20"/>
                <w:color w:val="auto"/>
              </w:rPr>
            </w:pPr>
            <w:r>
              <w:rPr>
                <w:rFonts w:ascii="Times New Roman" w:cs="Times New Roman" w:eastAsia="Times New Roman" w:hAnsi="Times New Roman"/>
                <w:sz w:val="12"/>
                <w:szCs w:val="12"/>
                <w:color w:val="auto"/>
                <w:w w:val="99"/>
              </w:rPr>
              <w:t>2,945,662</w:t>
            </w:r>
          </w:p>
        </w:tc>
        <w:tc>
          <w:tcPr>
            <w:tcW w:w="840" w:type="dxa"/>
            <w:vAlign w:val="bottom"/>
            <w:tcBorders>
              <w:bottom w:val="single" w:sz="8" w:color="auto"/>
              <w:right w:val="single" w:sz="8" w:color="auto"/>
            </w:tcBorders>
          </w:tcPr>
          <w:p>
            <w:pPr>
              <w:spacing w:after="0"/>
              <w:rPr>
                <w:sz w:val="11"/>
                <w:szCs w:val="11"/>
                <w:color w:val="auto"/>
              </w:rPr>
            </w:pPr>
          </w:p>
        </w:tc>
      </w:tr>
      <w:tr>
        <w:trPr>
          <w:trHeight w:val="142"/>
        </w:trPr>
        <w:tc>
          <w:tcPr>
            <w:tcW w:w="24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Dr. Sue Bailey</w:t>
            </w:r>
          </w:p>
        </w:tc>
        <w:tc>
          <w:tcPr>
            <w:tcW w:w="23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42,943,768</w:t>
            </w:r>
          </w:p>
        </w:tc>
        <w:tc>
          <w:tcPr>
            <w:tcW w:w="21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97"/>
              </w:rPr>
              <w:t>622,969</w:t>
            </w:r>
          </w:p>
        </w:tc>
        <w:tc>
          <w:tcPr>
            <w:tcW w:w="1260" w:type="dxa"/>
            <w:vAlign w:val="bottom"/>
            <w:tcBorders>
              <w:bottom w:val="single" w:sz="8" w:color="auto"/>
            </w:tcBorders>
            <w:gridSpan w:val="2"/>
          </w:tcPr>
          <w:p>
            <w:pPr>
              <w:jc w:val="center"/>
              <w:ind w:left="660"/>
              <w:spacing w:after="0"/>
              <w:rPr>
                <w:sz w:val="20"/>
                <w:szCs w:val="20"/>
                <w:color w:val="auto"/>
              </w:rPr>
            </w:pPr>
            <w:r>
              <w:rPr>
                <w:rFonts w:ascii="Times New Roman" w:cs="Times New Roman" w:eastAsia="Times New Roman" w:hAnsi="Times New Roman"/>
                <w:sz w:val="12"/>
                <w:szCs w:val="12"/>
                <w:color w:val="auto"/>
                <w:w w:val="96"/>
              </w:rPr>
              <w:t>8,939</w:t>
            </w:r>
          </w:p>
        </w:tc>
        <w:tc>
          <w:tcPr>
            <w:tcW w:w="76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tcBorders>
            <w:gridSpan w:val="2"/>
          </w:tcPr>
          <w:p>
            <w:pPr>
              <w:jc w:val="center"/>
              <w:ind w:left="760"/>
              <w:spacing w:after="0"/>
              <w:rPr>
                <w:sz w:val="20"/>
                <w:szCs w:val="20"/>
                <w:color w:val="auto"/>
              </w:rPr>
            </w:pPr>
            <w:r>
              <w:rPr>
                <w:rFonts w:ascii="Times New Roman" w:cs="Times New Roman" w:eastAsia="Times New Roman" w:hAnsi="Times New Roman"/>
                <w:sz w:val="12"/>
                <w:szCs w:val="12"/>
                <w:color w:val="auto"/>
                <w:w w:val="99"/>
              </w:rPr>
              <w:t>2,945,662</w:t>
            </w:r>
          </w:p>
        </w:tc>
        <w:tc>
          <w:tcPr>
            <w:tcW w:w="840" w:type="dxa"/>
            <w:vAlign w:val="bottom"/>
            <w:tcBorders>
              <w:bottom w:val="single" w:sz="8" w:color="auto"/>
              <w:right w:val="single" w:sz="8" w:color="auto"/>
            </w:tcBorders>
          </w:tcPr>
          <w:p>
            <w:pPr>
              <w:spacing w:after="0"/>
              <w:rPr>
                <w:sz w:val="12"/>
                <w:szCs w:val="12"/>
                <w:color w:val="auto"/>
              </w:rPr>
            </w:pPr>
          </w:p>
        </w:tc>
      </w:tr>
      <w:tr>
        <w:trPr>
          <w:trHeight w:val="142"/>
        </w:trPr>
        <w:tc>
          <w:tcPr>
            <w:tcW w:w="24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Jerome M. Hauer, Ph.D.</w:t>
            </w:r>
          </w:p>
        </w:tc>
        <w:tc>
          <w:tcPr>
            <w:tcW w:w="23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42,941,815</w:t>
            </w:r>
          </w:p>
        </w:tc>
        <w:tc>
          <w:tcPr>
            <w:tcW w:w="21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97"/>
              </w:rPr>
              <w:t>621,658</w:t>
            </w:r>
          </w:p>
        </w:tc>
        <w:tc>
          <w:tcPr>
            <w:tcW w:w="1260" w:type="dxa"/>
            <w:vAlign w:val="bottom"/>
            <w:tcBorders>
              <w:bottom w:val="single" w:sz="8" w:color="auto"/>
            </w:tcBorders>
            <w:gridSpan w:val="2"/>
          </w:tcPr>
          <w:p>
            <w:pPr>
              <w:jc w:val="center"/>
              <w:ind w:left="660"/>
              <w:spacing w:after="0"/>
              <w:rPr>
                <w:sz w:val="20"/>
                <w:szCs w:val="20"/>
                <w:color w:val="auto"/>
              </w:rPr>
            </w:pPr>
            <w:r>
              <w:rPr>
                <w:rFonts w:ascii="Times New Roman" w:cs="Times New Roman" w:eastAsia="Times New Roman" w:hAnsi="Times New Roman"/>
                <w:sz w:val="12"/>
                <w:szCs w:val="12"/>
                <w:color w:val="auto"/>
              </w:rPr>
              <w:t>12,203</w:t>
            </w:r>
          </w:p>
        </w:tc>
        <w:tc>
          <w:tcPr>
            <w:tcW w:w="76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tcBorders>
            <w:gridSpan w:val="2"/>
          </w:tcPr>
          <w:p>
            <w:pPr>
              <w:jc w:val="center"/>
              <w:ind w:left="760"/>
              <w:spacing w:after="0"/>
              <w:rPr>
                <w:sz w:val="20"/>
                <w:szCs w:val="20"/>
                <w:color w:val="auto"/>
              </w:rPr>
            </w:pPr>
            <w:r>
              <w:rPr>
                <w:rFonts w:ascii="Times New Roman" w:cs="Times New Roman" w:eastAsia="Times New Roman" w:hAnsi="Times New Roman"/>
                <w:sz w:val="12"/>
                <w:szCs w:val="12"/>
                <w:color w:val="auto"/>
                <w:w w:val="99"/>
              </w:rPr>
              <w:t>2,945,662</w:t>
            </w:r>
          </w:p>
        </w:tc>
        <w:tc>
          <w:tcPr>
            <w:tcW w:w="840" w:type="dxa"/>
            <w:vAlign w:val="bottom"/>
            <w:tcBorders>
              <w:bottom w:val="single" w:sz="8" w:color="auto"/>
              <w:right w:val="single" w:sz="8" w:color="auto"/>
            </w:tcBorders>
          </w:tcPr>
          <w:p>
            <w:pPr>
              <w:spacing w:after="0"/>
              <w:rPr>
                <w:sz w:val="12"/>
                <w:szCs w:val="12"/>
                <w:color w:val="auto"/>
              </w:rPr>
            </w:pPr>
          </w:p>
        </w:tc>
      </w:tr>
    </w:tbl>
    <w:p>
      <w:pPr>
        <w:spacing w:after="0" w:line="131" w:lineRule="exact"/>
        <w:rPr>
          <w:sz w:val="24"/>
          <w:szCs w:val="24"/>
          <w:color w:val="auto"/>
        </w:rPr>
      </w:pPr>
    </w:p>
    <w:p>
      <w:pPr>
        <w:ind w:right="160" w:firstLine="476"/>
        <w:spacing w:after="0" w:line="279" w:lineRule="auto"/>
        <w:rPr>
          <w:sz w:val="20"/>
          <w:szCs w:val="20"/>
          <w:color w:val="auto"/>
        </w:rPr>
      </w:pPr>
      <w:r>
        <w:rPr>
          <w:rFonts w:ascii="Times New Roman" w:cs="Times New Roman" w:eastAsia="Times New Roman" w:hAnsi="Times New Roman"/>
          <w:sz w:val="12"/>
          <w:szCs w:val="12"/>
          <w:i w:val="1"/>
          <w:iCs w:val="1"/>
          <w:color w:val="auto"/>
        </w:rPr>
        <w:t>Proposal 2</w:t>
      </w:r>
      <w:r>
        <w:rPr>
          <w:rFonts w:ascii="Times New Roman" w:cs="Times New Roman" w:eastAsia="Times New Roman" w:hAnsi="Times New Roman"/>
          <w:sz w:val="12"/>
          <w:szCs w:val="12"/>
          <w:color w:val="auto"/>
        </w:rPr>
        <w:t>. To ratify the appointment by the audit committee of Ernst &amp; Young LLP as our Independent Registered Public Accounting Firm for the fiscal year ending December 31, 2018. Proposal 2 was approved. The voting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results were as follows:</w:t>
      </w:r>
    </w:p>
    <w:tbl>
      <w:tblPr>
        <w:tblLayout w:type="fixed"/>
        <w:tblInd w:w="10" w:type="dxa"/>
        <w:tblCellMar>
          <w:top w:w="0" w:type="dxa"/>
          <w:left w:w="0" w:type="dxa"/>
          <w:bottom w:w="0" w:type="dxa"/>
          <w:right w:w="0" w:type="dxa"/>
        </w:tblCellMar>
      </w:tblPr>
      <w:tr>
        <w:trPr>
          <w:trHeight w:val="95"/>
        </w:trPr>
        <w:tc>
          <w:tcPr>
            <w:tcW w:w="1420" w:type="dxa"/>
            <w:vAlign w:val="bottom"/>
            <w:tcBorders>
              <w:top w:val="single" w:sz="8" w:color="auto"/>
              <w:left w:val="single" w:sz="8" w:color="auto"/>
            </w:tcBorders>
          </w:tcPr>
          <w:p>
            <w:pPr>
              <w:spacing w:after="0"/>
              <w:rPr>
                <w:sz w:val="8"/>
                <w:szCs w:val="8"/>
                <w:color w:val="auto"/>
              </w:rPr>
            </w:pPr>
          </w:p>
        </w:tc>
        <w:tc>
          <w:tcPr>
            <w:tcW w:w="1580" w:type="dxa"/>
            <w:vAlign w:val="bottom"/>
            <w:tcBorders>
              <w:top w:val="single" w:sz="8" w:color="auto"/>
              <w:right w:val="single" w:sz="8" w:color="auto"/>
            </w:tcBorders>
            <w:gridSpan w:val="2"/>
          </w:tcPr>
          <w:p>
            <w:pPr>
              <w:jc w:val="center"/>
              <w:ind w:right="1420"/>
              <w:spacing w:after="0" w:line="95" w:lineRule="exact"/>
              <w:rPr>
                <w:sz w:val="20"/>
                <w:szCs w:val="20"/>
                <w:color w:val="auto"/>
              </w:rPr>
            </w:pPr>
            <w:r>
              <w:rPr>
                <w:rFonts w:ascii="Times New Roman" w:cs="Times New Roman" w:eastAsia="Times New Roman" w:hAnsi="Times New Roman"/>
                <w:sz w:val="11"/>
                <w:szCs w:val="11"/>
                <w:color w:val="auto"/>
              </w:rPr>
              <w:t>For</w:t>
            </w:r>
          </w:p>
        </w:tc>
        <w:tc>
          <w:tcPr>
            <w:tcW w:w="2860" w:type="dxa"/>
            <w:vAlign w:val="bottom"/>
            <w:tcBorders>
              <w:top w:val="single" w:sz="8" w:color="auto"/>
              <w:right w:val="single" w:sz="8" w:color="auto"/>
            </w:tcBorders>
            <w:gridSpan w:val="3"/>
          </w:tcPr>
          <w:p>
            <w:pPr>
              <w:ind w:left="1240"/>
              <w:spacing w:after="0" w:line="95" w:lineRule="exact"/>
              <w:rPr>
                <w:sz w:val="20"/>
                <w:szCs w:val="20"/>
                <w:color w:val="auto"/>
              </w:rPr>
            </w:pPr>
            <w:r>
              <w:rPr>
                <w:rFonts w:ascii="Times New Roman" w:cs="Times New Roman" w:eastAsia="Times New Roman" w:hAnsi="Times New Roman"/>
                <w:sz w:val="11"/>
                <w:szCs w:val="11"/>
                <w:color w:val="auto"/>
              </w:rPr>
              <w:t>Against</w:t>
            </w:r>
          </w:p>
        </w:tc>
        <w:tc>
          <w:tcPr>
            <w:tcW w:w="2700" w:type="dxa"/>
            <w:vAlign w:val="bottom"/>
            <w:tcBorders>
              <w:top w:val="single" w:sz="8" w:color="auto"/>
              <w:right w:val="single" w:sz="8" w:color="auto"/>
            </w:tcBorders>
            <w:gridSpan w:val="3"/>
          </w:tcPr>
          <w:p>
            <w:pPr>
              <w:jc w:val="center"/>
              <w:ind w:right="20"/>
              <w:spacing w:after="0" w:line="95" w:lineRule="exact"/>
              <w:rPr>
                <w:sz w:val="20"/>
                <w:szCs w:val="20"/>
                <w:color w:val="auto"/>
              </w:rPr>
            </w:pPr>
            <w:r>
              <w:rPr>
                <w:rFonts w:ascii="Times New Roman" w:cs="Times New Roman" w:eastAsia="Times New Roman" w:hAnsi="Times New Roman"/>
                <w:sz w:val="11"/>
                <w:szCs w:val="11"/>
                <w:color w:val="auto"/>
              </w:rPr>
              <w:t>Abstaining</w:t>
            </w:r>
          </w:p>
        </w:tc>
        <w:tc>
          <w:tcPr>
            <w:tcW w:w="1020" w:type="dxa"/>
            <w:vAlign w:val="bottom"/>
            <w:tcBorders>
              <w:top w:val="single" w:sz="8" w:color="auto"/>
            </w:tcBorders>
          </w:tcPr>
          <w:p>
            <w:pPr>
              <w:spacing w:after="0"/>
              <w:rPr>
                <w:sz w:val="8"/>
                <w:szCs w:val="8"/>
                <w:color w:val="auto"/>
              </w:rPr>
            </w:pPr>
          </w:p>
        </w:tc>
        <w:tc>
          <w:tcPr>
            <w:tcW w:w="1900" w:type="dxa"/>
            <w:vAlign w:val="bottom"/>
            <w:tcBorders>
              <w:top w:val="single" w:sz="8" w:color="auto"/>
              <w:right w:val="single" w:sz="8" w:color="auto"/>
            </w:tcBorders>
            <w:gridSpan w:val="2"/>
          </w:tcPr>
          <w:p>
            <w:pPr>
              <w:jc w:val="center"/>
              <w:ind w:right="1040"/>
              <w:spacing w:after="0" w:line="95" w:lineRule="exact"/>
              <w:rPr>
                <w:sz w:val="20"/>
                <w:szCs w:val="20"/>
                <w:color w:val="auto"/>
              </w:rPr>
            </w:pPr>
            <w:r>
              <w:rPr>
                <w:rFonts w:ascii="Times New Roman" w:cs="Times New Roman" w:eastAsia="Times New Roman" w:hAnsi="Times New Roman"/>
                <w:sz w:val="11"/>
                <w:szCs w:val="11"/>
                <w:color w:val="auto"/>
              </w:rPr>
              <w:t>Broker Non-Votes</w:t>
            </w:r>
          </w:p>
        </w:tc>
      </w:tr>
      <w:tr>
        <w:trPr>
          <w:trHeight w:val="20"/>
        </w:trPr>
        <w:tc>
          <w:tcPr>
            <w:tcW w:w="142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3000" w:type="dxa"/>
            <w:vAlign w:val="bottom"/>
            <w:tcBorders>
              <w:left w:val="single" w:sz="8" w:color="auto"/>
              <w:bottom w:val="single" w:sz="8" w:color="auto"/>
              <w:right w:val="single" w:sz="8" w:color="auto"/>
            </w:tcBorders>
            <w:gridSpan w:val="3"/>
          </w:tcPr>
          <w:p>
            <w:pPr>
              <w:jc w:val="right"/>
              <w:ind w:right="1240"/>
              <w:spacing w:after="0" w:line="129" w:lineRule="exact"/>
              <w:rPr>
                <w:sz w:val="20"/>
                <w:szCs w:val="20"/>
                <w:color w:val="auto"/>
              </w:rPr>
            </w:pPr>
            <w:r>
              <w:rPr>
                <w:rFonts w:ascii="Times New Roman" w:cs="Times New Roman" w:eastAsia="Times New Roman" w:hAnsi="Times New Roman"/>
                <w:sz w:val="12"/>
                <w:szCs w:val="12"/>
                <w:color w:val="auto"/>
              </w:rPr>
              <w:t>46,025,046</w:t>
            </w:r>
          </w:p>
        </w:tc>
        <w:tc>
          <w:tcPr>
            <w:tcW w:w="2860" w:type="dxa"/>
            <w:vAlign w:val="bottom"/>
            <w:tcBorders>
              <w:bottom w:val="single" w:sz="8" w:color="auto"/>
              <w:right w:val="single" w:sz="8" w:color="auto"/>
            </w:tcBorders>
            <w:gridSpan w:val="3"/>
          </w:tcPr>
          <w:p>
            <w:pPr>
              <w:ind w:left="1220"/>
              <w:spacing w:after="0" w:line="129" w:lineRule="exact"/>
              <w:rPr>
                <w:sz w:val="20"/>
                <w:szCs w:val="20"/>
                <w:color w:val="auto"/>
              </w:rPr>
            </w:pPr>
            <w:r>
              <w:rPr>
                <w:rFonts w:ascii="Times New Roman" w:cs="Times New Roman" w:eastAsia="Times New Roman" w:hAnsi="Times New Roman"/>
                <w:sz w:val="12"/>
                <w:szCs w:val="12"/>
                <w:color w:val="auto"/>
              </w:rPr>
              <w:t>490,382</w:t>
            </w:r>
          </w:p>
        </w:tc>
        <w:tc>
          <w:tcPr>
            <w:tcW w:w="1600" w:type="dxa"/>
            <w:vAlign w:val="bottom"/>
            <w:tcBorders>
              <w:bottom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5,910</w:t>
            </w:r>
          </w:p>
        </w:tc>
        <w:tc>
          <w:tcPr>
            <w:tcW w:w="11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gridSpan w:val="2"/>
          </w:tcPr>
          <w:p>
            <w:pPr>
              <w:jc w:val="center"/>
              <w:ind w:right="1040"/>
              <w:spacing w:after="0" w:line="129" w:lineRule="exact"/>
              <w:rPr>
                <w:sz w:val="20"/>
                <w:szCs w:val="20"/>
                <w:color w:val="auto"/>
              </w:rPr>
            </w:pPr>
            <w:r>
              <w:rPr>
                <w:rFonts w:ascii="Times New Roman" w:cs="Times New Roman" w:eastAsia="Times New Roman" w:hAnsi="Times New Roman"/>
                <w:sz w:val="12"/>
                <w:szCs w:val="12"/>
                <w:color w:val="auto"/>
              </w:rPr>
              <w:t>N/A</w:t>
            </w:r>
          </w:p>
        </w:tc>
      </w:tr>
    </w:tbl>
    <w:p>
      <w:pPr>
        <w:spacing w:after="0" w:line="1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Proposal 3</w:t>
      </w:r>
      <w:r>
        <w:rPr>
          <w:rFonts w:ascii="Times New Roman" w:cs="Times New Roman" w:eastAsia="Times New Roman" w:hAnsi="Times New Roman"/>
          <w:sz w:val="12"/>
          <w:szCs w:val="12"/>
          <w:color w:val="auto"/>
        </w:rPr>
        <w:t>. To approve, on an advisory basis, the compensation of our named executive officers. Proposal 3 was approved. The voting results were as follows:</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35"/>
        </w:trPr>
        <w:tc>
          <w:tcPr>
            <w:tcW w:w="1420" w:type="dxa"/>
            <w:vAlign w:val="bottom"/>
            <w:tcBorders>
              <w:top w:val="single" w:sz="8" w:color="auto"/>
              <w:left w:val="single" w:sz="8" w:color="auto"/>
            </w:tcBorders>
          </w:tcPr>
          <w:p>
            <w:pPr>
              <w:spacing w:after="0"/>
              <w:rPr>
                <w:sz w:val="11"/>
                <w:szCs w:val="11"/>
                <w:color w:val="auto"/>
              </w:rPr>
            </w:pPr>
          </w:p>
        </w:tc>
        <w:tc>
          <w:tcPr>
            <w:tcW w:w="1580" w:type="dxa"/>
            <w:vAlign w:val="bottom"/>
            <w:tcBorders>
              <w:top w:val="single" w:sz="8" w:color="auto"/>
              <w:right w:val="single" w:sz="8" w:color="auto"/>
            </w:tcBorders>
            <w:gridSpan w:val="2"/>
          </w:tcPr>
          <w:p>
            <w:pPr>
              <w:jc w:val="center"/>
              <w:ind w:right="1420"/>
              <w:spacing w:after="0" w:line="135" w:lineRule="exact"/>
              <w:rPr>
                <w:sz w:val="20"/>
                <w:szCs w:val="20"/>
                <w:color w:val="auto"/>
              </w:rPr>
            </w:pPr>
            <w:r>
              <w:rPr>
                <w:rFonts w:ascii="Times New Roman" w:cs="Times New Roman" w:eastAsia="Times New Roman" w:hAnsi="Times New Roman"/>
                <w:sz w:val="12"/>
                <w:szCs w:val="12"/>
                <w:color w:val="auto"/>
                <w:w w:val="95"/>
              </w:rPr>
              <w:t>For</w:t>
            </w:r>
          </w:p>
        </w:tc>
        <w:tc>
          <w:tcPr>
            <w:tcW w:w="2860" w:type="dxa"/>
            <w:vAlign w:val="bottom"/>
            <w:tcBorders>
              <w:top w:val="single" w:sz="8" w:color="auto"/>
              <w:right w:val="single" w:sz="8" w:color="auto"/>
            </w:tcBorders>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color w:val="auto"/>
                <w:w w:val="96"/>
              </w:rPr>
              <w:t>Against</w:t>
            </w:r>
          </w:p>
        </w:tc>
        <w:tc>
          <w:tcPr>
            <w:tcW w:w="2700" w:type="dxa"/>
            <w:vAlign w:val="bottom"/>
            <w:tcBorders>
              <w:top w:val="single" w:sz="8" w:color="auto"/>
              <w:right w:val="single" w:sz="8" w:color="auto"/>
            </w:tcBorders>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color w:val="auto"/>
                <w:w w:val="98"/>
              </w:rPr>
              <w:t>Abstaining</w:t>
            </w:r>
          </w:p>
        </w:tc>
        <w:tc>
          <w:tcPr>
            <w:tcW w:w="1020" w:type="dxa"/>
            <w:vAlign w:val="bottom"/>
            <w:tcBorders>
              <w:top w:val="single" w:sz="8" w:color="auto"/>
            </w:tcBorders>
          </w:tcPr>
          <w:p>
            <w:pPr>
              <w:spacing w:after="0"/>
              <w:rPr>
                <w:sz w:val="11"/>
                <w:szCs w:val="11"/>
                <w:color w:val="auto"/>
              </w:rPr>
            </w:pPr>
          </w:p>
        </w:tc>
        <w:tc>
          <w:tcPr>
            <w:tcW w:w="1900" w:type="dxa"/>
            <w:vAlign w:val="bottom"/>
            <w:tcBorders>
              <w:top w:val="single" w:sz="8" w:color="auto"/>
              <w:right w:val="single" w:sz="8" w:color="auto"/>
            </w:tcBorders>
            <w:gridSpan w:val="2"/>
          </w:tcPr>
          <w:p>
            <w:pPr>
              <w:jc w:val="center"/>
              <w:ind w:right="1040"/>
              <w:spacing w:after="0" w:line="135" w:lineRule="exact"/>
              <w:rPr>
                <w:sz w:val="20"/>
                <w:szCs w:val="20"/>
                <w:color w:val="auto"/>
              </w:rPr>
            </w:pPr>
            <w:r>
              <w:rPr>
                <w:rFonts w:ascii="Times New Roman" w:cs="Times New Roman" w:eastAsia="Times New Roman" w:hAnsi="Times New Roman"/>
                <w:sz w:val="12"/>
                <w:szCs w:val="12"/>
                <w:color w:val="auto"/>
                <w:w w:val="96"/>
              </w:rPr>
              <w:t>Broker Non-Votes</w:t>
            </w:r>
          </w:p>
        </w:tc>
      </w:tr>
      <w:tr>
        <w:trPr>
          <w:trHeight w:val="20"/>
        </w:trPr>
        <w:tc>
          <w:tcPr>
            <w:tcW w:w="142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3000" w:type="dxa"/>
            <w:vAlign w:val="bottom"/>
            <w:tcBorders>
              <w:left w:val="single" w:sz="8" w:color="auto"/>
              <w:bottom w:val="single" w:sz="8" w:color="auto"/>
              <w:right w:val="single" w:sz="8" w:color="auto"/>
            </w:tcBorders>
            <w:gridSpan w:val="3"/>
          </w:tcPr>
          <w:p>
            <w:pPr>
              <w:jc w:val="right"/>
              <w:ind w:right="1240"/>
              <w:spacing w:after="0" w:line="129" w:lineRule="exact"/>
              <w:rPr>
                <w:sz w:val="20"/>
                <w:szCs w:val="20"/>
                <w:color w:val="auto"/>
              </w:rPr>
            </w:pPr>
            <w:r>
              <w:rPr>
                <w:rFonts w:ascii="Times New Roman" w:cs="Times New Roman" w:eastAsia="Times New Roman" w:hAnsi="Times New Roman"/>
                <w:sz w:val="12"/>
                <w:szCs w:val="12"/>
                <w:color w:val="auto"/>
              </w:rPr>
              <w:t>41,305,441</w:t>
            </w:r>
          </w:p>
        </w:tc>
        <w:tc>
          <w:tcPr>
            <w:tcW w:w="2860" w:type="dxa"/>
            <w:vAlign w:val="bottom"/>
            <w:tcBorders>
              <w:bottom w:val="single" w:sz="8" w:color="auto"/>
              <w:right w:val="single" w:sz="8" w:color="auto"/>
            </w:tcBorders>
            <w:gridSpan w:val="3"/>
          </w:tcPr>
          <w:p>
            <w:pPr>
              <w:jc w:val="right"/>
              <w:ind w:right="1200"/>
              <w:spacing w:after="0" w:line="129" w:lineRule="exact"/>
              <w:rPr>
                <w:sz w:val="20"/>
                <w:szCs w:val="20"/>
                <w:color w:val="auto"/>
              </w:rPr>
            </w:pPr>
            <w:r>
              <w:rPr>
                <w:rFonts w:ascii="Times New Roman" w:cs="Times New Roman" w:eastAsia="Times New Roman" w:hAnsi="Times New Roman"/>
                <w:sz w:val="12"/>
                <w:szCs w:val="12"/>
                <w:color w:val="auto"/>
              </w:rPr>
              <w:t>2,249,930</w:t>
            </w:r>
          </w:p>
        </w:tc>
        <w:tc>
          <w:tcPr>
            <w:tcW w:w="1600" w:type="dxa"/>
            <w:vAlign w:val="bottom"/>
            <w:tcBorders>
              <w:bottom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20,305</w:t>
            </w:r>
          </w:p>
        </w:tc>
        <w:tc>
          <w:tcPr>
            <w:tcW w:w="1100" w:type="dxa"/>
            <w:vAlign w:val="bottom"/>
            <w:tcBorders>
              <w:bottom w:val="single" w:sz="8" w:color="auto"/>
              <w:right w:val="single" w:sz="8" w:color="auto"/>
            </w:tcBorders>
          </w:tcPr>
          <w:p>
            <w:pPr>
              <w:spacing w:after="0"/>
              <w:rPr>
                <w:sz w:val="11"/>
                <w:szCs w:val="11"/>
                <w:color w:val="auto"/>
              </w:rPr>
            </w:pPr>
          </w:p>
        </w:tc>
        <w:tc>
          <w:tcPr>
            <w:tcW w:w="1880" w:type="dxa"/>
            <w:vAlign w:val="bottom"/>
            <w:tcBorders>
              <w:bottom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2,945,662</w:t>
            </w:r>
          </w:p>
        </w:tc>
        <w:tc>
          <w:tcPr>
            <w:tcW w:w="1040" w:type="dxa"/>
            <w:vAlign w:val="bottom"/>
            <w:tcBorders>
              <w:bottom w:val="single" w:sz="8" w:color="auto"/>
              <w:right w:val="single" w:sz="8" w:color="auto"/>
            </w:tcBorders>
          </w:tcPr>
          <w:p>
            <w:pPr>
              <w:spacing w:after="0"/>
              <w:rPr>
                <w:sz w:val="11"/>
                <w:szCs w:val="11"/>
                <w:color w:val="auto"/>
              </w:rPr>
            </w:pPr>
          </w:p>
        </w:tc>
      </w:tr>
    </w:tbl>
    <w:p>
      <w:pPr>
        <w:spacing w:after="0" w:line="13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Proposal 4</w:t>
      </w:r>
      <w:r>
        <w:rPr>
          <w:rFonts w:ascii="Times New Roman" w:cs="Times New Roman" w:eastAsia="Times New Roman" w:hAnsi="Times New Roman"/>
          <w:sz w:val="12"/>
          <w:szCs w:val="12"/>
          <w:color w:val="auto"/>
        </w:rPr>
        <w:t>. To approve the amendment of our stock incentive plan. Proposal 4 was approved. The voting results were as follows:</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35"/>
        </w:trPr>
        <w:tc>
          <w:tcPr>
            <w:tcW w:w="1420" w:type="dxa"/>
            <w:vAlign w:val="bottom"/>
            <w:tcBorders>
              <w:top w:val="single" w:sz="8" w:color="auto"/>
              <w:left w:val="single" w:sz="8" w:color="auto"/>
            </w:tcBorders>
          </w:tcPr>
          <w:p>
            <w:pPr>
              <w:spacing w:after="0"/>
              <w:rPr>
                <w:sz w:val="11"/>
                <w:szCs w:val="11"/>
                <w:color w:val="auto"/>
              </w:rPr>
            </w:pPr>
          </w:p>
        </w:tc>
        <w:tc>
          <w:tcPr>
            <w:tcW w:w="1580" w:type="dxa"/>
            <w:vAlign w:val="bottom"/>
            <w:tcBorders>
              <w:top w:val="single" w:sz="8" w:color="auto"/>
              <w:right w:val="single" w:sz="8" w:color="auto"/>
            </w:tcBorders>
            <w:gridSpan w:val="2"/>
          </w:tcPr>
          <w:p>
            <w:pPr>
              <w:jc w:val="center"/>
              <w:ind w:right="1420"/>
              <w:spacing w:after="0" w:line="135" w:lineRule="exact"/>
              <w:rPr>
                <w:sz w:val="20"/>
                <w:szCs w:val="20"/>
                <w:color w:val="auto"/>
              </w:rPr>
            </w:pPr>
            <w:r>
              <w:rPr>
                <w:rFonts w:ascii="Times New Roman" w:cs="Times New Roman" w:eastAsia="Times New Roman" w:hAnsi="Times New Roman"/>
                <w:sz w:val="12"/>
                <w:szCs w:val="12"/>
                <w:color w:val="auto"/>
                <w:w w:val="95"/>
              </w:rPr>
              <w:t>For</w:t>
            </w:r>
          </w:p>
        </w:tc>
        <w:tc>
          <w:tcPr>
            <w:tcW w:w="2860" w:type="dxa"/>
            <w:vAlign w:val="bottom"/>
            <w:tcBorders>
              <w:top w:val="single" w:sz="8" w:color="auto"/>
              <w:right w:val="single" w:sz="8" w:color="auto"/>
            </w:tcBorders>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color w:val="auto"/>
                <w:w w:val="96"/>
              </w:rPr>
              <w:t>Against</w:t>
            </w:r>
          </w:p>
        </w:tc>
        <w:tc>
          <w:tcPr>
            <w:tcW w:w="2700" w:type="dxa"/>
            <w:vAlign w:val="bottom"/>
            <w:tcBorders>
              <w:top w:val="single" w:sz="8" w:color="auto"/>
              <w:right w:val="single" w:sz="8" w:color="auto"/>
            </w:tcBorders>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color w:val="auto"/>
                <w:w w:val="98"/>
              </w:rPr>
              <w:t>Abstaining</w:t>
            </w:r>
          </w:p>
        </w:tc>
        <w:tc>
          <w:tcPr>
            <w:tcW w:w="1020" w:type="dxa"/>
            <w:vAlign w:val="bottom"/>
            <w:tcBorders>
              <w:top w:val="single" w:sz="8" w:color="auto"/>
            </w:tcBorders>
          </w:tcPr>
          <w:p>
            <w:pPr>
              <w:spacing w:after="0"/>
              <w:rPr>
                <w:sz w:val="11"/>
                <w:szCs w:val="11"/>
                <w:color w:val="auto"/>
              </w:rPr>
            </w:pPr>
          </w:p>
        </w:tc>
        <w:tc>
          <w:tcPr>
            <w:tcW w:w="1900" w:type="dxa"/>
            <w:vAlign w:val="bottom"/>
            <w:tcBorders>
              <w:top w:val="single" w:sz="8" w:color="auto"/>
              <w:right w:val="single" w:sz="8" w:color="auto"/>
            </w:tcBorders>
            <w:gridSpan w:val="2"/>
          </w:tcPr>
          <w:p>
            <w:pPr>
              <w:jc w:val="center"/>
              <w:ind w:right="1040"/>
              <w:spacing w:after="0" w:line="135" w:lineRule="exact"/>
              <w:rPr>
                <w:sz w:val="20"/>
                <w:szCs w:val="20"/>
                <w:color w:val="auto"/>
              </w:rPr>
            </w:pPr>
            <w:r>
              <w:rPr>
                <w:rFonts w:ascii="Times New Roman" w:cs="Times New Roman" w:eastAsia="Times New Roman" w:hAnsi="Times New Roman"/>
                <w:sz w:val="12"/>
                <w:szCs w:val="12"/>
                <w:color w:val="auto"/>
                <w:w w:val="96"/>
              </w:rPr>
              <w:t>Broker Non-Votes</w:t>
            </w:r>
          </w:p>
        </w:tc>
      </w:tr>
      <w:tr>
        <w:trPr>
          <w:trHeight w:val="20"/>
        </w:trPr>
        <w:tc>
          <w:tcPr>
            <w:tcW w:w="142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3000" w:type="dxa"/>
            <w:vAlign w:val="bottom"/>
            <w:tcBorders>
              <w:left w:val="single" w:sz="8" w:color="auto"/>
              <w:bottom w:val="single" w:sz="8" w:color="auto"/>
              <w:right w:val="single" w:sz="8" w:color="auto"/>
            </w:tcBorders>
            <w:gridSpan w:val="3"/>
          </w:tcPr>
          <w:p>
            <w:pPr>
              <w:jc w:val="right"/>
              <w:ind w:right="1240"/>
              <w:spacing w:after="0" w:line="129" w:lineRule="exact"/>
              <w:rPr>
                <w:sz w:val="20"/>
                <w:szCs w:val="20"/>
                <w:color w:val="auto"/>
              </w:rPr>
            </w:pPr>
            <w:r>
              <w:rPr>
                <w:rFonts w:ascii="Times New Roman" w:cs="Times New Roman" w:eastAsia="Times New Roman" w:hAnsi="Times New Roman"/>
                <w:sz w:val="12"/>
                <w:szCs w:val="12"/>
                <w:color w:val="auto"/>
              </w:rPr>
              <w:t>38,173,642</w:t>
            </w:r>
          </w:p>
        </w:tc>
        <w:tc>
          <w:tcPr>
            <w:tcW w:w="2860" w:type="dxa"/>
            <w:vAlign w:val="bottom"/>
            <w:tcBorders>
              <w:bottom w:val="single" w:sz="8" w:color="auto"/>
              <w:right w:val="single" w:sz="8" w:color="auto"/>
            </w:tcBorders>
            <w:gridSpan w:val="3"/>
          </w:tcPr>
          <w:p>
            <w:pPr>
              <w:jc w:val="right"/>
              <w:ind w:right="1200"/>
              <w:spacing w:after="0" w:line="129" w:lineRule="exact"/>
              <w:rPr>
                <w:sz w:val="20"/>
                <w:szCs w:val="20"/>
                <w:color w:val="auto"/>
              </w:rPr>
            </w:pPr>
            <w:r>
              <w:rPr>
                <w:rFonts w:ascii="Times New Roman" w:cs="Times New Roman" w:eastAsia="Times New Roman" w:hAnsi="Times New Roman"/>
                <w:sz w:val="12"/>
                <w:szCs w:val="12"/>
                <w:color w:val="auto"/>
              </w:rPr>
              <w:t>5,382,322</w:t>
            </w:r>
          </w:p>
        </w:tc>
        <w:tc>
          <w:tcPr>
            <w:tcW w:w="1600" w:type="dxa"/>
            <w:vAlign w:val="bottom"/>
            <w:tcBorders>
              <w:bottom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19,712</w:t>
            </w:r>
          </w:p>
        </w:tc>
        <w:tc>
          <w:tcPr>
            <w:tcW w:w="1100" w:type="dxa"/>
            <w:vAlign w:val="bottom"/>
            <w:tcBorders>
              <w:bottom w:val="single" w:sz="8" w:color="auto"/>
              <w:right w:val="single" w:sz="8" w:color="auto"/>
            </w:tcBorders>
          </w:tcPr>
          <w:p>
            <w:pPr>
              <w:spacing w:after="0"/>
              <w:rPr>
                <w:sz w:val="11"/>
                <w:szCs w:val="11"/>
                <w:color w:val="auto"/>
              </w:rPr>
            </w:pPr>
          </w:p>
        </w:tc>
        <w:tc>
          <w:tcPr>
            <w:tcW w:w="1880" w:type="dxa"/>
            <w:vAlign w:val="bottom"/>
            <w:tcBorders>
              <w:bottom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2,945,662</w:t>
            </w:r>
          </w:p>
        </w:tc>
        <w:tc>
          <w:tcPr>
            <w:tcW w:w="104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________________________________________________________________________________________________________________________________________________________________</w:t>
      </w:r>
    </w:p>
    <w:p>
      <w:pPr>
        <w:spacing w:after="0" w:line="2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Date: May 24, 2018</w:t>
            </w:r>
          </w:p>
        </w:tc>
        <w:tc>
          <w:tcPr>
            <w:tcW w:w="6240" w:type="dxa"/>
            <w:vAlign w:val="bottom"/>
            <w:gridSpan w:val="3"/>
          </w:tcPr>
          <w:p>
            <w:pPr>
              <w:ind w:left="2340"/>
              <w:spacing w:after="0"/>
              <w:rPr>
                <w:sz w:val="20"/>
                <w:szCs w:val="20"/>
                <w:color w:val="auto"/>
              </w:rPr>
            </w:pPr>
            <w:r>
              <w:rPr>
                <w:rFonts w:ascii="Times New Roman" w:cs="Times New Roman" w:eastAsia="Times New Roman" w:hAnsi="Times New Roman"/>
                <w:sz w:val="12"/>
                <w:szCs w:val="12"/>
                <w:color w:val="auto"/>
              </w:rPr>
              <w:t>EMERGENT BIOSOLUTIONS INC.</w:t>
            </w:r>
          </w:p>
        </w:tc>
      </w:tr>
      <w:tr>
        <w:trPr>
          <w:trHeight w:val="128"/>
        </w:trPr>
        <w:tc>
          <w:tcPr>
            <w:tcW w:w="3320" w:type="dxa"/>
            <w:vAlign w:val="bottom"/>
          </w:tcPr>
          <w:p>
            <w:pPr>
              <w:spacing w:after="0"/>
              <w:rPr>
                <w:sz w:val="11"/>
                <w:szCs w:val="11"/>
                <w:color w:val="auto"/>
              </w:rPr>
            </w:pPr>
          </w:p>
        </w:tc>
        <w:tc>
          <w:tcPr>
            <w:tcW w:w="3160" w:type="dxa"/>
            <w:vAlign w:val="bottom"/>
          </w:tcPr>
          <w:p>
            <w:pPr>
              <w:ind w:left="2340"/>
              <w:spacing w:after="0" w:line="128" w:lineRule="exact"/>
              <w:rPr>
                <w:sz w:val="20"/>
                <w:szCs w:val="20"/>
                <w:color w:val="auto"/>
              </w:rPr>
            </w:pPr>
            <w:r>
              <w:rPr>
                <w:rFonts w:ascii="Times New Roman" w:cs="Times New Roman" w:eastAsia="Times New Roman" w:hAnsi="Times New Roman"/>
                <w:sz w:val="12"/>
                <w:szCs w:val="12"/>
                <w:color w:val="auto"/>
              </w:rPr>
              <w:t>By:</w:t>
            </w:r>
          </w:p>
        </w:tc>
        <w:tc>
          <w:tcPr>
            <w:tcW w:w="106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8"/>
              </w:rPr>
              <w:t>/s/ Richard S. Lindahl</w:t>
            </w:r>
          </w:p>
        </w:tc>
        <w:tc>
          <w:tcPr>
            <w:tcW w:w="2020" w:type="dxa"/>
            <w:vAlign w:val="bottom"/>
          </w:tcPr>
          <w:p>
            <w:pPr>
              <w:spacing w:after="0"/>
              <w:rPr>
                <w:sz w:val="11"/>
                <w:szCs w:val="11"/>
                <w:color w:val="auto"/>
              </w:rPr>
            </w:pPr>
          </w:p>
        </w:tc>
      </w:tr>
      <w:tr>
        <w:trPr>
          <w:trHeight w:val="140"/>
        </w:trPr>
        <w:tc>
          <w:tcPr>
            <w:tcW w:w="3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Richard S. Lindahl</w:t>
            </w:r>
          </w:p>
        </w:tc>
      </w:tr>
      <w:tr>
        <w:trPr>
          <w:trHeight w:val="155"/>
        </w:trPr>
        <w:tc>
          <w:tcPr>
            <w:tcW w:w="33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Executive Vice President, Chief Financial Officer and Treasurer</w:t>
            </w:r>
          </w:p>
        </w:tc>
      </w:tr>
    </w:tbl>
    <w:p>
      <w:pPr>
        <w:sectPr>
          <w:pgSz w:w="11900" w:h="16838" w:orient="portrait"/>
          <w:cols w:equalWidth="0" w:num="1">
            <w:col w:w="11520"/>
          </w:cols>
          <w:pgMar w:left="220" w:top="463" w:right="159" w:bottom="0" w:gutter="0" w:footer="0" w:header="0"/>
        </w:sectPr>
      </w:pPr>
    </w:p>
    <w:bookmarkStart w:id="1" w:name="page2"/>
    <w:bookmarkEnd w:id="1"/>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2019-12-07T05:30:13Z</dcterms:created>
  <dcterms:modified xsi:type="dcterms:W3CDTF">2019-12-07T05:30:13Z</dcterms:modified>
</cp:coreProperties>
</file>