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50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503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0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00" w:type="dxa"/>
            <w:vAlign w:val="bottom"/>
            <w:gridSpan w:val="6"/>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0" w:type="dxa"/>
            <w:vAlign w:val="bottom"/>
            <w:gridSpan w:val="5"/>
            <w:vMerge w:val="continue"/>
          </w:tcPr>
          <w:p>
            <w:pPr>
              <w:spacing w:after="0"/>
              <w:rPr>
                <w:sz w:val="11"/>
                <w:szCs w:val="11"/>
                <w:color w:val="auto"/>
              </w:rPr>
            </w:pPr>
          </w:p>
        </w:tc>
        <w:tc>
          <w:tcPr>
            <w:tcW w:w="37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2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ROCKVILLE</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820" w:type="dxa"/>
            <w:vAlign w:val="bottom"/>
          </w:tcPr>
          <w:p>
            <w:pPr>
              <w:ind w:left="560"/>
              <w:spacing w:after="0"/>
              <w:rPr>
                <w:sz w:val="20"/>
                <w:szCs w:val="20"/>
                <w:color w:val="auto"/>
              </w:rPr>
            </w:pPr>
            <w:r>
              <w:rPr>
                <w:rFonts w:ascii="Arial" w:cs="Arial" w:eastAsia="Arial" w:hAnsi="Arial"/>
                <w:sz w:val="18"/>
                <w:szCs w:val="18"/>
                <w:color w:val="0000FF"/>
              </w:rPr>
              <w:t>20850</w:t>
            </w: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180" w:type="dxa"/>
            <w:vAlign w:val="bottom"/>
            <w:gridSpan w:val="5"/>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60" w:type="dxa"/>
            <w:vAlign w:val="bottom"/>
            <w:gridSpan w:val="4"/>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2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20" w:type="dxa"/>
            <w:vAlign w:val="bottom"/>
            <w:gridSpan w:val="2"/>
          </w:tcPr>
          <w:p>
            <w:pPr>
              <w:ind w:left="12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2"/>
          </w:tcPr>
          <w:p>
            <w:pPr>
              <w:ind w:left="12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20" w:type="dxa"/>
            <w:vAlign w:val="bottom"/>
            <w:gridSpan w:val="2"/>
          </w:tcPr>
          <w:p>
            <w:pPr>
              <w:jc w:val="center"/>
              <w:ind w:left="1122"/>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20" w:type="dxa"/>
            <w:vAlign w:val="bottom"/>
            <w:gridSpan w:val="2"/>
          </w:tcPr>
          <w:p>
            <w:pPr>
              <w:jc w:val="center"/>
              <w:ind w:left="1122"/>
              <w:spacing w:after="0"/>
              <w:rPr>
                <w:sz w:val="20"/>
                <w:szCs w:val="20"/>
                <w:color w:val="auto"/>
              </w:rPr>
            </w:pPr>
            <w:r>
              <w:rPr>
                <w:rFonts w:ascii="Arial" w:cs="Arial" w:eastAsia="Arial" w:hAnsi="Arial"/>
                <w:sz w:val="18"/>
                <w:szCs w:val="18"/>
                <w:color w:val="0000FF"/>
                <w:w w:val="88"/>
              </w:rPr>
              <w:t>05/08/2012</w:t>
            </w:r>
          </w:p>
        </w:tc>
        <w:tc>
          <w:tcPr>
            <w:tcW w:w="1140" w:type="dxa"/>
            <w:vAlign w:val="bottom"/>
          </w:tcPr>
          <w:p>
            <w:pPr>
              <w:spacing w:after="0"/>
              <w:rPr>
                <w:sz w:val="18"/>
                <w:szCs w:val="18"/>
                <w:color w:val="auto"/>
              </w:rPr>
            </w:pPr>
          </w:p>
        </w:tc>
        <w:tc>
          <w:tcPr>
            <w:tcW w:w="82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45,647</w:t>
            </w:r>
          </w:p>
        </w:tc>
        <w:tc>
          <w:tcPr>
            <w:tcW w:w="520" w:type="dxa"/>
            <w:vAlign w:val="bottom"/>
          </w:tcPr>
          <w:p>
            <w:pPr>
              <w:ind w:left="220"/>
              <w:spacing w:after="0"/>
              <w:rPr>
                <w:sz w:val="20"/>
                <w:szCs w:val="20"/>
                <w:color w:val="auto"/>
              </w:rPr>
            </w:pPr>
            <w:r>
              <w:rPr>
                <w:rFonts w:ascii="Arial" w:cs="Arial" w:eastAsia="Arial" w:hAnsi="Arial"/>
                <w:sz w:val="18"/>
                <w:szCs w:val="18"/>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(1)(2)</w:t>
            </w: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5"/>
              </w:rPr>
              <w:t>5,591,147</w:t>
            </w:r>
            <w:r>
              <w:rPr>
                <w:rFonts w:ascii="Arial" w:cs="Arial" w:eastAsia="Arial" w:hAnsi="Arial"/>
                <w:sz w:val="22"/>
                <w:szCs w:val="22"/>
                <w:color w:val="008000"/>
                <w:w w:val="85"/>
                <w:vertAlign w:val="superscript"/>
              </w:rPr>
              <w:t>(2)</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20" w:type="dxa"/>
            <w:vAlign w:val="bottom"/>
            <w:gridSpan w:val="2"/>
          </w:tcPr>
          <w:p>
            <w:pPr>
              <w:jc w:val="center"/>
              <w:ind w:left="1122"/>
              <w:spacing w:after="0"/>
              <w:rPr>
                <w:sz w:val="20"/>
                <w:szCs w:val="20"/>
                <w:color w:val="auto"/>
              </w:rPr>
            </w:pPr>
            <w:r>
              <w:rPr>
                <w:rFonts w:ascii="Arial" w:cs="Arial" w:eastAsia="Arial" w:hAnsi="Arial"/>
                <w:sz w:val="18"/>
                <w:szCs w:val="18"/>
                <w:color w:val="0000FF"/>
                <w:w w:val="88"/>
              </w:rPr>
              <w:t>05/08/2012</w:t>
            </w:r>
          </w:p>
        </w:tc>
        <w:tc>
          <w:tcPr>
            <w:tcW w:w="1140" w:type="dxa"/>
            <w:vAlign w:val="bottom"/>
          </w:tcPr>
          <w:p>
            <w:pPr>
              <w:spacing w:after="0"/>
              <w:rPr>
                <w:sz w:val="18"/>
                <w:szCs w:val="18"/>
                <w:color w:val="auto"/>
              </w:rPr>
            </w:pPr>
          </w:p>
        </w:tc>
        <w:tc>
          <w:tcPr>
            <w:tcW w:w="82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45,647</w:t>
            </w:r>
          </w:p>
        </w:tc>
        <w:tc>
          <w:tcPr>
            <w:tcW w:w="520" w:type="dxa"/>
            <w:vAlign w:val="bottom"/>
          </w:tcPr>
          <w:p>
            <w:pPr>
              <w:ind w:left="220"/>
              <w:spacing w:after="0"/>
              <w:rPr>
                <w:sz w:val="20"/>
                <w:szCs w:val="20"/>
                <w:color w:val="auto"/>
              </w:rPr>
            </w:pPr>
            <w:r>
              <w:rPr>
                <w:rFonts w:ascii="Arial" w:cs="Arial" w:eastAsia="Arial" w:hAnsi="Arial"/>
                <w:sz w:val="18"/>
                <w:szCs w:val="18"/>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(1)(2)</w:t>
            </w: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5"/>
              </w:rPr>
              <w:t>5,545,500</w:t>
            </w:r>
            <w:r>
              <w:rPr>
                <w:rFonts w:ascii="Arial" w:cs="Arial" w:eastAsia="Arial" w:hAnsi="Arial"/>
                <w:sz w:val="22"/>
                <w:szCs w:val="22"/>
                <w:color w:val="008000"/>
                <w:w w:val="85"/>
                <w:vertAlign w:val="superscript"/>
              </w:rPr>
              <w:t>(2)</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20" w:type="dxa"/>
            <w:vAlign w:val="bottom"/>
            <w:gridSpan w:val="2"/>
          </w:tcPr>
          <w:p>
            <w:pPr>
              <w:jc w:val="center"/>
              <w:ind w:left="1122"/>
              <w:spacing w:after="0"/>
              <w:rPr>
                <w:sz w:val="20"/>
                <w:szCs w:val="20"/>
                <w:color w:val="auto"/>
              </w:rPr>
            </w:pPr>
            <w:r>
              <w:rPr>
                <w:rFonts w:ascii="Arial" w:cs="Arial" w:eastAsia="Arial" w:hAnsi="Arial"/>
                <w:sz w:val="18"/>
                <w:szCs w:val="18"/>
                <w:color w:val="0000FF"/>
                <w:w w:val="88"/>
              </w:rPr>
              <w:t>05/08/2012</w:t>
            </w:r>
          </w:p>
        </w:tc>
        <w:tc>
          <w:tcPr>
            <w:tcW w:w="1140" w:type="dxa"/>
            <w:vAlign w:val="bottom"/>
          </w:tcPr>
          <w:p>
            <w:pPr>
              <w:spacing w:after="0"/>
              <w:rPr>
                <w:sz w:val="18"/>
                <w:szCs w:val="18"/>
                <w:color w:val="auto"/>
              </w:rPr>
            </w:pPr>
          </w:p>
        </w:tc>
        <w:tc>
          <w:tcPr>
            <w:tcW w:w="82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45,647</w:t>
            </w:r>
          </w:p>
        </w:tc>
        <w:tc>
          <w:tcPr>
            <w:tcW w:w="520" w:type="dxa"/>
            <w:vAlign w:val="bottom"/>
          </w:tcPr>
          <w:p>
            <w:pPr>
              <w:ind w:left="220"/>
              <w:spacing w:after="0"/>
              <w:rPr>
                <w:sz w:val="20"/>
                <w:szCs w:val="20"/>
                <w:color w:val="auto"/>
              </w:rPr>
            </w:pPr>
            <w:r>
              <w:rPr>
                <w:rFonts w:ascii="Arial" w:cs="Arial" w:eastAsia="Arial" w:hAnsi="Arial"/>
                <w:sz w:val="18"/>
                <w:szCs w:val="18"/>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(1)(2)</w:t>
            </w: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5"/>
              </w:rPr>
              <w:t>5,499,853</w:t>
            </w:r>
            <w:r>
              <w:rPr>
                <w:rFonts w:ascii="Arial" w:cs="Arial" w:eastAsia="Arial" w:hAnsi="Arial"/>
                <w:sz w:val="22"/>
                <w:szCs w:val="22"/>
                <w:color w:val="008000"/>
                <w:w w:val="85"/>
                <w:vertAlign w:val="superscript"/>
              </w:rPr>
              <w:t>(2)</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320" w:type="dxa"/>
            <w:vAlign w:val="bottom"/>
            <w:gridSpan w:val="2"/>
          </w:tcPr>
          <w:p>
            <w:pPr>
              <w:jc w:val="center"/>
              <w:ind w:left="1122"/>
              <w:spacing w:after="0"/>
              <w:rPr>
                <w:sz w:val="20"/>
                <w:szCs w:val="20"/>
                <w:color w:val="auto"/>
              </w:rPr>
            </w:pPr>
            <w:r>
              <w:rPr>
                <w:rFonts w:ascii="Arial" w:cs="Arial" w:eastAsia="Arial" w:hAnsi="Arial"/>
                <w:sz w:val="18"/>
                <w:szCs w:val="18"/>
                <w:color w:val="0000FF"/>
                <w:w w:val="88"/>
              </w:rPr>
              <w:t>05/08/2012</w:t>
            </w:r>
          </w:p>
        </w:tc>
        <w:tc>
          <w:tcPr>
            <w:tcW w:w="1140" w:type="dxa"/>
            <w:vAlign w:val="bottom"/>
          </w:tcPr>
          <w:p>
            <w:pPr>
              <w:spacing w:after="0"/>
              <w:rPr>
                <w:sz w:val="18"/>
                <w:szCs w:val="18"/>
                <w:color w:val="auto"/>
              </w:rPr>
            </w:pPr>
          </w:p>
        </w:tc>
        <w:tc>
          <w:tcPr>
            <w:tcW w:w="82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20" w:type="dxa"/>
            <w:vAlign w:val="bottom"/>
          </w:tcPr>
          <w:p>
            <w:pPr>
              <w:jc w:val="center"/>
              <w:spacing w:after="0"/>
              <w:rPr>
                <w:sz w:val="20"/>
                <w:szCs w:val="20"/>
                <w:color w:val="auto"/>
              </w:rPr>
            </w:pPr>
            <w:r>
              <w:rPr>
                <w:rFonts w:ascii="Arial" w:cs="Arial" w:eastAsia="Arial" w:hAnsi="Arial"/>
                <w:sz w:val="18"/>
                <w:szCs w:val="18"/>
                <w:color w:val="0000FF"/>
                <w:w w:val="86"/>
              </w:rPr>
              <w:t>779,951</w:t>
            </w:r>
          </w:p>
        </w:tc>
        <w:tc>
          <w:tcPr>
            <w:tcW w:w="520" w:type="dxa"/>
            <w:vAlign w:val="bottom"/>
          </w:tcPr>
          <w:p>
            <w:pPr>
              <w:ind w:left="220"/>
              <w:spacing w:after="0"/>
              <w:rPr>
                <w:sz w:val="20"/>
                <w:szCs w:val="20"/>
                <w:color w:val="auto"/>
              </w:rPr>
            </w:pPr>
            <w:r>
              <w:rPr>
                <w:rFonts w:ascii="Arial" w:cs="Arial" w:eastAsia="Arial" w:hAnsi="Arial"/>
                <w:sz w:val="18"/>
                <w:szCs w:val="18"/>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(1)(2)</w:t>
            </w: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5"/>
              </w:rPr>
              <w:t>4,719,902</w:t>
            </w:r>
            <w:r>
              <w:rPr>
                <w:rFonts w:ascii="Arial" w:cs="Arial" w:eastAsia="Arial" w:hAnsi="Arial"/>
                <w:sz w:val="22"/>
                <w:szCs w:val="22"/>
                <w:color w:val="008000"/>
                <w:w w:val="85"/>
                <w:vertAlign w:val="superscript"/>
              </w:rPr>
              <w:t>(2)</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jc w:val="center"/>
              <w:ind w:left="52"/>
              <w:spacing w:after="0"/>
              <w:rPr>
                <w:sz w:val="20"/>
                <w:szCs w:val="20"/>
                <w:color w:val="auto"/>
              </w:rPr>
            </w:pPr>
            <w:r>
              <w:rPr>
                <w:rFonts w:ascii="Arial" w:cs="Arial" w:eastAsia="Arial" w:hAnsi="Arial"/>
                <w:sz w:val="18"/>
                <w:szCs w:val="18"/>
                <w:color w:val="0000FF"/>
                <w:w w:val="85"/>
              </w:rPr>
              <w:t>1,514,380</w:t>
            </w:r>
            <w:r>
              <w:rPr>
                <w:rFonts w:ascii="Arial" w:cs="Arial" w:eastAsia="Arial" w:hAnsi="Arial"/>
                <w:sz w:val="22"/>
                <w:szCs w:val="22"/>
                <w:color w:val="008000"/>
                <w:w w:val="85"/>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 Karim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2"/>
              </w:rPr>
              <w:t>15,845</w:t>
            </w:r>
            <w:r>
              <w:rPr>
                <w:rFonts w:ascii="Arial" w:cs="Arial" w:eastAsia="Arial" w:hAnsi="Arial"/>
                <w:sz w:val="22"/>
                <w:szCs w:val="22"/>
                <w:color w:val="008000"/>
                <w:w w:val="82"/>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 Yusra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2"/>
              </w:rPr>
              <w:t>15,845</w:t>
            </w:r>
            <w:r>
              <w:rPr>
                <w:rFonts w:ascii="Arial" w:cs="Arial" w:eastAsia="Arial" w:hAnsi="Arial"/>
                <w:sz w:val="22"/>
                <w:szCs w:val="22"/>
                <w:color w:val="008000"/>
                <w:w w:val="82"/>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 Faiza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2"/>
              </w:rPr>
              <w:t>15,845</w:t>
            </w:r>
            <w:r>
              <w:rPr>
                <w:rFonts w:ascii="Arial" w:cs="Arial" w:eastAsia="Arial" w:hAnsi="Arial"/>
                <w:sz w:val="22"/>
                <w:szCs w:val="22"/>
                <w:color w:val="008000"/>
                <w:w w:val="82"/>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El-Hibri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(5)</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gridSpan w:val="2"/>
          </w:tcPr>
          <w:p>
            <w:pPr>
              <w:jc w:val="center"/>
              <w:ind w:left="52"/>
              <w:spacing w:after="0" w:line="217" w:lineRule="exact"/>
              <w:rPr>
                <w:sz w:val="20"/>
                <w:szCs w:val="20"/>
                <w:color w:val="auto"/>
              </w:rPr>
            </w:pPr>
            <w:r>
              <w:rPr>
                <w:rFonts w:ascii="Arial" w:cs="Arial" w:eastAsia="Arial" w:hAnsi="Arial"/>
                <w:sz w:val="18"/>
                <w:szCs w:val="18"/>
                <w:color w:val="0000FF"/>
                <w:w w:val="85"/>
              </w:rPr>
              <w:t>1,565,043</w:t>
            </w:r>
            <w:r>
              <w:rPr>
                <w:rFonts w:ascii="Arial" w:cs="Arial" w:eastAsia="Arial" w:hAnsi="Arial"/>
                <w:sz w:val="22"/>
                <w:szCs w:val="22"/>
                <w:color w:val="008000"/>
                <w:w w:val="85"/>
                <w:vertAlign w:val="superscript"/>
              </w:rPr>
              <w:t>(6)</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w w:val="97"/>
              </w:rPr>
              <w:t>BioPharm,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Explanation of Responses:</w:t>
      </w:r>
    </w:p>
    <w:p>
      <w:pPr>
        <w:sectPr>
          <w:pgSz w:w="11900" w:h="16838" w:orient="portrait"/>
          <w:cols w:equalWidth="0" w:num="1">
            <w:col w:w="11420"/>
          </w:cols>
          <w:pgMar w:left="240" w:top="226" w:right="239" w:bottom="0" w:gutter="0" w:footer="0" w:header="0"/>
          <w:type w:val="continuous"/>
        </w:sectPr>
      </w:pPr>
    </w:p>
    <w:bookmarkStart w:id="1" w:name="page2"/>
    <w:bookmarkEnd w:id="1"/>
    <w:p>
      <w:pPr>
        <w:ind w:right="3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disposition reported on this line occurred as a result of a redemption by Intervac, L.L.C. of the membership interests of certain members of Intervac, L.L.C. There was no sale of securities by the reporting person.</w:t>
      </w:r>
    </w:p>
    <w:p>
      <w:pPr>
        <w:spacing w:after="0" w:line="30" w:lineRule="exact"/>
        <w:rPr>
          <w:rFonts w:ascii="Arial" w:cs="Arial" w:eastAsia="Arial" w:hAnsi="Arial"/>
          <w:sz w:val="14"/>
          <w:szCs w:val="14"/>
          <w:color w:val="008000"/>
        </w:rPr>
      </w:pPr>
    </w:p>
    <w:p>
      <w:pPr>
        <w:ind w:right="40"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After the distribution, Intervac, L.L.C. is the direct owner of 4,719,902 shares of Common Stock. After the distribution, Mr. El-Hibri holds with his wife, as tenants by the entirety, an aggregate 51.5576% equity interest in Intervac, L.L.C. Mr. El-Hibri disclaims beneficial ownership of these shares for purposes of Section 16, except to the extent of his pecuniary interest in 2,317,130 shares.</w:t>
      </w: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direct holdings include restricted stock units granted under the Amended and Restated Emergent BioSolutions Inc. 2006 Stock Incentive Plan.</w:t>
      </w:r>
    </w:p>
    <w:p>
      <w:pPr>
        <w:spacing w:after="0" w:line="41" w:lineRule="exact"/>
        <w:rPr>
          <w:rFonts w:ascii="Arial" w:cs="Arial" w:eastAsia="Arial" w:hAnsi="Arial"/>
          <w:sz w:val="14"/>
          <w:szCs w:val="14"/>
          <w:color w:val="008000"/>
        </w:rPr>
      </w:pPr>
    </w:p>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a child of the reporting person. The reporting person is trustee of this trust. The reporting person disclaims beneficial ownership of these securities, and the filing of this report is not an admission that the reporting person is the beneficial owner of these securities for purposes of Section 16 or for any other purpose.</w:t>
      </w:r>
    </w:p>
    <w:p>
      <w:pPr>
        <w:ind w:right="20"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ind w:right="4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is the holder of a 40.17% (567,582.3 units) equity interest in BioPharm, L.L.C. BioPharm, L.L.C. is the direct owner of 1,565,043 shares of Common Stock. Mr. El-Hibri disclaims beneficial ownership of these shares for purposes of Section 16, except to the extent of his pecuniary interest in 628,678 shares.</w:t>
      </w:r>
    </w:p>
    <w:p>
      <w:pPr>
        <w:ind w:left="6820"/>
        <w:spacing w:after="0" w:line="183" w:lineRule="auto"/>
        <w:rPr>
          <w:sz w:val="20"/>
          <w:szCs w:val="20"/>
          <w:color w:val="auto"/>
        </w:rPr>
      </w:pPr>
      <w:r>
        <w:rPr>
          <w:rFonts w:ascii="Arial" w:cs="Arial" w:eastAsia="Arial" w:hAnsi="Arial"/>
          <w:sz w:val="17"/>
          <w:szCs w:val="17"/>
          <w:color w:val="0000FF"/>
        </w:rPr>
        <w:t xml:space="preserve">/s/ Carl A. Valenstein, attorney- </w:t>
      </w:r>
      <w:r>
        <w:rPr>
          <w:rFonts w:ascii="Arial" w:cs="Arial" w:eastAsia="Arial" w:hAnsi="Arial"/>
          <w:sz w:val="33"/>
          <w:szCs w:val="33"/>
          <w:color w:val="0000FF"/>
          <w:vertAlign w:val="subscript"/>
        </w:rPr>
        <w:t>05/08/2012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60"/>
      </w:cols>
      <w:pgMar w:left="280" w:top="12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2019-12-17T16:05:09Z</dcterms:created>
  <dcterms:modified xsi:type="dcterms:W3CDTF">2019-12-17T16:05:09Z</dcterms:modified>
</cp:coreProperties>
</file>