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9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220"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May 2, 2019</w:t>
      </w:r>
    </w:p>
    <w:p>
      <w:pPr>
        <w:spacing w:after="0" w:line="21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EMERGENT BIOSOLUTIONS INC.</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679" w:right="299" w:bottom="1440" w:gutter="0" w:footer="0" w:header="0"/>
        </w:sectPr>
      </w:pPr>
    </w:p>
    <w:p>
      <w:pPr>
        <w:spacing w:after="0" w:line="367" w:lineRule="exact"/>
        <w:rPr>
          <w:sz w:val="24"/>
          <w:szCs w:val="24"/>
          <w:color w:val="auto"/>
        </w:rPr>
      </w:pPr>
    </w:p>
    <w:p>
      <w:pPr>
        <w:ind w:left="16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jc w:val="center"/>
        <w:ind w:right="1980"/>
        <w:spacing w:after="0"/>
        <w:rPr>
          <w:sz w:val="20"/>
          <w:szCs w:val="20"/>
          <w:color w:val="auto"/>
        </w:rPr>
      </w:pPr>
      <w:r>
        <w:rPr>
          <w:rFonts w:ascii="Arial" w:cs="Arial" w:eastAsia="Arial" w:hAnsi="Arial"/>
          <w:sz w:val="16"/>
          <w:szCs w:val="16"/>
          <w:b w:val="1"/>
          <w:bCs w:val="1"/>
          <w:color w:val="auto"/>
        </w:rPr>
        <w:t>001-33137</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14-1902018</w:t>
      </w:r>
    </w:p>
    <w:p>
      <w:pPr>
        <w:spacing w:after="0" w:line="90" w:lineRule="exact"/>
        <w:rPr>
          <w:sz w:val="24"/>
          <w:szCs w:val="24"/>
          <w:color w:val="auto"/>
        </w:rPr>
      </w:pPr>
    </w:p>
    <w:p>
      <w:pPr>
        <w:sectPr>
          <w:pgSz w:w="11900" w:h="16838" w:orient="portrait"/>
          <w:cols w:equalWidth="0" w:num="3">
            <w:col w:w="4620" w:space="720"/>
            <w:col w:w="2760" w:space="720"/>
            <w:col w:w="2540"/>
          </w:cols>
          <w:pgMar w:left="240" w:top="679" w:right="299" w:bottom="1440" w:gutter="0" w:footer="0" w:header="0"/>
          <w:type w:val="continuous"/>
        </w:sectPr>
      </w:pPr>
    </w:p>
    <w:p>
      <w:pPr>
        <w:ind w:left="122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w:t>
      </w:r>
    </w:p>
    <w:p>
      <w:pPr>
        <w:spacing w:after="0" w:line="86" w:lineRule="exact"/>
        <w:rPr>
          <w:sz w:val="24"/>
          <w:szCs w:val="24"/>
          <w:color w:val="auto"/>
        </w:rPr>
      </w:pPr>
    </w:p>
    <w:p>
      <w:pPr>
        <w:sectPr>
          <w:pgSz w:w="11900" w:h="16838" w:orient="portrait"/>
          <w:cols w:equalWidth="0" w:num="3">
            <w:col w:w="4000" w:space="720"/>
            <w:col w:w="3280" w:space="720"/>
            <w:col w:w="2640"/>
          </w:cols>
          <w:pgMar w:left="240" w:top="679" w:right="299" w:bottom="1440" w:gutter="0" w:footer="0" w:header="0"/>
          <w:type w:val="continuous"/>
        </w:sectPr>
      </w:pPr>
    </w:p>
    <w:p>
      <w:pPr>
        <w:ind w:left="1560"/>
        <w:spacing w:after="0"/>
        <w:rPr>
          <w:sz w:val="20"/>
          <w:szCs w:val="20"/>
          <w:color w:val="auto"/>
        </w:rPr>
      </w:pPr>
      <w:r>
        <w:rPr>
          <w:rFonts w:ascii="Arial" w:cs="Arial" w:eastAsia="Arial" w:hAnsi="Arial"/>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Identification No.)</w:t>
      </w:r>
    </w:p>
    <w:p>
      <w:pPr>
        <w:spacing w:after="0" w:line="48" w:lineRule="exact"/>
        <w:rPr>
          <w:sz w:val="24"/>
          <w:szCs w:val="24"/>
          <w:color w:val="auto"/>
        </w:rPr>
      </w:pPr>
    </w:p>
    <w:p>
      <w:pPr>
        <w:sectPr>
          <w:pgSz w:w="11900" w:h="16838" w:orient="portrait"/>
          <w:cols w:equalWidth="0" w:num="2">
            <w:col w:w="7860" w:space="720"/>
            <w:col w:w="2780"/>
          </w:cols>
          <w:pgMar w:left="240" w:top="679" w:right="299" w:bottom="1440" w:gutter="0" w:footer="0" w:header="0"/>
          <w:type w:val="continuous"/>
        </w:sectPr>
      </w:pPr>
    </w:p>
    <w:p>
      <w:pPr>
        <w:ind w:left="4200"/>
        <w:spacing w:after="0"/>
        <w:rPr>
          <w:sz w:val="20"/>
          <w:szCs w:val="20"/>
          <w:color w:val="auto"/>
        </w:rPr>
      </w:pPr>
      <w:r>
        <w:rPr>
          <w:rFonts w:ascii="Arial" w:cs="Arial" w:eastAsia="Arial" w:hAnsi="Arial"/>
          <w:sz w:val="22"/>
          <w:szCs w:val="22"/>
          <w:b w:val="1"/>
          <w:bCs w:val="1"/>
          <w:color w:val="auto"/>
        </w:rPr>
        <w:t>400 Professional Drive, Suite 400,</w:t>
      </w:r>
    </w:p>
    <w:p>
      <w:pPr>
        <w:spacing w:after="0" w:line="28"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Gaithersburg, Maryland 20879</w:t>
      </w:r>
    </w:p>
    <w:p>
      <w:pPr>
        <w:spacing w:after="0" w:line="74" w:lineRule="exact"/>
        <w:rPr>
          <w:sz w:val="24"/>
          <w:szCs w:val="24"/>
          <w:color w:val="auto"/>
        </w:rPr>
      </w:pPr>
    </w:p>
    <w:p>
      <w:pPr>
        <w:jc w:val="center"/>
        <w:ind w:right="-59"/>
        <w:spacing w:after="0"/>
        <w:rPr>
          <w:sz w:val="20"/>
          <w:szCs w:val="20"/>
          <w:color w:val="auto"/>
        </w:rPr>
      </w:pPr>
      <w:r>
        <w:rPr>
          <w:rFonts w:ascii="Arial" w:cs="Arial" w:eastAsia="Arial" w:hAnsi="Arial"/>
          <w:sz w:val="17"/>
          <w:szCs w:val="17"/>
          <w:color w:val="auto"/>
        </w:rPr>
        <w:t>(Address of principal executive offices, including zip code)</w:t>
      </w:r>
    </w:p>
    <w:p>
      <w:pPr>
        <w:spacing w:after="0" w:line="23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(240) 631-3200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360"/>
          </w:cols>
          <w:pgMar w:left="240" w:top="679" w:right="299" w:bottom="1440" w:gutter="0" w:footer="0" w:header="0"/>
          <w:type w:val="continuous"/>
        </w:sectPr>
      </w:pPr>
    </w:p>
    <w:p>
      <w:pPr>
        <w:spacing w:after="0" w:line="234"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40" w:hanging="132"/>
        <w:spacing w:after="0"/>
        <w:tabs>
          <w:tab w:leader="none" w:pos="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spacing w:after="0"/>
        <w:tabs>
          <w:tab w:leader="none" w:pos="21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5" w:lineRule="exact"/>
        <w:rPr>
          <w:sz w:val="24"/>
          <w:szCs w:val="24"/>
          <w:color w:val="auto"/>
        </w:rPr>
      </w:pPr>
    </w:p>
    <w:tbl>
      <w:tblPr>
        <w:tblLayout w:type="fixed"/>
        <w:tblInd w:w="270" w:type="dxa"/>
        <w:tblCellMar>
          <w:top w:w="0" w:type="dxa"/>
          <w:left w:w="0" w:type="dxa"/>
          <w:bottom w:w="0" w:type="dxa"/>
          <w:right w:w="0" w:type="dxa"/>
        </w:tblCellMar>
      </w:tblPr>
      <w:tr>
        <w:trPr>
          <w:trHeight w:val="257"/>
        </w:trPr>
        <w:tc>
          <w:tcPr>
            <w:tcW w:w="45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Title of each class</w:t>
            </w:r>
          </w:p>
        </w:tc>
        <w:tc>
          <w:tcPr>
            <w:tcW w:w="230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41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r>
        <w:trPr>
          <w:trHeight w:val="237"/>
        </w:trPr>
        <w:tc>
          <w:tcPr>
            <w:tcW w:w="45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Common Stock, Par Value $0.001 per share</w:t>
            </w:r>
          </w:p>
        </w:tc>
        <w:tc>
          <w:tcPr>
            <w:tcW w:w="23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EBS</w:t>
            </w:r>
          </w:p>
        </w:tc>
        <w:tc>
          <w:tcPr>
            <w:tcW w:w="41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7"/>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2300" w:type="dxa"/>
            <w:vAlign w:val="bottom"/>
            <w:tcBorders>
              <w:bottom w:val="single" w:sz="8" w:color="auto"/>
              <w:right w:val="single" w:sz="8" w:color="auto"/>
            </w:tcBorders>
          </w:tcPr>
          <w:p>
            <w:pPr>
              <w:spacing w:after="0"/>
              <w:rPr>
                <w:sz w:val="2"/>
                <w:szCs w:val="2"/>
                <w:color w:val="auto"/>
              </w:rPr>
            </w:pPr>
          </w:p>
        </w:tc>
        <w:tc>
          <w:tcPr>
            <w:tcW w:w="416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360"/>
          </w:cols>
          <w:pgMar w:left="240" w:top="679" w:right="2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May 2, 2019, Emergent BioSolutions Inc. announced financial and operating results for the period ended March 31, 2019. The full text of the press release issued in connection with the announcement is attached as Exhibit 99 to this Current Report on Form 8-K.</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37"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198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2280" w:type="dxa"/>
            <w:vAlign w:val="bottom"/>
          </w:tcPr>
          <w:p>
            <w:pPr>
              <w:spacing w:after="0"/>
              <w:rPr>
                <w:sz w:val="20"/>
                <w:szCs w:val="20"/>
                <w:color w:val="auto"/>
              </w:rPr>
            </w:pPr>
          </w:p>
        </w:tc>
        <w:tc>
          <w:tcPr>
            <w:tcW w:w="6140" w:type="dxa"/>
            <w:vAlign w:val="bottom"/>
            <w:gridSpan w:val="2"/>
          </w:tcPr>
          <w:p>
            <w:pPr>
              <w:jc w:val="center"/>
              <w:ind w:right="2280"/>
              <w:spacing w:after="0"/>
              <w:rPr>
                <w:sz w:val="20"/>
                <w:szCs w:val="20"/>
                <w:color w:val="auto"/>
              </w:rPr>
            </w:pPr>
            <w:r>
              <w:rPr>
                <w:rFonts w:ascii="Arial" w:cs="Arial" w:eastAsia="Arial" w:hAnsi="Arial"/>
                <w:sz w:val="18"/>
                <w:szCs w:val="18"/>
                <w:b w:val="1"/>
                <w:bCs w:val="1"/>
                <w:color w:val="auto"/>
                <w:w w:val="90"/>
              </w:rPr>
              <w:t>Description</w:t>
            </w:r>
          </w:p>
        </w:tc>
      </w:tr>
      <w:tr>
        <w:trPr>
          <w:trHeight w:val="27"/>
        </w:trPr>
        <w:tc>
          <w:tcPr>
            <w:tcW w:w="168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196"/>
        </w:trPr>
        <w:tc>
          <w:tcPr>
            <w:tcW w:w="1680" w:type="dxa"/>
            <w:vAlign w:val="bottom"/>
          </w:tcPr>
          <w:p>
            <w:pPr>
              <w:jc w:val="right"/>
              <w:ind w:right="670"/>
              <w:spacing w:after="0" w:line="196" w:lineRule="exact"/>
              <w:rPr>
                <w:sz w:val="20"/>
                <w:szCs w:val="20"/>
                <w:color w:val="auto"/>
              </w:rPr>
            </w:pPr>
            <w:r>
              <w:rPr>
                <w:rFonts w:ascii="Arial" w:cs="Arial" w:eastAsia="Arial" w:hAnsi="Arial"/>
                <w:sz w:val="18"/>
                <w:szCs w:val="18"/>
                <w:color w:val="auto"/>
              </w:rPr>
              <w:t>99</w:t>
            </w:r>
          </w:p>
        </w:tc>
        <w:tc>
          <w:tcPr>
            <w:tcW w:w="3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140" w:type="dxa"/>
            <w:vAlign w:val="bottom"/>
            <w:gridSpan w:val="2"/>
          </w:tcPr>
          <w:p>
            <w:pPr>
              <w:jc w:val="center"/>
              <w:ind w:right="2300"/>
              <w:spacing w:after="0" w:line="196" w:lineRule="exact"/>
              <w:rPr>
                <w:rFonts w:ascii="Arial" w:cs="Arial" w:eastAsia="Arial" w:hAnsi="Arial"/>
                <w:sz w:val="18"/>
                <w:szCs w:val="18"/>
                <w:color w:val="0000FF"/>
                <w:w w:val="88"/>
              </w:rPr>
            </w:pPr>
            <w:hyperlink w:anchor="page3">
              <w:r>
                <w:rPr>
                  <w:rFonts w:ascii="Arial" w:cs="Arial" w:eastAsia="Arial" w:hAnsi="Arial"/>
                  <w:sz w:val="18"/>
                  <w:szCs w:val="18"/>
                  <w:color w:val="0000FF"/>
                  <w:w w:val="88"/>
                </w:rPr>
                <w:t>Press release issued by the company on May 2, 2019.</w:t>
              </w:r>
            </w:hyperlink>
          </w:p>
        </w:tc>
      </w:tr>
      <w:tr>
        <w:trPr>
          <w:trHeight w:val="20"/>
        </w:trPr>
        <w:tc>
          <w:tcPr>
            <w:tcW w:w="1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40" w:type="dxa"/>
            <w:vAlign w:val="bottom"/>
            <w:shd w:val="clear" w:color="auto" w:fill="0000FF"/>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5" w:lineRule="exact"/>
        <w:rPr>
          <w:sz w:val="20"/>
          <w:szCs w:val="20"/>
          <w:color w:val="auto"/>
        </w:rPr>
      </w:pPr>
    </w:p>
    <w:p>
      <w:pPr>
        <w:ind w:left="5840"/>
        <w:spacing w:after="0"/>
        <w:rPr>
          <w:sz w:val="20"/>
          <w:szCs w:val="20"/>
          <w:color w:val="auto"/>
        </w:rPr>
      </w:pPr>
      <w:r>
        <w:rPr>
          <w:rFonts w:ascii="Arial" w:cs="Arial" w:eastAsia="Arial" w:hAnsi="Arial"/>
          <w:sz w:val="18"/>
          <w:szCs w:val="18"/>
          <w:b w:val="1"/>
          <w:bCs w:val="1"/>
          <w:color w:val="auto"/>
        </w:rPr>
        <w:t>EMERGENT BIOSOLUTIONS INC.</w:t>
      </w:r>
    </w:p>
    <w:p>
      <w:pPr>
        <w:spacing w:after="0" w:line="337" w:lineRule="exact"/>
        <w:rPr>
          <w:sz w:val="20"/>
          <w:szCs w:val="20"/>
          <w:color w:val="auto"/>
        </w:rPr>
      </w:pPr>
    </w:p>
    <w:p>
      <w:pPr>
        <w:ind w:left="520"/>
        <w:spacing w:after="0"/>
        <w:tabs>
          <w:tab w:leader="none" w:pos="5820" w:val="left"/>
          <w:tab w:leader="none" w:pos="6360" w:val="left"/>
        </w:tabs>
        <w:rPr>
          <w:sz w:val="20"/>
          <w:szCs w:val="20"/>
          <w:color w:val="auto"/>
        </w:rPr>
      </w:pPr>
      <w:r>
        <w:rPr>
          <w:rFonts w:ascii="Arial" w:cs="Arial" w:eastAsia="Arial" w:hAnsi="Arial"/>
          <w:sz w:val="18"/>
          <w:szCs w:val="18"/>
          <w:color w:val="auto"/>
        </w:rPr>
        <w:t>Dated: May 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RICHARD S. LINDAHL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4035425</wp:posOffset>
            </wp:positionH>
            <wp:positionV relativeFrom="paragraph">
              <wp:posOffset>31750</wp:posOffset>
            </wp:positionV>
            <wp:extent cx="2907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Name:Richard S. Lindahl</w:t>
      </w:r>
    </w:p>
    <w:p>
      <w:pPr>
        <w:spacing w:after="0" w:line="23"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Title: Executive Vice President, Chief Financial</w:t>
      </w:r>
    </w:p>
    <w:p>
      <w:pPr>
        <w:spacing w:after="0" w:line="9"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Officer and Treasurer</w:t>
      </w:r>
    </w:p>
    <w:p>
      <w:pPr>
        <w:sectPr>
          <w:pgSz w:w="11900" w:h="16838" w:orient="portrait"/>
          <w:cols w:equalWidth="0" w:num="1">
            <w:col w:w="11420"/>
          </w:cols>
          <w:pgMar w:left="240" w:top="634" w:right="239" w:bottom="1440" w:gutter="0" w:footer="0" w:header="0"/>
        </w:sectPr>
      </w:pPr>
    </w:p>
    <w:bookmarkStart w:id="2" w:name="page3"/>
    <w:bookmarkEnd w:id="2"/>
    <w:p>
      <w:pPr>
        <w:spacing w:after="0" w:line="16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88900</wp:posOffset>
            </wp:positionV>
            <wp:extent cx="1517650" cy="651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5151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740410</wp:posOffset>
            </wp:positionV>
            <wp:extent cx="124333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1243330" cy="137160"/>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EMERGENT BIOSOLUTIONS REPORTS FIRST QUARTER 2019 FINANCIAL RESULTS</w:t>
      </w:r>
    </w:p>
    <w:p>
      <w:pPr>
        <w:spacing w:after="0" w:line="260"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Reaffirms full year 2019 financial forecast and operational goals</w:t>
      </w:r>
    </w:p>
    <w:p>
      <w:pPr>
        <w:spacing w:after="0" w:line="29" w:lineRule="exact"/>
        <w:rPr>
          <w:sz w:val="20"/>
          <w:szCs w:val="20"/>
          <w:color w:val="auto"/>
        </w:rPr>
      </w:pPr>
    </w:p>
    <w:p>
      <w:pPr>
        <w:ind w:left="340"/>
        <w:spacing w:after="0"/>
        <w:rPr>
          <w:sz w:val="20"/>
          <w:szCs w:val="20"/>
          <w:color w:val="auto"/>
        </w:rPr>
      </w:pPr>
      <w:r>
        <w:rPr>
          <w:rFonts w:ascii="Arial" w:cs="Arial" w:eastAsia="Arial" w:hAnsi="Arial"/>
          <w:sz w:val="22"/>
          <w:szCs w:val="22"/>
          <w:b w:val="1"/>
          <w:bCs w:val="1"/>
          <w:color w:val="auto"/>
        </w:rPr>
        <w:t>–  Provides Q2 2019 revenue forecast of $200M-$220M</w:t>
      </w:r>
    </w:p>
    <w:p>
      <w:pPr>
        <w:spacing w:after="0" w:line="19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b w:val="1"/>
          <w:bCs w:val="1"/>
          <w:color w:val="auto"/>
        </w:rPr>
        <w:t>GAITHERSBURG, Md., May 2, 2019</w:t>
      </w:r>
      <w:r>
        <w:rPr>
          <w:rFonts w:ascii="Arial" w:cs="Arial" w:eastAsia="Arial" w:hAnsi="Arial"/>
          <w:sz w:val="18"/>
          <w:szCs w:val="18"/>
          <w:color w:val="auto"/>
        </w:rPr>
        <w:t>—Emergent BioSolutions Inc. (NYSE: EBS) reported financial results for the three months ended March</w:t>
      </w:r>
      <w:r>
        <w:rPr>
          <w:rFonts w:ascii="Arial" w:cs="Arial" w:eastAsia="Arial" w:hAnsi="Arial"/>
          <w:sz w:val="18"/>
          <w:szCs w:val="18"/>
          <w:b w:val="1"/>
          <w:bCs w:val="1"/>
          <w:color w:val="auto"/>
        </w:rPr>
        <w:t xml:space="preserve"> </w:t>
      </w:r>
      <w:r>
        <w:rPr>
          <w:rFonts w:ascii="Arial" w:cs="Arial" w:eastAsia="Arial" w:hAnsi="Arial"/>
          <w:sz w:val="18"/>
          <w:szCs w:val="18"/>
          <w:color w:val="auto"/>
        </w:rPr>
        <w:t>31, 2019.</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12330" cy="1346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1346200"/>
                    </a:xfrm>
                    <a:prstGeom prst="rect">
                      <a:avLst/>
                    </a:prstGeom>
                    <a:noFill/>
                  </pic:spPr>
                </pic:pic>
              </a:graphicData>
            </a:graphic>
          </wp:anchor>
        </w:drawing>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5900" w:type="dxa"/>
            <w:vAlign w:val="bottom"/>
            <w:vMerge w:val="restart"/>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272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8"/>
              </w:rPr>
              <w:t>Q1 2019</w:t>
            </w:r>
          </w:p>
        </w:tc>
        <w:tc>
          <w:tcPr>
            <w:tcW w:w="270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rPr>
              <w:t>Q1 2018</w:t>
            </w:r>
          </w:p>
        </w:tc>
        <w:tc>
          <w:tcPr>
            <w:tcW w:w="0" w:type="dxa"/>
            <w:vAlign w:val="bottom"/>
          </w:tcPr>
          <w:p>
            <w:pPr>
              <w:spacing w:after="0"/>
              <w:rPr>
                <w:sz w:val="1"/>
                <w:szCs w:val="1"/>
                <w:color w:val="auto"/>
              </w:rPr>
            </w:pPr>
          </w:p>
        </w:tc>
      </w:tr>
      <w:tr>
        <w:trPr>
          <w:trHeight w:val="109"/>
        </w:trPr>
        <w:tc>
          <w:tcPr>
            <w:tcW w:w="5900" w:type="dxa"/>
            <w:vAlign w:val="bottom"/>
            <w:vMerge w:val="continue"/>
            <w:shd w:val="clear" w:color="auto" w:fill="0F243E"/>
          </w:tcPr>
          <w:p>
            <w:pPr>
              <w:spacing w:after="0"/>
              <w:rPr>
                <w:sz w:val="9"/>
                <w:szCs w:val="9"/>
                <w:color w:val="auto"/>
              </w:rPr>
            </w:pPr>
          </w:p>
        </w:tc>
        <w:tc>
          <w:tcPr>
            <w:tcW w:w="2720" w:type="dxa"/>
            <w:vAlign w:val="bottom"/>
            <w:vMerge w:val="restart"/>
            <w:shd w:val="clear" w:color="auto" w:fill="0F243E"/>
          </w:tcPr>
          <w:p>
            <w:pPr>
              <w:ind w:left="900"/>
              <w:spacing w:after="0"/>
              <w:rPr>
                <w:sz w:val="20"/>
                <w:szCs w:val="20"/>
                <w:color w:val="auto"/>
              </w:rPr>
            </w:pPr>
            <w:r>
              <w:rPr>
                <w:rFonts w:ascii="Arial" w:cs="Arial" w:eastAsia="Arial" w:hAnsi="Arial"/>
                <w:sz w:val="18"/>
                <w:szCs w:val="18"/>
                <w:color w:val="FFFFFF"/>
              </w:rPr>
              <w:t>(unaudited)</w:t>
            </w:r>
          </w:p>
        </w:tc>
        <w:tc>
          <w:tcPr>
            <w:tcW w:w="2700" w:type="dxa"/>
            <w:vAlign w:val="bottom"/>
            <w:vMerge w:val="restart"/>
            <w:shd w:val="clear" w:color="auto" w:fill="0F243E"/>
          </w:tcPr>
          <w:p>
            <w:pPr>
              <w:ind w:left="900"/>
              <w:spacing w:after="0"/>
              <w:rPr>
                <w:sz w:val="20"/>
                <w:szCs w:val="20"/>
                <w:color w:val="auto"/>
              </w:rPr>
            </w:pPr>
            <w:r>
              <w:rPr>
                <w:rFonts w:ascii="Arial" w:cs="Arial" w:eastAsia="Arial" w:hAnsi="Arial"/>
                <w:sz w:val="18"/>
                <w:szCs w:val="18"/>
                <w:color w:val="FFFFFF"/>
              </w:rPr>
              <w:t>(unaudited)</w:t>
            </w:r>
          </w:p>
        </w:tc>
        <w:tc>
          <w:tcPr>
            <w:tcW w:w="0" w:type="dxa"/>
            <w:vAlign w:val="bottom"/>
          </w:tcPr>
          <w:p>
            <w:pPr>
              <w:spacing w:after="0"/>
              <w:rPr>
                <w:sz w:val="1"/>
                <w:szCs w:val="1"/>
                <w:color w:val="auto"/>
              </w:rPr>
            </w:pPr>
          </w:p>
        </w:tc>
      </w:tr>
      <w:tr>
        <w:trPr>
          <w:trHeight w:val="115"/>
        </w:trPr>
        <w:tc>
          <w:tcPr>
            <w:tcW w:w="5900" w:type="dxa"/>
            <w:vAlign w:val="bottom"/>
            <w:tcBorders>
              <w:bottom w:val="single" w:sz="8" w:color="0F243E"/>
            </w:tcBorders>
            <w:shd w:val="clear" w:color="auto" w:fill="0F243E"/>
          </w:tcPr>
          <w:p>
            <w:pPr>
              <w:spacing w:after="0"/>
              <w:rPr>
                <w:sz w:val="10"/>
                <w:szCs w:val="10"/>
                <w:color w:val="auto"/>
              </w:rPr>
            </w:pPr>
          </w:p>
        </w:tc>
        <w:tc>
          <w:tcPr>
            <w:tcW w:w="2720" w:type="dxa"/>
            <w:vAlign w:val="bottom"/>
            <w:tcBorders>
              <w:bottom w:val="single" w:sz="8" w:color="0F243E"/>
            </w:tcBorders>
            <w:vMerge w:val="continue"/>
            <w:shd w:val="clear" w:color="auto" w:fill="0F243E"/>
          </w:tcPr>
          <w:p>
            <w:pPr>
              <w:spacing w:after="0"/>
              <w:rPr>
                <w:sz w:val="10"/>
                <w:szCs w:val="10"/>
                <w:color w:val="auto"/>
              </w:rPr>
            </w:pPr>
          </w:p>
        </w:tc>
        <w:tc>
          <w:tcPr>
            <w:tcW w:w="2700" w:type="dxa"/>
            <w:vAlign w:val="bottom"/>
            <w:tcBorders>
              <w:bottom w:val="single" w:sz="8" w:color="0F243E"/>
            </w:tcBorders>
            <w:vMerge w:val="continue"/>
            <w:shd w:val="clear" w:color="auto" w:fill="0F243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5900" w:type="dxa"/>
            <w:vAlign w:val="bottom"/>
            <w:shd w:val="clear" w:color="auto" w:fill="CCCCCC"/>
          </w:tcPr>
          <w:p>
            <w:pPr>
              <w:ind w:left="40"/>
              <w:spacing w:after="0"/>
              <w:rPr>
                <w:sz w:val="20"/>
                <w:szCs w:val="20"/>
                <w:color w:val="auto"/>
              </w:rPr>
            </w:pPr>
            <w:r>
              <w:rPr>
                <w:rFonts w:ascii="Arial" w:cs="Arial" w:eastAsia="Arial" w:hAnsi="Arial"/>
                <w:sz w:val="18"/>
                <w:szCs w:val="18"/>
                <w:color w:val="auto"/>
              </w:rPr>
              <w:t>Total Revenues</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auto"/>
              </w:rPr>
              <w:t>$190.6</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70"/>
        </w:trPr>
        <w:tc>
          <w:tcPr>
            <w:tcW w:w="5900" w:type="dxa"/>
            <w:vAlign w:val="bottom"/>
            <w:shd w:val="clear" w:color="auto" w:fill="CCCCCC"/>
          </w:tcPr>
          <w:p>
            <w:pPr>
              <w:ind w:left="40"/>
              <w:spacing w:after="0"/>
              <w:rPr>
                <w:sz w:val="20"/>
                <w:szCs w:val="20"/>
                <w:color w:val="auto"/>
              </w:rPr>
            </w:pPr>
            <w:r>
              <w:rPr>
                <w:rFonts w:ascii="Arial" w:cs="Arial" w:eastAsia="Arial" w:hAnsi="Arial"/>
                <w:sz w:val="18"/>
                <w:szCs w:val="18"/>
                <w:color w:val="auto"/>
              </w:rPr>
              <w:t>Pre-tax Loss</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b w:val="1"/>
                <w:bCs w:val="1"/>
                <w:color w:val="auto"/>
                <w:w w:val="98"/>
              </w:rPr>
              <w:t>$(37.8)</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70"/>
        </w:trPr>
        <w:tc>
          <w:tcPr>
            <w:tcW w:w="5900" w:type="dxa"/>
            <w:vAlign w:val="bottom"/>
            <w:shd w:val="clear" w:color="auto" w:fill="CCCCCC"/>
          </w:tcPr>
          <w:p>
            <w:pPr>
              <w:ind w:left="40"/>
              <w:spacing w:after="0"/>
              <w:rPr>
                <w:sz w:val="20"/>
                <w:szCs w:val="20"/>
                <w:color w:val="auto"/>
              </w:rPr>
            </w:pPr>
            <w:r>
              <w:rPr>
                <w:rFonts w:ascii="Arial" w:cs="Arial" w:eastAsia="Arial" w:hAnsi="Arial"/>
                <w:sz w:val="18"/>
                <w:szCs w:val="18"/>
                <w:color w:val="auto"/>
              </w:rPr>
              <w:t>Net Loss</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8"/>
              </w:rPr>
              <w:t>$(26.0)</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0"/>
        </w:trPr>
        <w:tc>
          <w:tcPr>
            <w:tcW w:w="590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Net Loss </w:t>
            </w:r>
            <w:r>
              <w:rPr>
                <w:rFonts w:ascii="Arial" w:cs="Arial" w:eastAsia="Arial" w:hAnsi="Arial"/>
                <w:sz w:val="18"/>
                <w:szCs w:val="18"/>
                <w:i w:val="1"/>
                <w:iCs w:val="1"/>
                <w:color w:val="auto"/>
              </w:rPr>
              <w:t>(1)</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$(6.8)</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0"/>
        </w:trPr>
        <w:tc>
          <w:tcPr>
            <w:tcW w:w="590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8"/>
                <w:szCs w:val="18"/>
                <w:i w:val="1"/>
                <w:iCs w:val="1"/>
                <w:color w:val="auto"/>
              </w:rPr>
              <w:t>(1)</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$(1.6)</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5900" w:type="dxa"/>
            <w:vAlign w:val="bottom"/>
            <w:shd w:val="clear" w:color="auto" w:fill="CCCCCC"/>
          </w:tcPr>
          <w:p>
            <w:pPr>
              <w:ind w:left="40"/>
              <w:spacing w:after="0"/>
              <w:rPr>
                <w:sz w:val="20"/>
                <w:szCs w:val="20"/>
                <w:color w:val="auto"/>
              </w:rPr>
            </w:pPr>
            <w:r>
              <w:rPr>
                <w:rFonts w:ascii="Arial" w:cs="Arial" w:eastAsia="Arial" w:hAnsi="Arial"/>
                <w:sz w:val="18"/>
                <w:szCs w:val="18"/>
                <w:color w:val="auto"/>
              </w:rPr>
              <w:t xml:space="preserve">Adjusted EBITDA </w:t>
            </w:r>
            <w:r>
              <w:rPr>
                <w:rFonts w:ascii="Arial" w:cs="Arial" w:eastAsia="Arial" w:hAnsi="Arial"/>
                <w:sz w:val="18"/>
                <w:szCs w:val="18"/>
                <w:i w:val="1"/>
                <w:iCs w:val="1"/>
                <w:color w:val="auto"/>
              </w:rPr>
              <w:t>(1)</w:t>
            </w:r>
          </w:p>
        </w:tc>
        <w:tc>
          <w:tcPr>
            <w:tcW w:w="272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$7.4</w:t>
            </w:r>
          </w:p>
        </w:tc>
        <w:tc>
          <w:tcPr>
            <w:tcW w:w="270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 2019 AND RECENT BUSINESS ACCOMPLISHMENTS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Procurement Contract</w:t>
      </w:r>
    </w:p>
    <w:p>
      <w:pPr>
        <w:spacing w:after="0" w:line="247" w:lineRule="exact"/>
        <w:rPr>
          <w:sz w:val="20"/>
          <w:szCs w:val="20"/>
          <w:color w:val="auto"/>
        </w:rPr>
      </w:pPr>
    </w:p>
    <w:p>
      <w:pPr>
        <w:jc w:val="both"/>
        <w:ind w:left="660" w:hanging="328"/>
        <w:spacing w:after="0" w:line="256"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Signed a contract with the U.S. Department of State valued at up to $100 million over 10 years to establish a long-term, reliable supply chain of medical countermeasures for chemical threats, including the supply of RSDL® (Reactive Skin Decontamination Lotion Kit) and Trobigard® atropine sulfate/obidoxime chloride auto-injector.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Product Development</w:t>
      </w:r>
    </w:p>
    <w:p>
      <w:pPr>
        <w:spacing w:after="0" w:line="247" w:lineRule="exact"/>
        <w:rPr>
          <w:sz w:val="20"/>
          <w:szCs w:val="20"/>
          <w:color w:val="auto"/>
        </w:rPr>
      </w:pPr>
    </w:p>
    <w:p>
      <w:pPr>
        <w:ind w:left="660" w:right="180" w:hanging="328"/>
        <w:spacing w:after="0" w:line="265"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Initiated a Phase III trial to evaluate the lot consistency, immunogenicity and safety of AV7909 (anthrax vaccine adsorbed with CPG 7909 adjuvant), with funding from the U.S. Biomedical Advanced Research and Development Authority (BARDA) pursuant to a development and procurement contract signed in September 2016; the Company also initiated manufacturing of AV7909 in Q1 2019.</w:t>
      </w:r>
    </w:p>
    <w:p>
      <w:pPr>
        <w:ind w:left="660" w:right="160" w:hanging="328"/>
        <w:spacing w:after="0" w:line="25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Provided interim analysis of the Phase II clinical study evaluating the safety and immunogenicity of the Company's chikungunya virus virus-like-particle vaccine candidate, CHIKV-VLP, showing with a single dose administered up to 98% of study participants produced neutralizing antibodies against the chikungunya virus by day 7, with persistent effect out to the six-month visit, including in the single-dose regimen.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FINANCIAL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Revenues</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Q1 2019, total revenues were $190.6 million, an increase of 62% over 2018. Total revenues reflect a significant increase in product sales due to the contribution of recently acquired products.</w:t>
      </w:r>
    </w:p>
    <w:p>
      <w:pPr>
        <w:sectPr>
          <w:pgSz w:w="11900" w:h="16838" w:orient="portrait"/>
          <w:cols w:equalWidth="0" w:num="1">
            <w:col w:w="11380"/>
          </w:cols>
          <w:pgMar w:left="240" w:top="1440" w:right="279" w:bottom="1440" w:gutter="0" w:footer="0" w:header="0"/>
        </w:sectPr>
      </w:pPr>
    </w:p>
    <w:bookmarkStart w:id="3" w:name="page4"/>
    <w:bookmarkEnd w:id="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auto"/>
        </w:rPr>
        <w:t>Product Sales</w:t>
      </w:r>
    </w:p>
    <w:p>
      <w:pPr>
        <w:spacing w:after="0" w:line="139" w:lineRule="exact"/>
        <w:rPr>
          <w:sz w:val="20"/>
          <w:szCs w:val="20"/>
          <w:color w:val="auto"/>
        </w:rPr>
      </w:pPr>
    </w:p>
    <w:p>
      <w:pPr>
        <w:ind w:right="140"/>
        <w:spacing w:after="0" w:line="291" w:lineRule="auto"/>
        <w:rPr>
          <w:sz w:val="20"/>
          <w:szCs w:val="20"/>
          <w:color w:val="auto"/>
        </w:rPr>
      </w:pPr>
      <w:r>
        <w:rPr>
          <w:rFonts w:ascii="Arial" w:cs="Arial" w:eastAsia="Arial" w:hAnsi="Arial"/>
          <w:sz w:val="17"/>
          <w:szCs w:val="17"/>
          <w:color w:val="auto"/>
        </w:rPr>
        <w:t>For Q1 2019, product sales were $153.0 million, an increase of $77.2 million or 102% as compared to 2018. The increase primarily reflects sales of NARCAN</w:t>
      </w:r>
      <w:r>
        <w:rPr>
          <w:rFonts w:ascii="Arial" w:cs="Arial" w:eastAsia="Arial" w:hAnsi="Arial"/>
          <w:sz w:val="14"/>
          <w:szCs w:val="14"/>
          <w:color w:val="auto"/>
        </w:rPr>
        <w:t>®</w:t>
      </w:r>
      <w:r>
        <w:rPr>
          <w:rFonts w:ascii="Arial" w:cs="Arial" w:eastAsia="Arial" w:hAnsi="Arial"/>
          <w:sz w:val="17"/>
          <w:szCs w:val="17"/>
          <w:color w:val="auto"/>
        </w:rPr>
        <w:t xml:space="preserve"> (naloxone HCl) Nasal Spray, which was acquired in October 2018, and ACAM2000</w:t>
      </w:r>
      <w:r>
        <w:rPr>
          <w:rFonts w:ascii="Arial" w:cs="Arial" w:eastAsia="Arial" w:hAnsi="Arial"/>
          <w:sz w:val="14"/>
          <w:szCs w:val="14"/>
          <w:color w:val="auto"/>
        </w:rPr>
        <w:t>®</w:t>
      </w:r>
      <w:r>
        <w:rPr>
          <w:rFonts w:ascii="Arial" w:cs="Arial" w:eastAsia="Arial" w:hAnsi="Arial"/>
          <w:sz w:val="17"/>
          <w:szCs w:val="17"/>
          <w:color w:val="auto"/>
        </w:rPr>
        <w:t xml:space="preserve"> (Smallpox (Vaccinia) Vaccine, Live).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6766560" cy="14319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6560" cy="1431925"/>
                    </a:xfrm>
                    <a:prstGeom prst="rect">
                      <a:avLst/>
                    </a:prstGeom>
                    <a:noFill/>
                  </pic:spPr>
                </pic:pic>
              </a:graphicData>
            </a:graphic>
          </wp:anchor>
        </w:drawing>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6200" w:type="dxa"/>
            <w:vAlign w:val="bottom"/>
            <w:tcBorders>
              <w:right w:val="single" w:sz="8" w:color="0F243E"/>
            </w:tcBorders>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00" w:type="dxa"/>
            <w:vAlign w:val="bottom"/>
            <w:shd w:val="clear" w:color="auto" w:fill="0F243E"/>
          </w:tcPr>
          <w:p>
            <w:pPr>
              <w:spacing w:after="0"/>
              <w:rPr>
                <w:sz w:val="24"/>
                <w:szCs w:val="24"/>
                <w:color w:val="auto"/>
              </w:rPr>
            </w:pPr>
          </w:p>
        </w:tc>
        <w:tc>
          <w:tcPr>
            <w:tcW w:w="4360" w:type="dxa"/>
            <w:vAlign w:val="bottom"/>
            <w:gridSpan w:val="4"/>
            <w:shd w:val="clear" w:color="auto" w:fill="0F243E"/>
          </w:tcPr>
          <w:p>
            <w:pPr>
              <w:ind w:left="980"/>
              <w:spacing w:after="0"/>
              <w:rPr>
                <w:sz w:val="20"/>
                <w:szCs w:val="20"/>
                <w:color w:val="auto"/>
              </w:rPr>
            </w:pPr>
            <w:r>
              <w:rPr>
                <w:rFonts w:ascii="Arial" w:cs="Arial" w:eastAsia="Arial" w:hAnsi="Arial"/>
                <w:sz w:val="18"/>
                <w:szCs w:val="18"/>
                <w:color w:val="FFFFFF"/>
              </w:rPr>
              <w:t>Three Months Ended March 31,</w:t>
            </w:r>
          </w:p>
        </w:tc>
      </w:tr>
      <w:tr>
        <w:trPr>
          <w:trHeight w:val="257"/>
        </w:trPr>
        <w:tc>
          <w:tcPr>
            <w:tcW w:w="6200" w:type="dxa"/>
            <w:vAlign w:val="bottom"/>
            <w:tcBorders>
              <w:right w:val="single" w:sz="8" w:color="0F243E"/>
            </w:tcBorders>
            <w:shd w:val="clear" w:color="auto" w:fill="0F243E"/>
          </w:tcPr>
          <w:p>
            <w:pPr>
              <w:ind w:left="40"/>
              <w:spacing w:after="0"/>
              <w:rPr>
                <w:sz w:val="20"/>
                <w:szCs w:val="20"/>
                <w:color w:val="auto"/>
              </w:rPr>
            </w:pPr>
            <w:r>
              <w:rPr>
                <w:rFonts w:ascii="Arial" w:cs="Arial" w:eastAsia="Arial" w:hAnsi="Arial"/>
                <w:sz w:val="18"/>
                <w:szCs w:val="18"/>
                <w:color w:val="FFFFFF"/>
              </w:rPr>
              <w:t>(unaudited)</w:t>
            </w:r>
          </w:p>
        </w:tc>
        <w:tc>
          <w:tcPr>
            <w:tcW w:w="1380" w:type="dxa"/>
            <w:vAlign w:val="bottom"/>
            <w:gridSpan w:val="2"/>
            <w:shd w:val="clear" w:color="auto" w:fill="0F243E"/>
          </w:tcPr>
          <w:p>
            <w:pPr>
              <w:jc w:val="right"/>
              <w:ind w:right="350"/>
              <w:spacing w:after="0"/>
              <w:rPr>
                <w:sz w:val="20"/>
                <w:szCs w:val="20"/>
                <w:color w:val="auto"/>
              </w:rPr>
            </w:pPr>
            <w:r>
              <w:rPr>
                <w:rFonts w:ascii="Arial" w:cs="Arial" w:eastAsia="Arial" w:hAnsi="Arial"/>
                <w:sz w:val="18"/>
                <w:szCs w:val="18"/>
                <w:b w:val="1"/>
                <w:bCs w:val="1"/>
                <w:color w:val="FFFFFF"/>
              </w:rPr>
              <w:t>2019</w:t>
            </w:r>
          </w:p>
        </w:tc>
        <w:tc>
          <w:tcPr>
            <w:tcW w:w="120" w:type="dxa"/>
            <w:vAlign w:val="bottom"/>
            <w:tcBorders>
              <w:right w:val="single" w:sz="8" w:color="0F243E"/>
            </w:tcBorders>
            <w:shd w:val="clear" w:color="auto" w:fill="0F243E"/>
          </w:tcPr>
          <w:p>
            <w:pPr>
              <w:spacing w:after="0"/>
              <w:rPr>
                <w:sz w:val="22"/>
                <w:szCs w:val="22"/>
                <w:color w:val="auto"/>
              </w:rPr>
            </w:pPr>
          </w:p>
        </w:tc>
        <w:tc>
          <w:tcPr>
            <w:tcW w:w="1480" w:type="dxa"/>
            <w:vAlign w:val="bottom"/>
            <w:tcBorders>
              <w:right w:val="single" w:sz="8" w:color="0F243E"/>
            </w:tcBorders>
            <w:shd w:val="clear" w:color="auto" w:fill="0F243E"/>
          </w:tcPr>
          <w:p>
            <w:pPr>
              <w:jc w:val="right"/>
              <w:ind w:right="450"/>
              <w:spacing w:after="0"/>
              <w:rPr>
                <w:sz w:val="20"/>
                <w:szCs w:val="20"/>
                <w:color w:val="auto"/>
              </w:rPr>
            </w:pPr>
            <w:r>
              <w:rPr>
                <w:rFonts w:ascii="Arial" w:cs="Arial" w:eastAsia="Arial" w:hAnsi="Arial"/>
                <w:sz w:val="18"/>
                <w:szCs w:val="18"/>
                <w:b w:val="1"/>
                <w:bCs w:val="1"/>
                <w:color w:val="FFFFFF"/>
              </w:rPr>
              <w:t>2018</w:t>
            </w:r>
          </w:p>
        </w:tc>
        <w:tc>
          <w:tcPr>
            <w:tcW w:w="1480" w:type="dxa"/>
            <w:vAlign w:val="bottom"/>
            <w:shd w:val="clear" w:color="auto" w:fill="0F243E"/>
          </w:tcPr>
          <w:p>
            <w:pPr>
              <w:jc w:val="center"/>
              <w:spacing w:after="0"/>
              <w:rPr>
                <w:sz w:val="20"/>
                <w:szCs w:val="20"/>
                <w:color w:val="auto"/>
              </w:rPr>
            </w:pPr>
            <w:r>
              <w:rPr>
                <w:rFonts w:ascii="Arial" w:cs="Arial" w:eastAsia="Arial" w:hAnsi="Arial"/>
                <w:sz w:val="18"/>
                <w:szCs w:val="18"/>
                <w:b w:val="1"/>
                <w:bCs w:val="1"/>
                <w:color w:val="FFFFFF"/>
                <w:w w:val="98"/>
              </w:rPr>
              <w:t>% Change</w:t>
            </w:r>
          </w:p>
        </w:tc>
      </w:tr>
      <w:tr>
        <w:trPr>
          <w:trHeight w:val="257"/>
        </w:trPr>
        <w:tc>
          <w:tcPr>
            <w:tcW w:w="6200" w:type="dxa"/>
            <w:vAlign w:val="bottom"/>
            <w:tcBorders>
              <w:right w:val="single" w:sz="8" w:color="CCCCCC"/>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Product Sales</w:t>
            </w:r>
          </w:p>
        </w:tc>
        <w:tc>
          <w:tcPr>
            <w:tcW w:w="100" w:type="dxa"/>
            <w:vAlign w:val="bottom"/>
            <w:shd w:val="clear" w:color="auto" w:fill="CCCCCC"/>
          </w:tcPr>
          <w:p>
            <w:pPr>
              <w:spacing w:after="0"/>
              <w:rPr>
                <w:sz w:val="22"/>
                <w:szCs w:val="22"/>
                <w:color w:val="auto"/>
              </w:rPr>
            </w:pPr>
          </w:p>
        </w:tc>
        <w:tc>
          <w:tcPr>
            <w:tcW w:w="1280" w:type="dxa"/>
            <w:vAlign w:val="bottom"/>
            <w:shd w:val="clear" w:color="auto" w:fill="CCCCCC"/>
          </w:tcPr>
          <w:p>
            <w:pPr>
              <w:spacing w:after="0"/>
              <w:rPr>
                <w:sz w:val="22"/>
                <w:szCs w:val="22"/>
                <w:color w:val="auto"/>
              </w:rPr>
            </w:pPr>
          </w:p>
        </w:tc>
        <w:tc>
          <w:tcPr>
            <w:tcW w:w="120" w:type="dxa"/>
            <w:vAlign w:val="bottom"/>
            <w:tcBorders>
              <w:right w:val="single" w:sz="8" w:color="CCCCCC"/>
            </w:tcBorders>
            <w:shd w:val="clear" w:color="auto" w:fill="CCCCCC"/>
          </w:tcPr>
          <w:p>
            <w:pPr>
              <w:spacing w:after="0"/>
              <w:rPr>
                <w:sz w:val="22"/>
                <w:szCs w:val="22"/>
                <w:color w:val="auto"/>
              </w:rPr>
            </w:pPr>
          </w:p>
        </w:tc>
        <w:tc>
          <w:tcPr>
            <w:tcW w:w="1480" w:type="dxa"/>
            <w:vAlign w:val="bottom"/>
            <w:tcBorders>
              <w:right w:val="single" w:sz="8" w:color="CCCCCC"/>
            </w:tcBorders>
            <w:shd w:val="clear" w:color="auto" w:fill="CCCCCC"/>
          </w:tcPr>
          <w:p>
            <w:pPr>
              <w:spacing w:after="0"/>
              <w:rPr>
                <w:sz w:val="22"/>
                <w:szCs w:val="22"/>
                <w:color w:val="auto"/>
              </w:rPr>
            </w:pPr>
          </w:p>
        </w:tc>
        <w:tc>
          <w:tcPr>
            <w:tcW w:w="1480" w:type="dxa"/>
            <w:vAlign w:val="bottom"/>
            <w:shd w:val="clear" w:color="auto" w:fill="CCCCCC"/>
          </w:tcPr>
          <w:p>
            <w:pPr>
              <w:spacing w:after="0"/>
              <w:rPr>
                <w:sz w:val="22"/>
                <w:szCs w:val="22"/>
                <w:color w:val="auto"/>
              </w:rPr>
            </w:pPr>
          </w:p>
        </w:tc>
      </w:tr>
      <w:tr>
        <w:trPr>
          <w:trHeight w:val="270"/>
        </w:trPr>
        <w:tc>
          <w:tcPr>
            <w:tcW w:w="6200" w:type="dxa"/>
            <w:vAlign w:val="bottom"/>
            <w:tcBorders>
              <w:right w:val="single" w:sz="8" w:color="CCCCCC"/>
            </w:tcBorders>
            <w:shd w:val="clear" w:color="auto" w:fill="CCCCCC"/>
          </w:tcPr>
          <w:p>
            <w:pPr>
              <w:ind w:left="300"/>
              <w:spacing w:after="0"/>
              <w:rPr>
                <w:sz w:val="20"/>
                <w:szCs w:val="20"/>
                <w:color w:val="auto"/>
              </w:rPr>
            </w:pPr>
            <w:r>
              <w:rPr>
                <w:rFonts w:ascii="Arial" w:cs="Arial" w:eastAsia="Arial" w:hAnsi="Arial"/>
                <w:sz w:val="18"/>
                <w:szCs w:val="18"/>
                <w:color w:val="auto"/>
              </w:rPr>
              <w:t>NARCAN Nasal Spray</w:t>
            </w:r>
          </w:p>
        </w:tc>
        <w:tc>
          <w:tcPr>
            <w:tcW w:w="1500" w:type="dxa"/>
            <w:vAlign w:val="bottom"/>
            <w:tcBorders>
              <w:right w:val="single" w:sz="8" w:color="CCCCCC"/>
            </w:tcBorders>
            <w:gridSpan w:val="3"/>
            <w:shd w:val="clear" w:color="auto" w:fill="CCCCCC"/>
          </w:tcPr>
          <w:p>
            <w:pPr>
              <w:jc w:val="right"/>
              <w:ind w:right="120"/>
              <w:spacing w:after="0"/>
              <w:rPr>
                <w:sz w:val="20"/>
                <w:szCs w:val="20"/>
                <w:color w:val="auto"/>
              </w:rPr>
            </w:pPr>
            <w:r>
              <w:rPr>
                <w:rFonts w:ascii="Arial" w:cs="Arial" w:eastAsia="Arial" w:hAnsi="Arial"/>
                <w:sz w:val="18"/>
                <w:szCs w:val="18"/>
                <w:b w:val="1"/>
                <w:bCs w:val="1"/>
                <w:color w:val="auto"/>
              </w:rPr>
              <w:t>$65.5</w:t>
            </w:r>
          </w:p>
        </w:tc>
        <w:tc>
          <w:tcPr>
            <w:tcW w:w="1480" w:type="dxa"/>
            <w:vAlign w:val="bottom"/>
            <w:tcBorders>
              <w:right w:val="single" w:sz="8" w:color="CCCCCC"/>
            </w:tcBorders>
            <w:shd w:val="clear" w:color="auto" w:fill="CCCCCC"/>
          </w:tcPr>
          <w:p>
            <w:pPr>
              <w:jc w:val="right"/>
              <w:ind w:right="10"/>
              <w:spacing w:after="0"/>
              <w:rPr>
                <w:sz w:val="20"/>
                <w:szCs w:val="20"/>
                <w:color w:val="auto"/>
              </w:rPr>
            </w:pPr>
            <w:r>
              <w:rPr>
                <w:rFonts w:ascii="Arial" w:cs="Arial" w:eastAsia="Arial" w:hAnsi="Arial"/>
                <w:sz w:val="18"/>
                <w:szCs w:val="18"/>
                <w:b w:val="1"/>
                <w:bCs w:val="1"/>
                <w:color w:val="auto"/>
              </w:rPr>
              <w:t>$0.0</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rPr>
              <w:t>NA</w:t>
            </w:r>
          </w:p>
        </w:tc>
      </w:tr>
      <w:tr>
        <w:trPr>
          <w:trHeight w:val="284"/>
        </w:trPr>
        <w:tc>
          <w:tcPr>
            <w:tcW w:w="6200" w:type="dxa"/>
            <w:vAlign w:val="bottom"/>
            <w:tcBorders>
              <w:right w:val="single" w:sz="8" w:color="CCCCCC"/>
            </w:tcBorders>
            <w:shd w:val="clear" w:color="auto" w:fill="CCCCCC"/>
          </w:tcPr>
          <w:p>
            <w:pPr>
              <w:ind w:left="300"/>
              <w:spacing w:after="0"/>
              <w:rPr>
                <w:sz w:val="20"/>
                <w:szCs w:val="20"/>
                <w:color w:val="auto"/>
              </w:rPr>
            </w:pPr>
            <w:r>
              <w:rPr>
                <w:rFonts w:ascii="Arial" w:cs="Arial" w:eastAsia="Arial" w:hAnsi="Arial"/>
                <w:sz w:val="18"/>
                <w:szCs w:val="18"/>
                <w:color w:val="auto"/>
              </w:rPr>
              <w:t>ACAM2000</w:t>
            </w:r>
          </w:p>
        </w:tc>
        <w:tc>
          <w:tcPr>
            <w:tcW w:w="100" w:type="dxa"/>
            <w:vAlign w:val="bottom"/>
            <w:shd w:val="clear" w:color="auto" w:fill="CCCCCC"/>
          </w:tcPr>
          <w:p>
            <w:pPr>
              <w:spacing w:after="0"/>
              <w:rPr>
                <w:sz w:val="24"/>
                <w:szCs w:val="24"/>
                <w:color w:val="auto"/>
              </w:rPr>
            </w:pPr>
          </w:p>
        </w:tc>
        <w:tc>
          <w:tcPr>
            <w:tcW w:w="1400" w:type="dxa"/>
            <w:vAlign w:val="bottom"/>
            <w:tcBorders>
              <w:right w:val="single" w:sz="8" w:color="CCCCCC"/>
            </w:tcBorders>
            <w:gridSpan w:val="2"/>
            <w:shd w:val="clear" w:color="auto" w:fill="CCCCCC"/>
          </w:tcPr>
          <w:p>
            <w:pPr>
              <w:jc w:val="right"/>
              <w:ind w:right="120"/>
              <w:spacing w:after="0"/>
              <w:rPr>
                <w:sz w:val="20"/>
                <w:szCs w:val="20"/>
                <w:color w:val="auto"/>
              </w:rPr>
            </w:pPr>
            <w:r>
              <w:rPr>
                <w:rFonts w:ascii="Arial" w:cs="Arial" w:eastAsia="Arial" w:hAnsi="Arial"/>
                <w:sz w:val="18"/>
                <w:szCs w:val="18"/>
                <w:b w:val="1"/>
                <w:bCs w:val="1"/>
                <w:color w:val="auto"/>
              </w:rPr>
              <w:t>$45.6</w:t>
            </w:r>
          </w:p>
        </w:tc>
        <w:tc>
          <w:tcPr>
            <w:tcW w:w="1480" w:type="dxa"/>
            <w:vAlign w:val="bottom"/>
            <w:tcBorders>
              <w:right w:val="single" w:sz="8" w:color="CCCCCC"/>
            </w:tcBorders>
            <w:shd w:val="clear" w:color="auto" w:fill="CCCCCC"/>
          </w:tcPr>
          <w:p>
            <w:pPr>
              <w:jc w:val="right"/>
              <w:ind w:right="10"/>
              <w:spacing w:after="0"/>
              <w:rPr>
                <w:sz w:val="20"/>
                <w:szCs w:val="20"/>
                <w:color w:val="auto"/>
              </w:rPr>
            </w:pPr>
            <w:r>
              <w:rPr>
                <w:rFonts w:ascii="Arial" w:cs="Arial" w:eastAsia="Arial" w:hAnsi="Arial"/>
                <w:sz w:val="18"/>
                <w:szCs w:val="18"/>
                <w:b w:val="1"/>
                <w:bCs w:val="1"/>
                <w:color w:val="auto"/>
              </w:rPr>
              <w:t>$21.8</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109%</w:t>
            </w:r>
          </w:p>
        </w:tc>
      </w:tr>
      <w:tr>
        <w:trPr>
          <w:trHeight w:val="284"/>
        </w:trPr>
        <w:tc>
          <w:tcPr>
            <w:tcW w:w="6200" w:type="dxa"/>
            <w:vAlign w:val="bottom"/>
            <w:tcBorders>
              <w:right w:val="single" w:sz="8" w:color="CCCCCC"/>
            </w:tcBorders>
            <w:shd w:val="clear" w:color="auto" w:fill="CCCCCC"/>
          </w:tcPr>
          <w:p>
            <w:pPr>
              <w:ind w:left="300"/>
              <w:spacing w:after="0"/>
              <w:rPr>
                <w:sz w:val="20"/>
                <w:szCs w:val="20"/>
                <w:color w:val="auto"/>
              </w:rPr>
            </w:pPr>
            <w:r>
              <w:rPr>
                <w:rFonts w:ascii="Arial" w:cs="Arial" w:eastAsia="Arial" w:hAnsi="Arial"/>
                <w:sz w:val="18"/>
                <w:szCs w:val="18"/>
                <w:color w:val="auto"/>
              </w:rPr>
              <w:t>BioThrax</w:t>
            </w:r>
          </w:p>
        </w:tc>
        <w:tc>
          <w:tcPr>
            <w:tcW w:w="100" w:type="dxa"/>
            <w:vAlign w:val="bottom"/>
            <w:shd w:val="clear" w:color="auto" w:fill="CCCCCC"/>
          </w:tcPr>
          <w:p>
            <w:pPr>
              <w:spacing w:after="0"/>
              <w:rPr>
                <w:sz w:val="24"/>
                <w:szCs w:val="24"/>
                <w:color w:val="auto"/>
              </w:rPr>
            </w:pPr>
          </w:p>
        </w:tc>
        <w:tc>
          <w:tcPr>
            <w:tcW w:w="128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$11.7</w:t>
            </w:r>
          </w:p>
        </w:tc>
        <w:tc>
          <w:tcPr>
            <w:tcW w:w="120" w:type="dxa"/>
            <w:vAlign w:val="bottom"/>
            <w:tcBorders>
              <w:right w:val="single" w:sz="8" w:color="CCCCCC"/>
            </w:tcBorders>
            <w:shd w:val="clear" w:color="auto" w:fill="CCCCCC"/>
          </w:tcPr>
          <w:p>
            <w:pPr>
              <w:spacing w:after="0"/>
              <w:rPr>
                <w:sz w:val="24"/>
                <w:szCs w:val="24"/>
                <w:color w:val="auto"/>
              </w:rPr>
            </w:pPr>
          </w:p>
        </w:tc>
        <w:tc>
          <w:tcPr>
            <w:tcW w:w="1480" w:type="dxa"/>
            <w:vAlign w:val="bottom"/>
            <w:tcBorders>
              <w:right w:val="single" w:sz="8" w:color="CCCCCC"/>
            </w:tcBorders>
            <w:shd w:val="clear" w:color="auto" w:fill="CCCCCC"/>
          </w:tcPr>
          <w:p>
            <w:pPr>
              <w:jc w:val="right"/>
              <w:ind w:right="10"/>
              <w:spacing w:after="0"/>
              <w:rPr>
                <w:sz w:val="20"/>
                <w:szCs w:val="20"/>
                <w:color w:val="auto"/>
              </w:rPr>
            </w:pPr>
            <w:r>
              <w:rPr>
                <w:rFonts w:ascii="Arial" w:cs="Arial" w:eastAsia="Arial" w:hAnsi="Arial"/>
                <w:sz w:val="18"/>
                <w:szCs w:val="18"/>
                <w:b w:val="1"/>
                <w:bCs w:val="1"/>
                <w:color w:val="auto"/>
              </w:rPr>
              <w:t>$20.2</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(42)%</w:t>
            </w:r>
          </w:p>
        </w:tc>
      </w:tr>
      <w:tr>
        <w:trPr>
          <w:trHeight w:val="304"/>
        </w:trPr>
        <w:tc>
          <w:tcPr>
            <w:tcW w:w="6200" w:type="dxa"/>
            <w:vAlign w:val="bottom"/>
            <w:tcBorders>
              <w:bottom w:val="single" w:sz="8" w:color="CCCCCC"/>
              <w:right w:val="single" w:sz="8" w:color="CCCCCC"/>
            </w:tcBorders>
            <w:shd w:val="clear" w:color="auto" w:fill="CCCCCC"/>
          </w:tcPr>
          <w:p>
            <w:pPr>
              <w:ind w:left="3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CCCC"/>
            </w:tcBorders>
            <w:shd w:val="clear" w:color="auto" w:fill="CCCCCC"/>
          </w:tcPr>
          <w:p>
            <w:pPr>
              <w:spacing w:after="0"/>
              <w:rPr>
                <w:sz w:val="24"/>
                <w:szCs w:val="24"/>
                <w:color w:val="auto"/>
              </w:rPr>
            </w:pPr>
          </w:p>
        </w:tc>
        <w:tc>
          <w:tcPr>
            <w:tcW w:w="1280" w:type="dxa"/>
            <w:vAlign w:val="bottom"/>
            <w:tcBorders>
              <w:bottom w:val="single" w:sz="8" w:color="CCCCCC"/>
            </w:tcBorders>
            <w:shd w:val="clear" w:color="auto" w:fill="CCCCCC"/>
          </w:tcPr>
          <w:p>
            <w:pPr>
              <w:jc w:val="right"/>
              <w:spacing w:after="0"/>
              <w:rPr>
                <w:sz w:val="20"/>
                <w:szCs w:val="20"/>
                <w:color w:val="auto"/>
              </w:rPr>
            </w:pPr>
            <w:r>
              <w:rPr>
                <w:rFonts w:ascii="Arial" w:cs="Arial" w:eastAsia="Arial" w:hAnsi="Arial"/>
                <w:sz w:val="18"/>
                <w:szCs w:val="18"/>
                <w:b w:val="1"/>
                <w:bCs w:val="1"/>
                <w:color w:val="auto"/>
              </w:rPr>
              <w:t>$30.2</w:t>
            </w:r>
          </w:p>
        </w:tc>
        <w:tc>
          <w:tcPr>
            <w:tcW w:w="120" w:type="dxa"/>
            <w:vAlign w:val="bottom"/>
            <w:tcBorders>
              <w:bottom w:val="single" w:sz="8" w:color="CCCCCC"/>
              <w:right w:val="single" w:sz="8" w:color="CCCCCC"/>
            </w:tcBorders>
            <w:shd w:val="clear" w:color="auto" w:fill="CCCCCC"/>
          </w:tcPr>
          <w:p>
            <w:pPr>
              <w:spacing w:after="0"/>
              <w:rPr>
                <w:sz w:val="24"/>
                <w:szCs w:val="24"/>
                <w:color w:val="auto"/>
              </w:rPr>
            </w:pPr>
          </w:p>
        </w:tc>
        <w:tc>
          <w:tcPr>
            <w:tcW w:w="1480" w:type="dxa"/>
            <w:vAlign w:val="bottom"/>
            <w:tcBorders>
              <w:bottom w:val="single" w:sz="8" w:color="CCCCCC"/>
              <w:right w:val="single" w:sz="8" w:color="CCCCCC"/>
            </w:tcBorders>
            <w:shd w:val="clear" w:color="auto" w:fill="CCCCCC"/>
          </w:tcPr>
          <w:p>
            <w:pPr>
              <w:jc w:val="right"/>
              <w:ind w:right="10"/>
              <w:spacing w:after="0"/>
              <w:rPr>
                <w:sz w:val="20"/>
                <w:szCs w:val="20"/>
                <w:color w:val="auto"/>
              </w:rPr>
            </w:pPr>
            <w:r>
              <w:rPr>
                <w:rFonts w:ascii="Arial" w:cs="Arial" w:eastAsia="Arial" w:hAnsi="Arial"/>
                <w:sz w:val="18"/>
                <w:szCs w:val="18"/>
                <w:b w:val="1"/>
                <w:bCs w:val="1"/>
                <w:color w:val="auto"/>
              </w:rPr>
              <w:t>$33.8</w:t>
            </w:r>
          </w:p>
        </w:tc>
        <w:tc>
          <w:tcPr>
            <w:tcW w:w="1480" w:type="dxa"/>
            <w:vAlign w:val="bottom"/>
            <w:tcBorders>
              <w:bottom w:val="single" w:sz="8" w:color="CCCCCC"/>
            </w:tcBorders>
            <w:shd w:val="clear" w:color="auto" w:fill="CCCCCC"/>
          </w:tcPr>
          <w:p>
            <w:pPr>
              <w:jc w:val="center"/>
              <w:spacing w:after="0"/>
              <w:rPr>
                <w:sz w:val="20"/>
                <w:szCs w:val="20"/>
                <w:color w:val="auto"/>
              </w:rPr>
            </w:pPr>
            <w:r>
              <w:rPr>
                <w:rFonts w:ascii="Arial" w:cs="Arial" w:eastAsia="Arial" w:hAnsi="Arial"/>
                <w:sz w:val="18"/>
                <w:szCs w:val="18"/>
                <w:color w:val="auto"/>
                <w:w w:val="99"/>
              </w:rPr>
              <w:t>(11)%</w:t>
            </w:r>
          </w:p>
        </w:tc>
      </w:tr>
      <w:tr>
        <w:trPr>
          <w:trHeight w:val="243"/>
        </w:trPr>
        <w:tc>
          <w:tcPr>
            <w:tcW w:w="6200" w:type="dxa"/>
            <w:vAlign w:val="bottom"/>
            <w:tcBorders>
              <w:right w:val="single" w:sz="8" w:color="F2F2F2"/>
            </w:tcBorders>
            <w:shd w:val="clear" w:color="auto" w:fill="CCCCCC"/>
          </w:tcPr>
          <w:p>
            <w:pPr>
              <w:ind w:left="40"/>
              <w:spacing w:after="0"/>
              <w:rPr>
                <w:sz w:val="20"/>
                <w:szCs w:val="20"/>
                <w:color w:val="auto"/>
              </w:rPr>
            </w:pPr>
            <w:r>
              <w:rPr>
                <w:rFonts w:ascii="Arial" w:cs="Arial" w:eastAsia="Arial" w:hAnsi="Arial"/>
                <w:sz w:val="18"/>
                <w:szCs w:val="18"/>
                <w:b w:val="1"/>
                <w:bCs w:val="1"/>
                <w:color w:val="auto"/>
              </w:rPr>
              <w:t>Total Product Sales</w:t>
            </w:r>
          </w:p>
        </w:tc>
        <w:tc>
          <w:tcPr>
            <w:tcW w:w="100" w:type="dxa"/>
            <w:vAlign w:val="bottom"/>
            <w:shd w:val="clear" w:color="auto" w:fill="CCCCCC"/>
          </w:tcPr>
          <w:p>
            <w:pPr>
              <w:spacing w:after="0"/>
              <w:rPr>
                <w:sz w:val="21"/>
                <w:szCs w:val="21"/>
                <w:color w:val="auto"/>
              </w:rPr>
            </w:pPr>
          </w:p>
        </w:tc>
        <w:tc>
          <w:tcPr>
            <w:tcW w:w="1280" w:type="dxa"/>
            <w:vAlign w:val="bottom"/>
            <w:shd w:val="clear" w:color="auto" w:fill="CCCCCC"/>
          </w:tcPr>
          <w:p>
            <w:pPr>
              <w:jc w:val="right"/>
              <w:spacing w:after="0"/>
              <w:rPr>
                <w:sz w:val="20"/>
                <w:szCs w:val="20"/>
                <w:color w:val="auto"/>
              </w:rPr>
            </w:pPr>
            <w:r>
              <w:rPr>
                <w:rFonts w:ascii="Arial" w:cs="Arial" w:eastAsia="Arial" w:hAnsi="Arial"/>
                <w:sz w:val="18"/>
                <w:szCs w:val="18"/>
                <w:b w:val="1"/>
                <w:bCs w:val="1"/>
                <w:color w:val="auto"/>
              </w:rPr>
              <w:t>$153.0</w:t>
            </w:r>
          </w:p>
        </w:tc>
        <w:tc>
          <w:tcPr>
            <w:tcW w:w="120" w:type="dxa"/>
            <w:vAlign w:val="bottom"/>
            <w:tcBorders>
              <w:right w:val="single" w:sz="8" w:color="F2F2F2"/>
            </w:tcBorders>
            <w:shd w:val="clear" w:color="auto" w:fill="CCCCCC"/>
          </w:tcPr>
          <w:p>
            <w:pPr>
              <w:spacing w:after="0"/>
              <w:rPr>
                <w:sz w:val="21"/>
                <w:szCs w:val="21"/>
                <w:color w:val="auto"/>
              </w:rPr>
            </w:pPr>
          </w:p>
        </w:tc>
        <w:tc>
          <w:tcPr>
            <w:tcW w:w="1480" w:type="dxa"/>
            <w:vAlign w:val="bottom"/>
            <w:tcBorders>
              <w:right w:val="single" w:sz="8" w:color="F2F2F2"/>
            </w:tcBorders>
            <w:shd w:val="clear" w:color="auto" w:fill="CCCCCC"/>
          </w:tcPr>
          <w:p>
            <w:pPr>
              <w:jc w:val="right"/>
              <w:ind w:right="10"/>
              <w:spacing w:after="0"/>
              <w:rPr>
                <w:sz w:val="20"/>
                <w:szCs w:val="20"/>
                <w:color w:val="auto"/>
              </w:rPr>
            </w:pPr>
            <w:r>
              <w:rPr>
                <w:rFonts w:ascii="Arial" w:cs="Arial" w:eastAsia="Arial" w:hAnsi="Arial"/>
                <w:sz w:val="18"/>
                <w:szCs w:val="18"/>
                <w:b w:val="1"/>
                <w:bCs w:val="1"/>
                <w:color w:val="auto"/>
              </w:rPr>
              <w:t>$75.8</w:t>
            </w:r>
          </w:p>
        </w:tc>
        <w:tc>
          <w:tcPr>
            <w:tcW w:w="1480" w:type="dxa"/>
            <w:vAlign w:val="bottom"/>
            <w:shd w:val="clear" w:color="auto" w:fill="CCCCCC"/>
          </w:tcPr>
          <w:p>
            <w:pPr>
              <w:jc w:val="center"/>
              <w:spacing w:after="0"/>
              <w:rPr>
                <w:sz w:val="20"/>
                <w:szCs w:val="20"/>
                <w:color w:val="auto"/>
              </w:rPr>
            </w:pPr>
            <w:r>
              <w:rPr>
                <w:rFonts w:ascii="Arial" w:cs="Arial" w:eastAsia="Arial" w:hAnsi="Arial"/>
                <w:sz w:val="18"/>
                <w:szCs w:val="18"/>
                <w:color w:val="auto"/>
                <w:w w:val="99"/>
              </w:rPr>
              <w:t>102%</w:t>
            </w:r>
          </w:p>
        </w:tc>
      </w:tr>
      <w:tr>
        <w:trPr>
          <w:trHeight w:val="41"/>
        </w:trPr>
        <w:tc>
          <w:tcPr>
            <w:tcW w:w="6200" w:type="dxa"/>
            <w:vAlign w:val="bottom"/>
            <w:tcBorders>
              <w:right w:val="single" w:sz="8" w:color="F2F2F2"/>
            </w:tcBorders>
            <w:shd w:val="clear" w:color="auto" w:fill="CCCCCC"/>
          </w:tcPr>
          <w:p>
            <w:pPr>
              <w:spacing w:after="0"/>
              <w:rPr>
                <w:sz w:val="3"/>
                <w:szCs w:val="3"/>
                <w:color w:val="auto"/>
              </w:rPr>
            </w:pPr>
          </w:p>
        </w:tc>
        <w:tc>
          <w:tcPr>
            <w:tcW w:w="100" w:type="dxa"/>
            <w:vAlign w:val="bottom"/>
            <w:shd w:val="clear" w:color="auto" w:fill="CCCCCC"/>
          </w:tcPr>
          <w:p>
            <w:pPr>
              <w:spacing w:after="0"/>
              <w:rPr>
                <w:sz w:val="3"/>
                <w:szCs w:val="3"/>
                <w:color w:val="auto"/>
              </w:rPr>
            </w:pPr>
          </w:p>
        </w:tc>
        <w:tc>
          <w:tcPr>
            <w:tcW w:w="1280" w:type="dxa"/>
            <w:vAlign w:val="bottom"/>
            <w:shd w:val="clear" w:color="auto" w:fill="CCCCCC"/>
          </w:tcPr>
          <w:p>
            <w:pPr>
              <w:spacing w:after="0"/>
              <w:rPr>
                <w:sz w:val="3"/>
                <w:szCs w:val="3"/>
                <w:color w:val="auto"/>
              </w:rPr>
            </w:pPr>
          </w:p>
        </w:tc>
        <w:tc>
          <w:tcPr>
            <w:tcW w:w="120" w:type="dxa"/>
            <w:vAlign w:val="bottom"/>
            <w:tcBorders>
              <w:right w:val="single" w:sz="8" w:color="F2F2F2"/>
            </w:tcBorders>
            <w:shd w:val="clear" w:color="auto" w:fill="CCCCCC"/>
          </w:tcPr>
          <w:p>
            <w:pPr>
              <w:spacing w:after="0"/>
              <w:rPr>
                <w:sz w:val="3"/>
                <w:szCs w:val="3"/>
                <w:color w:val="auto"/>
              </w:rPr>
            </w:pPr>
          </w:p>
        </w:tc>
        <w:tc>
          <w:tcPr>
            <w:tcW w:w="1480" w:type="dxa"/>
            <w:vAlign w:val="bottom"/>
            <w:tcBorders>
              <w:right w:val="single" w:sz="8" w:color="F2F2F2"/>
            </w:tcBorders>
            <w:shd w:val="clear" w:color="auto" w:fill="CCCCCC"/>
          </w:tcPr>
          <w:p>
            <w:pPr>
              <w:spacing w:after="0"/>
              <w:rPr>
                <w:sz w:val="3"/>
                <w:szCs w:val="3"/>
                <w:color w:val="auto"/>
              </w:rPr>
            </w:pPr>
          </w:p>
        </w:tc>
        <w:tc>
          <w:tcPr>
            <w:tcW w:w="1480" w:type="dxa"/>
            <w:vAlign w:val="bottom"/>
            <w:shd w:val="clear" w:color="auto" w:fill="CCCCCC"/>
          </w:tcPr>
          <w:p>
            <w:pPr>
              <w:spacing w:after="0"/>
              <w:rPr>
                <w:sz w:val="3"/>
                <w:szCs w:val="3"/>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Manufacturing</w:t>
      </w:r>
    </w:p>
    <w:p>
      <w:pPr>
        <w:spacing w:after="0" w:line="139"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For Q1 2019, revenue from the Company’s contract manufacturing operations was $15.9 million, a decrease of $10.2 million or 39% as compared to 2018. The decrease primarily reflects contracted service work in Q1 2018 that did not recur in Q1 2019.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Contracts and Grants</w:t>
      </w:r>
    </w:p>
    <w:p>
      <w:pPr>
        <w:spacing w:after="0" w:line="13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For Q1 2019, revenue from the Company’s development-based contracts and grants was $21.7 million, an increase of $5.8 million or 36% as compared to 2018. The increase primarily reflects increased R&amp;D activities related to certain ongoing funded development programs, most notably AV7909.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Sales and Contract Manufacturing</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Q1 2019, cost of product sales and contract manufacturing was $91.8 million, an increase of $37.5 million or 69% as compared to 2018. The increase primarily reflects the impact of an increase in product sales due to the contribution of recently acquired products NARCAN Nasal Spray, Vivotif</w:t>
      </w:r>
      <w:r>
        <w:rPr>
          <w:rFonts w:ascii="Arial" w:cs="Arial" w:eastAsia="Arial" w:hAnsi="Arial"/>
          <w:sz w:val="15"/>
          <w:szCs w:val="15"/>
          <w:color w:val="auto"/>
        </w:rPr>
        <w:t>®</w:t>
      </w:r>
      <w:r>
        <w:rPr>
          <w:rFonts w:ascii="Arial" w:cs="Arial" w:eastAsia="Arial" w:hAnsi="Arial"/>
          <w:sz w:val="18"/>
          <w:szCs w:val="18"/>
          <w:color w:val="auto"/>
        </w:rPr>
        <w:t>(Typhoid Vaccine Live Oral Ty21a), and Vaxchora</w:t>
      </w:r>
      <w:r>
        <w:rPr>
          <w:rFonts w:ascii="Arial" w:cs="Arial" w:eastAsia="Arial" w:hAnsi="Arial"/>
          <w:sz w:val="15"/>
          <w:szCs w:val="15"/>
          <w:color w:val="auto"/>
        </w:rPr>
        <w:t>®</w:t>
      </w:r>
      <w:r>
        <w:rPr>
          <w:rFonts w:ascii="Arial" w:cs="Arial" w:eastAsia="Arial" w:hAnsi="Arial"/>
          <w:sz w:val="18"/>
          <w:szCs w:val="18"/>
          <w:color w:val="auto"/>
        </w:rPr>
        <w:t xml:space="preserve"> (Cholera Vaccine, Live, Oral), which were all acquired in October 2018, as well as the contribution of increased ACAM2000 sales.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(Gross and Net)</w:t>
      </w:r>
    </w:p>
    <w:p>
      <w:pPr>
        <w:spacing w:after="0" w:line="139"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Q1 2019, gross R&amp;D expenses were $46.1 million, an increase of $17.0 million or 58% as compared to 2018. The increase primarily reflects costs associated with incremental development programs from the recent acquisitions of PaxVax and Adapt Pharma in October 2018, as well as timing of manufacturing development activities related to the AV7909 program.</w:t>
      </w:r>
    </w:p>
    <w:p>
      <w:pPr>
        <w:spacing w:after="0" w:line="20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Q1 2019, net R&amp;D expense, which reflects investments made in development programs that are not currently funded in whole or in part by third-party partners and is calculated as gross research and development expenses minus contracts and grants revenue, was $24.4 million, an increase of $11.2 million or 85% as compared to 2018. The increase primarily reflects investments in the development of the CHIKV-VLP vaccine, FLU-IGIV hyperimmune and various programs related to opioid overdose response, which are part of the development portfolio resulting from the Adapt Pharma acquisition in October 2018. The Q1 2019 net R&amp;D expense was 14% of net revenue (total revenue less contracts &amp; grants) compared to 13% of net revenue in Q1 2018.</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Page 2 of 9</w:t>
      </w:r>
    </w:p>
    <w:p>
      <w:pPr>
        <w:sectPr>
          <w:pgSz w:w="11900" w:h="16838" w:orient="portrait"/>
          <w:cols w:equalWidth="0" w:num="1">
            <w:col w:w="11340"/>
          </w:cols>
          <w:pgMar w:left="240" w:top="1440" w:right="319" w:bottom="1440" w:gutter="0" w:footer="0" w:header="0"/>
        </w:sectPr>
      </w:pPr>
    </w:p>
    <w:bookmarkStart w:id="4" w:name="page5"/>
    <w:bookmarkEnd w:id="4"/>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1101090</wp:posOffset>
            </wp:positionV>
            <wp:extent cx="6715125" cy="1560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15125" cy="1560830"/>
                    </a:xfrm>
                    <a:prstGeom prst="rect">
                      <a:avLst/>
                    </a:prstGeom>
                    <a:noFill/>
                  </pic:spPr>
                </pic:pic>
              </a:graphicData>
            </a:graphic>
          </wp:anchor>
        </w:drawing>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69"/>
        </w:trPr>
        <w:tc>
          <w:tcPr>
            <w:tcW w:w="632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(in millions)</w:t>
            </w:r>
          </w:p>
        </w:tc>
        <w:tc>
          <w:tcPr>
            <w:tcW w:w="100" w:type="dxa"/>
            <w:vAlign w:val="bottom"/>
            <w:shd w:val="clear" w:color="auto" w:fill="0F243E"/>
          </w:tcPr>
          <w:p>
            <w:pPr>
              <w:spacing w:after="0"/>
              <w:rPr>
                <w:sz w:val="23"/>
                <w:szCs w:val="23"/>
                <w:color w:val="auto"/>
              </w:rPr>
            </w:pPr>
          </w:p>
        </w:tc>
        <w:tc>
          <w:tcPr>
            <w:tcW w:w="4160" w:type="dxa"/>
            <w:vAlign w:val="bottom"/>
            <w:gridSpan w:val="3"/>
            <w:shd w:val="clear" w:color="auto" w:fill="0F243E"/>
          </w:tcPr>
          <w:p>
            <w:pPr>
              <w:ind w:left="720"/>
              <w:spacing w:after="0"/>
              <w:rPr>
                <w:sz w:val="20"/>
                <w:szCs w:val="20"/>
                <w:color w:val="auto"/>
              </w:rPr>
            </w:pPr>
            <w:r>
              <w:rPr>
                <w:rFonts w:ascii="Arial" w:cs="Arial" w:eastAsia="Arial" w:hAnsi="Arial"/>
                <w:sz w:val="18"/>
                <w:szCs w:val="18"/>
                <w:b w:val="1"/>
                <w:bCs w:val="1"/>
                <w:color w:val="FFFFFF"/>
              </w:rPr>
              <w:t>Three Months Ended March 31,</w:t>
            </w:r>
          </w:p>
        </w:tc>
        <w:tc>
          <w:tcPr>
            <w:tcW w:w="0" w:type="dxa"/>
            <w:vAlign w:val="bottom"/>
          </w:tcPr>
          <w:p>
            <w:pPr>
              <w:spacing w:after="0"/>
              <w:rPr>
                <w:sz w:val="1"/>
                <w:szCs w:val="1"/>
                <w:color w:val="auto"/>
              </w:rPr>
            </w:pPr>
          </w:p>
        </w:tc>
      </w:tr>
      <w:tr>
        <w:trPr>
          <w:trHeight w:val="271"/>
        </w:trPr>
        <w:tc>
          <w:tcPr>
            <w:tcW w:w="6320" w:type="dxa"/>
            <w:vAlign w:val="bottom"/>
            <w:shd w:val="clear" w:color="auto" w:fill="0F243E"/>
          </w:tcPr>
          <w:p>
            <w:pPr>
              <w:ind w:left="40"/>
              <w:spacing w:after="0"/>
              <w:rPr>
                <w:sz w:val="20"/>
                <w:szCs w:val="20"/>
                <w:color w:val="auto"/>
              </w:rPr>
            </w:pPr>
            <w:r>
              <w:rPr>
                <w:rFonts w:ascii="Arial" w:cs="Arial" w:eastAsia="Arial" w:hAnsi="Arial"/>
                <w:sz w:val="18"/>
                <w:szCs w:val="18"/>
                <w:color w:val="FFFFFF"/>
              </w:rPr>
              <w:t>(unaudited)</w:t>
            </w:r>
          </w:p>
        </w:tc>
        <w:tc>
          <w:tcPr>
            <w:tcW w:w="1700" w:type="dxa"/>
            <w:vAlign w:val="bottom"/>
            <w:gridSpan w:val="2"/>
            <w:shd w:val="clear" w:color="auto" w:fill="0F243E"/>
          </w:tcPr>
          <w:p>
            <w:pPr>
              <w:jc w:val="right"/>
              <w:ind w:right="670"/>
              <w:spacing w:after="0"/>
              <w:rPr>
                <w:sz w:val="20"/>
                <w:szCs w:val="20"/>
                <w:color w:val="auto"/>
              </w:rPr>
            </w:pPr>
            <w:r>
              <w:rPr>
                <w:rFonts w:ascii="Arial" w:cs="Arial" w:eastAsia="Arial" w:hAnsi="Arial"/>
                <w:sz w:val="18"/>
                <w:szCs w:val="18"/>
                <w:b w:val="1"/>
                <w:bCs w:val="1"/>
                <w:color w:val="FFFFFF"/>
              </w:rPr>
              <w:t>2019</w:t>
            </w:r>
          </w:p>
        </w:tc>
        <w:tc>
          <w:tcPr>
            <w:tcW w:w="1300" w:type="dxa"/>
            <w:vAlign w:val="bottom"/>
            <w:shd w:val="clear" w:color="auto" w:fill="0F243E"/>
          </w:tcPr>
          <w:p>
            <w:pPr>
              <w:jc w:val="right"/>
              <w:ind w:right="530"/>
              <w:spacing w:after="0"/>
              <w:rPr>
                <w:sz w:val="20"/>
                <w:szCs w:val="20"/>
                <w:color w:val="auto"/>
              </w:rPr>
            </w:pPr>
            <w:r>
              <w:rPr>
                <w:rFonts w:ascii="Arial" w:cs="Arial" w:eastAsia="Arial" w:hAnsi="Arial"/>
                <w:sz w:val="18"/>
                <w:szCs w:val="18"/>
                <w:b w:val="1"/>
                <w:bCs w:val="1"/>
                <w:color w:val="FFFFFF"/>
              </w:rPr>
              <w:t>2018</w:t>
            </w:r>
          </w:p>
        </w:tc>
        <w:tc>
          <w:tcPr>
            <w:tcW w:w="1260" w:type="dxa"/>
            <w:vAlign w:val="bottom"/>
            <w:shd w:val="clear" w:color="auto" w:fill="0F243E"/>
          </w:tcPr>
          <w:p>
            <w:pPr>
              <w:jc w:val="center"/>
              <w:ind w:right="30"/>
              <w:spacing w:after="0"/>
              <w:rPr>
                <w:sz w:val="20"/>
                <w:szCs w:val="20"/>
                <w:color w:val="auto"/>
              </w:rPr>
            </w:pPr>
            <w:r>
              <w:rPr>
                <w:rFonts w:ascii="Arial" w:cs="Arial" w:eastAsia="Arial" w:hAnsi="Arial"/>
                <w:sz w:val="18"/>
                <w:szCs w:val="18"/>
                <w:b w:val="1"/>
                <w:bCs w:val="1"/>
                <w:color w:val="FFFFFF"/>
                <w:w w:val="98"/>
              </w:rPr>
              <w:t>% Change</w:t>
            </w:r>
          </w:p>
        </w:tc>
        <w:tc>
          <w:tcPr>
            <w:tcW w:w="0" w:type="dxa"/>
            <w:vAlign w:val="bottom"/>
          </w:tcPr>
          <w:p>
            <w:pPr>
              <w:spacing w:after="0"/>
              <w:rPr>
                <w:sz w:val="1"/>
                <w:szCs w:val="1"/>
                <w:color w:val="auto"/>
              </w:rPr>
            </w:pPr>
          </w:p>
        </w:tc>
      </w:tr>
      <w:tr>
        <w:trPr>
          <w:trHeight w:val="257"/>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Research and Development Expenses</w:t>
            </w:r>
          </w:p>
        </w:tc>
        <w:tc>
          <w:tcPr>
            <w:tcW w:w="1700" w:type="dxa"/>
            <w:vAlign w:val="bottom"/>
            <w:gridSpan w:val="2"/>
            <w:shd w:val="clear" w:color="auto" w:fill="CCCCCC"/>
          </w:tcPr>
          <w:p>
            <w:pPr>
              <w:jc w:val="right"/>
              <w:ind w:right="350"/>
              <w:spacing w:after="0"/>
              <w:rPr>
                <w:sz w:val="20"/>
                <w:szCs w:val="20"/>
                <w:color w:val="auto"/>
              </w:rPr>
            </w:pPr>
            <w:r>
              <w:rPr>
                <w:rFonts w:ascii="Arial" w:cs="Arial" w:eastAsia="Arial" w:hAnsi="Arial"/>
                <w:sz w:val="18"/>
                <w:szCs w:val="18"/>
                <w:b w:val="1"/>
                <w:bCs w:val="1"/>
                <w:color w:val="auto"/>
              </w:rPr>
              <w:t>$46.1</w:t>
            </w:r>
          </w:p>
        </w:tc>
        <w:tc>
          <w:tcPr>
            <w:tcW w:w="1300" w:type="dxa"/>
            <w:vAlign w:val="bottom"/>
            <w:shd w:val="clear" w:color="auto" w:fill="CCCCCC"/>
          </w:tcPr>
          <w:p>
            <w:pPr>
              <w:jc w:val="right"/>
              <w:ind w:right="210"/>
              <w:spacing w:after="0"/>
              <w:rPr>
                <w:sz w:val="20"/>
                <w:szCs w:val="20"/>
                <w:color w:val="auto"/>
              </w:rPr>
            </w:pPr>
            <w:r>
              <w:rPr>
                <w:rFonts w:ascii="Arial" w:cs="Arial" w:eastAsia="Arial" w:hAnsi="Arial"/>
                <w:sz w:val="18"/>
                <w:szCs w:val="18"/>
                <w:color w:val="auto"/>
              </w:rPr>
              <w:t>$29.1</w:t>
            </w:r>
          </w:p>
        </w:tc>
        <w:tc>
          <w:tcPr>
            <w:tcW w:w="1260" w:type="dxa"/>
            <w:vAlign w:val="bottom"/>
            <w:shd w:val="clear" w:color="auto" w:fill="CCCCCC"/>
          </w:tcPr>
          <w:p>
            <w:pPr>
              <w:jc w:val="center"/>
              <w:ind w:right="50"/>
              <w:spacing w:after="0"/>
              <w:rPr>
                <w:sz w:val="20"/>
                <w:szCs w:val="20"/>
                <w:color w:val="auto"/>
              </w:rPr>
            </w:pPr>
            <w:r>
              <w:rPr>
                <w:rFonts w:ascii="Arial" w:cs="Arial" w:eastAsia="Arial" w:hAnsi="Arial"/>
                <w:sz w:val="18"/>
                <w:szCs w:val="18"/>
                <w:color w:val="auto"/>
                <w:w w:val="99"/>
              </w:rPr>
              <w:t>58%</w:t>
            </w:r>
          </w:p>
        </w:tc>
        <w:tc>
          <w:tcPr>
            <w:tcW w:w="0" w:type="dxa"/>
            <w:vAlign w:val="bottom"/>
          </w:tcPr>
          <w:p>
            <w:pPr>
              <w:spacing w:after="0"/>
              <w:rPr>
                <w:sz w:val="1"/>
                <w:szCs w:val="1"/>
                <w:color w:val="auto"/>
              </w:rPr>
            </w:pPr>
          </w:p>
        </w:tc>
      </w:tr>
      <w:tr>
        <w:trPr>
          <w:trHeight w:val="284"/>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color w:val="auto"/>
              </w:rPr>
              <w:t>Adjustments:</w:t>
            </w:r>
          </w:p>
        </w:tc>
        <w:tc>
          <w:tcPr>
            <w:tcW w:w="100" w:type="dxa"/>
            <w:vAlign w:val="bottom"/>
            <w:shd w:val="clear" w:color="auto" w:fill="CCCCCC"/>
          </w:tcPr>
          <w:p>
            <w:pPr>
              <w:spacing w:after="0"/>
              <w:rPr>
                <w:sz w:val="24"/>
                <w:szCs w:val="24"/>
                <w:color w:val="auto"/>
              </w:rPr>
            </w:pPr>
          </w:p>
        </w:tc>
        <w:tc>
          <w:tcPr>
            <w:tcW w:w="1600" w:type="dxa"/>
            <w:vAlign w:val="bottom"/>
            <w:shd w:val="clear" w:color="auto" w:fill="CCCCCC"/>
          </w:tcPr>
          <w:p>
            <w:pPr>
              <w:spacing w:after="0"/>
              <w:rPr>
                <w:sz w:val="24"/>
                <w:szCs w:val="24"/>
                <w:color w:val="auto"/>
              </w:rPr>
            </w:pPr>
          </w:p>
        </w:tc>
        <w:tc>
          <w:tcPr>
            <w:tcW w:w="1300" w:type="dxa"/>
            <w:vAlign w:val="bottom"/>
            <w:shd w:val="clear" w:color="auto" w:fill="CCCCCC"/>
          </w:tcPr>
          <w:p>
            <w:pPr>
              <w:spacing w:after="0"/>
              <w:rPr>
                <w:sz w:val="24"/>
                <w:szCs w:val="24"/>
                <w:color w:val="auto"/>
              </w:rPr>
            </w:pPr>
          </w:p>
        </w:tc>
        <w:tc>
          <w:tcPr>
            <w:tcW w:w="126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320" w:type="dxa"/>
            <w:vAlign w:val="bottom"/>
            <w:shd w:val="clear" w:color="auto" w:fill="CCCCCC"/>
          </w:tcPr>
          <w:p>
            <w:pPr>
              <w:ind w:left="300"/>
              <w:spacing w:after="0"/>
              <w:rPr>
                <w:sz w:val="20"/>
                <w:szCs w:val="20"/>
                <w:color w:val="auto"/>
              </w:rPr>
            </w:pPr>
            <w:r>
              <w:rPr>
                <w:rFonts w:ascii="Arial" w:cs="Arial" w:eastAsia="Arial" w:hAnsi="Arial"/>
                <w:sz w:val="18"/>
                <w:szCs w:val="18"/>
                <w:color w:val="auto"/>
              </w:rPr>
              <w:t>Less Contracts and Grants Revenue</w:t>
            </w:r>
          </w:p>
        </w:tc>
        <w:tc>
          <w:tcPr>
            <w:tcW w:w="1700" w:type="dxa"/>
            <w:vAlign w:val="bottom"/>
            <w:gridSpan w:val="2"/>
            <w:shd w:val="clear" w:color="auto" w:fill="CCCCCC"/>
          </w:tcPr>
          <w:p>
            <w:pPr>
              <w:jc w:val="right"/>
              <w:ind w:right="350"/>
              <w:spacing w:after="0"/>
              <w:rPr>
                <w:sz w:val="20"/>
                <w:szCs w:val="20"/>
                <w:color w:val="auto"/>
              </w:rPr>
            </w:pPr>
            <w:r>
              <w:rPr>
                <w:rFonts w:ascii="Arial" w:cs="Arial" w:eastAsia="Arial" w:hAnsi="Arial"/>
                <w:sz w:val="18"/>
                <w:szCs w:val="18"/>
                <w:b w:val="1"/>
                <w:bCs w:val="1"/>
                <w:color w:val="auto"/>
              </w:rPr>
              <w:t>$21.7</w:t>
            </w:r>
          </w:p>
        </w:tc>
        <w:tc>
          <w:tcPr>
            <w:tcW w:w="1300" w:type="dxa"/>
            <w:vAlign w:val="bottom"/>
            <w:shd w:val="clear" w:color="auto" w:fill="CCCCCC"/>
          </w:tcPr>
          <w:p>
            <w:pPr>
              <w:jc w:val="right"/>
              <w:ind w:right="210"/>
              <w:spacing w:after="0"/>
              <w:rPr>
                <w:sz w:val="20"/>
                <w:szCs w:val="20"/>
                <w:color w:val="auto"/>
              </w:rPr>
            </w:pPr>
            <w:r>
              <w:rPr>
                <w:rFonts w:ascii="Arial" w:cs="Arial" w:eastAsia="Arial" w:hAnsi="Arial"/>
                <w:sz w:val="18"/>
                <w:szCs w:val="18"/>
                <w:color w:val="auto"/>
              </w:rPr>
              <w:t>$15.9</w:t>
            </w:r>
          </w:p>
        </w:tc>
        <w:tc>
          <w:tcPr>
            <w:tcW w:w="1260" w:type="dxa"/>
            <w:vAlign w:val="bottom"/>
            <w:shd w:val="clear" w:color="auto" w:fill="CCCCCC"/>
          </w:tcPr>
          <w:p>
            <w:pPr>
              <w:jc w:val="center"/>
              <w:ind w:right="50"/>
              <w:spacing w:after="0"/>
              <w:rPr>
                <w:sz w:val="20"/>
                <w:szCs w:val="20"/>
                <w:color w:val="auto"/>
              </w:rPr>
            </w:pPr>
            <w:r>
              <w:rPr>
                <w:rFonts w:ascii="Arial" w:cs="Arial" w:eastAsia="Arial" w:hAnsi="Arial"/>
                <w:sz w:val="18"/>
                <w:szCs w:val="18"/>
                <w:color w:val="auto"/>
                <w:w w:val="99"/>
              </w:rPr>
              <w:t>36%</w:t>
            </w:r>
          </w:p>
        </w:tc>
        <w:tc>
          <w:tcPr>
            <w:tcW w:w="0" w:type="dxa"/>
            <w:vAlign w:val="bottom"/>
          </w:tcPr>
          <w:p>
            <w:pPr>
              <w:spacing w:after="0"/>
              <w:rPr>
                <w:sz w:val="1"/>
                <w:szCs w:val="1"/>
                <w:color w:val="auto"/>
              </w:rPr>
            </w:pPr>
          </w:p>
        </w:tc>
      </w:tr>
      <w:tr>
        <w:trPr>
          <w:trHeight w:val="297"/>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Research and Development Expenses</w:t>
            </w:r>
          </w:p>
        </w:tc>
        <w:tc>
          <w:tcPr>
            <w:tcW w:w="100" w:type="dxa"/>
            <w:vAlign w:val="bottom"/>
            <w:shd w:val="clear" w:color="auto" w:fill="CCCCCC"/>
          </w:tcPr>
          <w:p>
            <w:pPr>
              <w:spacing w:after="0"/>
              <w:rPr>
                <w:sz w:val="24"/>
                <w:szCs w:val="24"/>
                <w:color w:val="auto"/>
              </w:rPr>
            </w:pPr>
          </w:p>
        </w:tc>
        <w:tc>
          <w:tcPr>
            <w:tcW w:w="1600" w:type="dxa"/>
            <w:vAlign w:val="bottom"/>
            <w:shd w:val="clear" w:color="auto" w:fill="CCCCCC"/>
          </w:tcPr>
          <w:p>
            <w:pPr>
              <w:jc w:val="right"/>
              <w:ind w:right="350"/>
              <w:spacing w:after="0"/>
              <w:rPr>
                <w:sz w:val="20"/>
                <w:szCs w:val="20"/>
                <w:color w:val="auto"/>
              </w:rPr>
            </w:pPr>
            <w:r>
              <w:rPr>
                <w:rFonts w:ascii="Arial" w:cs="Arial" w:eastAsia="Arial" w:hAnsi="Arial"/>
                <w:sz w:val="18"/>
                <w:szCs w:val="18"/>
                <w:b w:val="1"/>
                <w:bCs w:val="1"/>
                <w:color w:val="auto"/>
              </w:rPr>
              <w:t>$24.4</w:t>
            </w:r>
          </w:p>
        </w:tc>
        <w:tc>
          <w:tcPr>
            <w:tcW w:w="1300" w:type="dxa"/>
            <w:vAlign w:val="bottom"/>
            <w:shd w:val="clear" w:color="auto" w:fill="CCCCCC"/>
          </w:tcPr>
          <w:p>
            <w:pPr>
              <w:jc w:val="right"/>
              <w:ind w:right="210"/>
              <w:spacing w:after="0"/>
              <w:rPr>
                <w:sz w:val="20"/>
                <w:szCs w:val="20"/>
                <w:color w:val="auto"/>
              </w:rPr>
            </w:pPr>
            <w:r>
              <w:rPr>
                <w:rFonts w:ascii="Arial" w:cs="Arial" w:eastAsia="Arial" w:hAnsi="Arial"/>
                <w:sz w:val="18"/>
                <w:szCs w:val="18"/>
                <w:b w:val="1"/>
                <w:bCs w:val="1"/>
                <w:color w:val="auto"/>
              </w:rPr>
              <w:t>$13.2</w:t>
            </w:r>
          </w:p>
        </w:tc>
        <w:tc>
          <w:tcPr>
            <w:tcW w:w="1260" w:type="dxa"/>
            <w:vAlign w:val="bottom"/>
            <w:shd w:val="clear" w:color="auto" w:fill="CCCCCC"/>
          </w:tcPr>
          <w:p>
            <w:pPr>
              <w:jc w:val="center"/>
              <w:ind w:right="30"/>
              <w:spacing w:after="0"/>
              <w:rPr>
                <w:sz w:val="20"/>
                <w:szCs w:val="20"/>
                <w:color w:val="auto"/>
              </w:rPr>
            </w:pPr>
            <w:r>
              <w:rPr>
                <w:rFonts w:ascii="Arial" w:cs="Arial" w:eastAsia="Arial" w:hAnsi="Arial"/>
                <w:sz w:val="18"/>
                <w:szCs w:val="18"/>
                <w:color w:val="auto"/>
                <w:w w:val="97"/>
              </w:rPr>
              <w:t>84.8%</w:t>
            </w:r>
          </w:p>
        </w:tc>
        <w:tc>
          <w:tcPr>
            <w:tcW w:w="0" w:type="dxa"/>
            <w:vAlign w:val="bottom"/>
          </w:tcPr>
          <w:p>
            <w:pPr>
              <w:spacing w:after="0"/>
              <w:rPr>
                <w:sz w:val="1"/>
                <w:szCs w:val="1"/>
                <w:color w:val="auto"/>
              </w:rPr>
            </w:pPr>
          </w:p>
        </w:tc>
      </w:tr>
      <w:tr>
        <w:trPr>
          <w:trHeight w:val="283"/>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Adjusted Revenue</w:t>
            </w:r>
          </w:p>
        </w:tc>
        <w:tc>
          <w:tcPr>
            <w:tcW w:w="100" w:type="dxa"/>
            <w:vAlign w:val="bottom"/>
            <w:shd w:val="clear" w:color="auto" w:fill="CCCCCC"/>
          </w:tcPr>
          <w:p>
            <w:pPr>
              <w:spacing w:after="0"/>
              <w:rPr>
                <w:sz w:val="24"/>
                <w:szCs w:val="24"/>
                <w:color w:val="auto"/>
              </w:rPr>
            </w:pPr>
          </w:p>
        </w:tc>
        <w:tc>
          <w:tcPr>
            <w:tcW w:w="1600" w:type="dxa"/>
            <w:vAlign w:val="bottom"/>
            <w:vMerge w:val="restart"/>
            <w:shd w:val="clear" w:color="auto" w:fill="CCCCCC"/>
          </w:tcPr>
          <w:p>
            <w:pPr>
              <w:jc w:val="right"/>
              <w:ind w:right="350"/>
              <w:spacing w:after="0"/>
              <w:rPr>
                <w:sz w:val="20"/>
                <w:szCs w:val="20"/>
                <w:color w:val="auto"/>
              </w:rPr>
            </w:pPr>
            <w:r>
              <w:rPr>
                <w:rFonts w:ascii="Arial" w:cs="Arial" w:eastAsia="Arial" w:hAnsi="Arial"/>
                <w:sz w:val="18"/>
                <w:szCs w:val="18"/>
                <w:b w:val="1"/>
                <w:bCs w:val="1"/>
                <w:color w:val="auto"/>
              </w:rPr>
              <w:t>$168.9</w:t>
            </w:r>
          </w:p>
        </w:tc>
        <w:tc>
          <w:tcPr>
            <w:tcW w:w="1300" w:type="dxa"/>
            <w:vAlign w:val="bottom"/>
            <w:vMerge w:val="restart"/>
            <w:shd w:val="clear" w:color="auto" w:fill="CCCCCC"/>
          </w:tcPr>
          <w:p>
            <w:pPr>
              <w:jc w:val="right"/>
              <w:ind w:right="210"/>
              <w:spacing w:after="0"/>
              <w:rPr>
                <w:sz w:val="20"/>
                <w:szCs w:val="20"/>
                <w:color w:val="auto"/>
              </w:rPr>
            </w:pPr>
            <w:r>
              <w:rPr>
                <w:rFonts w:ascii="Arial" w:cs="Arial" w:eastAsia="Arial" w:hAnsi="Arial"/>
                <w:sz w:val="18"/>
                <w:szCs w:val="18"/>
                <w:color w:val="auto"/>
              </w:rPr>
              <w:t>$101.9</w:t>
            </w:r>
          </w:p>
        </w:tc>
        <w:tc>
          <w:tcPr>
            <w:tcW w:w="1260" w:type="dxa"/>
            <w:vAlign w:val="bottom"/>
            <w:vMerge w:val="restart"/>
            <w:shd w:val="clear" w:color="auto" w:fill="CCCCCC"/>
          </w:tcPr>
          <w:p>
            <w:pPr>
              <w:jc w:val="center"/>
              <w:ind w:right="50"/>
              <w:spacing w:after="0"/>
              <w:rPr>
                <w:sz w:val="20"/>
                <w:szCs w:val="20"/>
                <w:color w:val="auto"/>
              </w:rPr>
            </w:pPr>
            <w:r>
              <w:rPr>
                <w:rFonts w:ascii="Arial" w:cs="Arial" w:eastAsia="Arial" w:hAnsi="Arial"/>
                <w:sz w:val="18"/>
                <w:szCs w:val="18"/>
                <w:color w:val="auto"/>
                <w:w w:val="99"/>
              </w:rPr>
              <w:t>66%</w:t>
            </w:r>
          </w:p>
        </w:tc>
        <w:tc>
          <w:tcPr>
            <w:tcW w:w="0" w:type="dxa"/>
            <w:vAlign w:val="bottom"/>
          </w:tcPr>
          <w:p>
            <w:pPr>
              <w:spacing w:after="0"/>
              <w:rPr>
                <w:sz w:val="1"/>
                <w:szCs w:val="1"/>
                <w:color w:val="auto"/>
              </w:rPr>
            </w:pPr>
          </w:p>
        </w:tc>
      </w:tr>
      <w:tr>
        <w:trPr>
          <w:trHeight w:val="109"/>
        </w:trPr>
        <w:tc>
          <w:tcPr>
            <w:tcW w:w="6320" w:type="dxa"/>
            <w:vAlign w:val="bottom"/>
            <w:vMerge w:val="restart"/>
            <w:shd w:val="clear" w:color="auto" w:fill="CCCCCC"/>
          </w:tcPr>
          <w:p>
            <w:pPr>
              <w:ind w:left="40"/>
              <w:spacing w:after="0"/>
              <w:rPr>
                <w:sz w:val="20"/>
                <w:szCs w:val="20"/>
                <w:color w:val="auto"/>
              </w:rPr>
            </w:pPr>
            <w:r>
              <w:rPr>
                <w:rFonts w:ascii="Arial" w:cs="Arial" w:eastAsia="Arial" w:hAnsi="Arial"/>
                <w:sz w:val="18"/>
                <w:szCs w:val="18"/>
                <w:color w:val="auto"/>
              </w:rPr>
              <w:t>(Total Revenue less Contracts and Grants Revenue)</w:t>
            </w:r>
          </w:p>
        </w:tc>
        <w:tc>
          <w:tcPr>
            <w:tcW w:w="100" w:type="dxa"/>
            <w:vAlign w:val="bottom"/>
            <w:shd w:val="clear" w:color="auto" w:fill="CCCCCC"/>
          </w:tcPr>
          <w:p>
            <w:pPr>
              <w:spacing w:after="0"/>
              <w:rPr>
                <w:sz w:val="9"/>
                <w:szCs w:val="9"/>
                <w:color w:val="auto"/>
              </w:rPr>
            </w:pPr>
          </w:p>
        </w:tc>
        <w:tc>
          <w:tcPr>
            <w:tcW w:w="1600" w:type="dxa"/>
            <w:vAlign w:val="bottom"/>
            <w:vMerge w:val="continue"/>
            <w:shd w:val="clear" w:color="auto" w:fill="CCCCCC"/>
          </w:tcPr>
          <w:p>
            <w:pPr>
              <w:spacing w:after="0"/>
              <w:rPr>
                <w:sz w:val="9"/>
                <w:szCs w:val="9"/>
                <w:color w:val="auto"/>
              </w:rPr>
            </w:pPr>
          </w:p>
        </w:tc>
        <w:tc>
          <w:tcPr>
            <w:tcW w:w="1300" w:type="dxa"/>
            <w:vAlign w:val="bottom"/>
            <w:vMerge w:val="continue"/>
            <w:shd w:val="clear" w:color="auto" w:fill="CCCCCC"/>
          </w:tcPr>
          <w:p>
            <w:pPr>
              <w:spacing w:after="0"/>
              <w:rPr>
                <w:sz w:val="9"/>
                <w:szCs w:val="9"/>
                <w:color w:val="auto"/>
              </w:rPr>
            </w:pPr>
          </w:p>
        </w:tc>
        <w:tc>
          <w:tcPr>
            <w:tcW w:w="1260" w:type="dxa"/>
            <w:vAlign w:val="bottom"/>
            <w:vMerge w:val="continue"/>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320" w:type="dxa"/>
            <w:vAlign w:val="bottom"/>
            <w:vMerge w:val="continue"/>
            <w:shd w:val="clear" w:color="auto" w:fill="CCCCCC"/>
          </w:tcPr>
          <w:p>
            <w:pPr>
              <w:spacing w:after="0"/>
              <w:rPr>
                <w:sz w:val="9"/>
                <w:szCs w:val="9"/>
                <w:color w:val="auto"/>
              </w:rPr>
            </w:pPr>
          </w:p>
        </w:tc>
        <w:tc>
          <w:tcPr>
            <w:tcW w:w="100" w:type="dxa"/>
            <w:vAlign w:val="bottom"/>
            <w:shd w:val="clear" w:color="auto" w:fill="CCCCCC"/>
          </w:tcPr>
          <w:p>
            <w:pPr>
              <w:spacing w:after="0"/>
              <w:rPr>
                <w:sz w:val="9"/>
                <w:szCs w:val="9"/>
                <w:color w:val="auto"/>
              </w:rPr>
            </w:pPr>
          </w:p>
        </w:tc>
        <w:tc>
          <w:tcPr>
            <w:tcW w:w="1600" w:type="dxa"/>
            <w:vAlign w:val="bottom"/>
            <w:shd w:val="clear" w:color="auto" w:fill="CCCCCC"/>
          </w:tcPr>
          <w:p>
            <w:pPr>
              <w:spacing w:after="0"/>
              <w:rPr>
                <w:sz w:val="9"/>
                <w:szCs w:val="9"/>
                <w:color w:val="auto"/>
              </w:rPr>
            </w:pPr>
          </w:p>
        </w:tc>
        <w:tc>
          <w:tcPr>
            <w:tcW w:w="1300" w:type="dxa"/>
            <w:vAlign w:val="bottom"/>
            <w:shd w:val="clear" w:color="auto" w:fill="CCCCCC"/>
          </w:tcPr>
          <w:p>
            <w:pPr>
              <w:spacing w:after="0"/>
              <w:rPr>
                <w:sz w:val="9"/>
                <w:szCs w:val="9"/>
                <w:color w:val="auto"/>
              </w:rPr>
            </w:pPr>
          </w:p>
        </w:tc>
        <w:tc>
          <w:tcPr>
            <w:tcW w:w="1260" w:type="dxa"/>
            <w:vAlign w:val="bottom"/>
            <w:shd w:val="clear" w:color="auto" w:fill="CCCCCC"/>
          </w:tcPr>
          <w:p>
            <w:pPr>
              <w:spacing w:after="0"/>
              <w:rPr>
                <w:sz w:val="9"/>
                <w:szCs w:val="9"/>
                <w:color w:val="auto"/>
              </w:rPr>
            </w:pPr>
          </w:p>
        </w:tc>
        <w:tc>
          <w:tcPr>
            <w:tcW w:w="0" w:type="dxa"/>
            <w:vAlign w:val="bottom"/>
          </w:tcPr>
          <w:p>
            <w:pPr>
              <w:spacing w:after="0"/>
              <w:rPr>
                <w:sz w:val="1"/>
                <w:szCs w:val="1"/>
                <w:color w:val="auto"/>
              </w:rPr>
            </w:pPr>
          </w:p>
        </w:tc>
      </w:tr>
      <w:tr>
        <w:trPr>
          <w:trHeight w:val="297"/>
        </w:trPr>
        <w:tc>
          <w:tcPr>
            <w:tcW w:w="6320" w:type="dxa"/>
            <w:vAlign w:val="bottom"/>
            <w:shd w:val="clear" w:color="auto" w:fill="CCCCCC"/>
          </w:tcPr>
          <w:p>
            <w:pPr>
              <w:ind w:left="40"/>
              <w:spacing w:after="0"/>
              <w:rPr>
                <w:sz w:val="20"/>
                <w:szCs w:val="20"/>
                <w:color w:val="auto"/>
              </w:rPr>
            </w:pPr>
            <w:r>
              <w:rPr>
                <w:rFonts w:ascii="Arial" w:cs="Arial" w:eastAsia="Arial" w:hAnsi="Arial"/>
                <w:sz w:val="18"/>
                <w:szCs w:val="18"/>
                <w:b w:val="1"/>
                <w:bCs w:val="1"/>
                <w:color w:val="auto"/>
              </w:rPr>
              <w:t>Net R&amp;D as % of Adjusted Revenue (Net R&amp;D Margin)</w:t>
            </w:r>
          </w:p>
        </w:tc>
        <w:tc>
          <w:tcPr>
            <w:tcW w:w="1700" w:type="dxa"/>
            <w:vAlign w:val="bottom"/>
            <w:gridSpan w:val="2"/>
            <w:shd w:val="clear" w:color="auto" w:fill="CCCCCC"/>
          </w:tcPr>
          <w:p>
            <w:pPr>
              <w:jc w:val="right"/>
              <w:ind w:right="190"/>
              <w:spacing w:after="0"/>
              <w:rPr>
                <w:sz w:val="20"/>
                <w:szCs w:val="20"/>
                <w:color w:val="auto"/>
              </w:rPr>
            </w:pPr>
            <w:r>
              <w:rPr>
                <w:rFonts w:ascii="Arial" w:cs="Arial" w:eastAsia="Arial" w:hAnsi="Arial"/>
                <w:sz w:val="18"/>
                <w:szCs w:val="18"/>
                <w:b w:val="1"/>
                <w:bCs w:val="1"/>
                <w:color w:val="auto"/>
              </w:rPr>
              <w:t>14.4%</w:t>
            </w:r>
          </w:p>
        </w:tc>
        <w:tc>
          <w:tcPr>
            <w:tcW w:w="1300" w:type="dxa"/>
            <w:vAlign w:val="bottom"/>
            <w:shd w:val="clear" w:color="auto" w:fill="CCCCCC"/>
          </w:tcPr>
          <w:p>
            <w:pPr>
              <w:jc w:val="right"/>
              <w:ind w:right="50"/>
              <w:spacing w:after="0"/>
              <w:rPr>
                <w:sz w:val="20"/>
                <w:szCs w:val="20"/>
                <w:color w:val="auto"/>
              </w:rPr>
            </w:pPr>
            <w:r>
              <w:rPr>
                <w:rFonts w:ascii="Arial" w:cs="Arial" w:eastAsia="Arial" w:hAnsi="Arial"/>
                <w:sz w:val="18"/>
                <w:szCs w:val="18"/>
                <w:b w:val="1"/>
                <w:bCs w:val="1"/>
                <w:color w:val="auto"/>
              </w:rPr>
              <w:t>13.0%</w:t>
            </w:r>
          </w:p>
        </w:tc>
        <w:tc>
          <w:tcPr>
            <w:tcW w:w="1260" w:type="dxa"/>
            <w:vAlign w:val="bottom"/>
            <w:shd w:val="clear" w:color="auto" w:fill="CCCCCC"/>
          </w:tcPr>
          <w:p>
            <w:pPr>
              <w:jc w:val="center"/>
              <w:ind w:right="3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3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For Q1 2019, selling, general and administrative expenses were $65.4 million, an increase of $25.4 million or 64% as compared to 2018. The increase primarily reflects the addition of the operations associated with the October 2018 acquisitions of both PaxVax and Adapt Pharma.</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39"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For Q1 2019, amortization of intangible assets was $14.5 million versus $3.9 million as compared to 2018. The increase entirely reflects higher non-cash intangible asset amortization costs associated with the PaxVax and Adapt Pharma acquisitions, which both closed in October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For Q1 2019, the benefit from income taxes in the amount of $ 11.8 million includes the impact of non-deductible acquisition transaction costs and other permanent items. The effective tax rate for Q1 2019 is not meaningful given the lack of any pre-tax income for the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&amp; Adjusted Net Income (Loss)</w:t>
      </w:r>
    </w:p>
    <w:p>
      <w:pPr>
        <w:spacing w:after="0" w:line="139"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For Q1 2019, the Company recorded a net loss of $26.0 million, or $0.51 per diluted share, versus a net loss of $4.9 million, or $0.10 per diluted share, in 2018.</w:t>
      </w:r>
    </w:p>
    <w:p>
      <w:pPr>
        <w:spacing w:after="0" w:line="196"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For Q1 2019, the Company recorded an adjusted net loss of $6.8 million, or $0.13 per diluted share, versus an adjusted net loss of $1.6 million, or $0.03 per diluted share, in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&amp; Adjusted EBITDA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 Q1 2019, the Company recorded EBITDA of $(1.6) million versus $3.1 million in 2018.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Q1 2019, the Company recorded adjusted EBITDA of $7.4 million versus $3.3 million in 2018. </w:t>
      </w:r>
      <w:r>
        <w:rPr>
          <w:rFonts w:ascii="Arial" w:cs="Arial" w:eastAsia="Arial" w:hAnsi="Arial"/>
          <w:sz w:val="18"/>
          <w:szCs w:val="18"/>
          <w:i w:val="1"/>
          <w:iCs w:val="1"/>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9</w:t>
      </w:r>
    </w:p>
    <w:p>
      <w:pPr>
        <w:sectPr>
          <w:pgSz w:w="11900" w:h="16838" w:orient="portrait"/>
          <w:cols w:equalWidth="0" w:num="1">
            <w:col w:w="11400"/>
          </w:cols>
          <w:pgMar w:left="240" w:top="1440" w:right="259" w:bottom="1440" w:gutter="0" w:footer="0" w:header="0"/>
        </w:sectPr>
      </w:pPr>
    </w:p>
    <w:bookmarkStart w:id="5" w:name="page6"/>
    <w:bookmarkEnd w:id="5"/>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2019 FINANCIAL FORECAST (Reaffirmed)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For full year 2019, the company reaffirms its expectation of the following forecasted financial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12330" cy="1123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1123315"/>
                    </a:xfrm>
                    <a:prstGeom prst="rect">
                      <a:avLst/>
                    </a:prstGeom>
                    <a:noFill/>
                  </pic:spPr>
                </pic:pic>
              </a:graphicData>
            </a:graphic>
          </wp:anchor>
        </w:drawing>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20" w:type="dxa"/>
            <w:vAlign w:val="bottom"/>
            <w:vMerge w:val="restart"/>
            <w:shd w:val="clear" w:color="auto" w:fill="0F243E"/>
          </w:tcPr>
          <w:p>
            <w:pPr>
              <w:ind w:left="40"/>
              <w:spacing w:after="0"/>
              <w:rPr>
                <w:sz w:val="20"/>
                <w:szCs w:val="20"/>
                <w:color w:val="auto"/>
              </w:rPr>
            </w:pPr>
            <w:r>
              <w:rPr>
                <w:rFonts w:ascii="Arial" w:cs="Arial" w:eastAsia="Arial" w:hAnsi="Arial"/>
                <w:sz w:val="14"/>
                <w:szCs w:val="14"/>
                <w:color w:val="FFFFFF"/>
              </w:rPr>
              <w:t>(in millions)</w:t>
            </w:r>
          </w:p>
        </w:tc>
        <w:tc>
          <w:tcPr>
            <w:tcW w:w="7000" w:type="dxa"/>
            <w:vAlign w:val="bottom"/>
            <w:gridSpan w:val="2"/>
            <w:shd w:val="clear" w:color="auto" w:fill="0F243E"/>
          </w:tcPr>
          <w:p>
            <w:pPr>
              <w:jc w:val="center"/>
              <w:spacing w:after="0"/>
              <w:rPr>
                <w:sz w:val="20"/>
                <w:szCs w:val="20"/>
                <w:color w:val="auto"/>
              </w:rPr>
            </w:pPr>
            <w:r>
              <w:rPr>
                <w:rFonts w:ascii="Arial" w:cs="Arial" w:eastAsia="Arial" w:hAnsi="Arial"/>
                <w:sz w:val="18"/>
                <w:szCs w:val="18"/>
                <w:b w:val="1"/>
                <w:bCs w:val="1"/>
                <w:color w:val="FFFFFF"/>
                <w:w w:val="99"/>
              </w:rPr>
              <w:t>FULL YEAR 2019</w:t>
            </w:r>
          </w:p>
        </w:tc>
        <w:tc>
          <w:tcPr>
            <w:tcW w:w="0" w:type="dxa"/>
            <w:vAlign w:val="bottom"/>
          </w:tcPr>
          <w:p>
            <w:pPr>
              <w:spacing w:after="0"/>
              <w:rPr>
                <w:sz w:val="1"/>
                <w:szCs w:val="1"/>
                <w:color w:val="auto"/>
              </w:rPr>
            </w:pPr>
          </w:p>
        </w:tc>
      </w:tr>
      <w:tr>
        <w:trPr>
          <w:trHeight w:val="97"/>
        </w:trPr>
        <w:tc>
          <w:tcPr>
            <w:tcW w:w="4320" w:type="dxa"/>
            <w:vAlign w:val="bottom"/>
            <w:vMerge w:val="continue"/>
            <w:shd w:val="clear" w:color="auto" w:fill="0F243E"/>
          </w:tcPr>
          <w:p>
            <w:pPr>
              <w:spacing w:after="0"/>
              <w:rPr>
                <w:sz w:val="8"/>
                <w:szCs w:val="8"/>
                <w:color w:val="auto"/>
              </w:rPr>
            </w:pPr>
          </w:p>
        </w:tc>
        <w:tc>
          <w:tcPr>
            <w:tcW w:w="7000" w:type="dxa"/>
            <w:vAlign w:val="bottom"/>
            <w:gridSpan w:val="2"/>
            <w:vMerge w:val="restart"/>
            <w:shd w:val="clear" w:color="auto" w:fill="0F243E"/>
          </w:tcPr>
          <w:p>
            <w:pPr>
              <w:jc w:val="center"/>
              <w:spacing w:after="0"/>
              <w:rPr>
                <w:sz w:val="20"/>
                <w:szCs w:val="20"/>
                <w:color w:val="auto"/>
              </w:rPr>
            </w:pPr>
            <w:r>
              <w:rPr>
                <w:rFonts w:ascii="Arial" w:cs="Arial" w:eastAsia="Arial" w:hAnsi="Arial"/>
                <w:sz w:val="16"/>
                <w:szCs w:val="16"/>
                <w:i w:val="1"/>
                <w:iCs w:val="1"/>
                <w:color w:val="FFFFFF"/>
              </w:rPr>
              <w:t>(As of 5/2/2019)</w:t>
            </w:r>
          </w:p>
        </w:tc>
        <w:tc>
          <w:tcPr>
            <w:tcW w:w="0" w:type="dxa"/>
            <w:vAlign w:val="bottom"/>
          </w:tcPr>
          <w:p>
            <w:pPr>
              <w:spacing w:after="0"/>
              <w:rPr>
                <w:sz w:val="1"/>
                <w:szCs w:val="1"/>
                <w:color w:val="auto"/>
              </w:rPr>
            </w:pPr>
          </w:p>
        </w:tc>
      </w:tr>
      <w:tr>
        <w:trPr>
          <w:trHeight w:val="127"/>
        </w:trPr>
        <w:tc>
          <w:tcPr>
            <w:tcW w:w="4320" w:type="dxa"/>
            <w:vAlign w:val="bottom"/>
            <w:tcBorders>
              <w:bottom w:val="single" w:sz="8" w:color="0F243E"/>
            </w:tcBorders>
            <w:shd w:val="clear" w:color="auto" w:fill="0F243E"/>
          </w:tcPr>
          <w:p>
            <w:pPr>
              <w:spacing w:after="0"/>
              <w:rPr>
                <w:sz w:val="11"/>
                <w:szCs w:val="11"/>
                <w:color w:val="auto"/>
              </w:rPr>
            </w:pPr>
          </w:p>
        </w:tc>
        <w:tc>
          <w:tcPr>
            <w:tcW w:w="7000" w:type="dxa"/>
            <w:vAlign w:val="bottom"/>
            <w:tcBorders>
              <w:bottom w:val="single" w:sz="8" w:color="0F243E"/>
            </w:tcBorders>
            <w:gridSpan w:val="2"/>
            <w:vMerge w:val="continue"/>
            <w:shd w:val="clear" w:color="auto" w:fill="0F243E"/>
          </w:tcPr>
          <w:p>
            <w:pPr>
              <w:spacing w:after="0"/>
              <w:rPr>
                <w:sz w:val="11"/>
                <w:szCs w:val="11"/>
                <w:color w:val="auto"/>
              </w:rPr>
            </w:pPr>
          </w:p>
        </w:tc>
        <w:tc>
          <w:tcPr>
            <w:tcW w:w="0" w:type="dxa"/>
            <w:vAlign w:val="bottom"/>
          </w:tcPr>
          <w:p>
            <w:pPr>
              <w:spacing w:after="0"/>
              <w:rPr>
                <w:sz w:val="1"/>
                <w:szCs w:val="1"/>
                <w:color w:val="auto"/>
              </w:rPr>
            </w:pPr>
          </w:p>
        </w:tc>
      </w:tr>
      <w:tr>
        <w:trPr>
          <w:trHeight w:val="237"/>
        </w:trPr>
        <w:tc>
          <w:tcPr>
            <w:tcW w:w="43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Revenues</w:t>
            </w:r>
          </w:p>
        </w:tc>
        <w:tc>
          <w:tcPr>
            <w:tcW w:w="34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$1,060</w:t>
            </w:r>
          </w:p>
        </w:tc>
        <w:tc>
          <w:tcPr>
            <w:tcW w:w="356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 $1,140</w:t>
            </w:r>
          </w:p>
        </w:tc>
        <w:tc>
          <w:tcPr>
            <w:tcW w:w="0" w:type="dxa"/>
            <w:vAlign w:val="bottom"/>
          </w:tcPr>
          <w:p>
            <w:pPr>
              <w:spacing w:after="0"/>
              <w:rPr>
                <w:sz w:val="1"/>
                <w:szCs w:val="1"/>
                <w:color w:val="auto"/>
              </w:rPr>
            </w:pPr>
          </w:p>
        </w:tc>
      </w:tr>
      <w:tr>
        <w:trPr>
          <w:trHeight w:val="257"/>
        </w:trPr>
        <w:tc>
          <w:tcPr>
            <w:tcW w:w="43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 xml:space="preserve">Net Income </w:t>
            </w:r>
            <w:r>
              <w:rPr>
                <w:rFonts w:ascii="Arial" w:cs="Arial" w:eastAsia="Arial" w:hAnsi="Arial"/>
                <w:sz w:val="16"/>
                <w:szCs w:val="16"/>
                <w:i w:val="1"/>
                <w:iCs w:val="1"/>
                <w:color w:val="auto"/>
              </w:rPr>
              <w:t>(1)</w:t>
            </w:r>
          </w:p>
        </w:tc>
        <w:tc>
          <w:tcPr>
            <w:tcW w:w="7000" w:type="dxa"/>
            <w:vAlign w:val="bottom"/>
            <w:gridSpan w:val="2"/>
            <w:shd w:val="clear" w:color="auto" w:fill="CCCCCC"/>
          </w:tcPr>
          <w:p>
            <w:pPr>
              <w:jc w:val="center"/>
              <w:spacing w:after="0"/>
              <w:rPr>
                <w:sz w:val="20"/>
                <w:szCs w:val="20"/>
                <w:color w:val="auto"/>
              </w:rPr>
            </w:pPr>
            <w:r>
              <w:rPr>
                <w:rFonts w:ascii="Arial" w:cs="Arial" w:eastAsia="Arial" w:hAnsi="Arial"/>
                <w:sz w:val="16"/>
                <w:szCs w:val="16"/>
                <w:b w:val="1"/>
                <w:bCs w:val="1"/>
                <w:color w:val="auto"/>
              </w:rPr>
              <w:t>$80 -- $110</w:t>
            </w:r>
          </w:p>
        </w:tc>
        <w:tc>
          <w:tcPr>
            <w:tcW w:w="0" w:type="dxa"/>
            <w:vAlign w:val="bottom"/>
          </w:tcPr>
          <w:p>
            <w:pPr>
              <w:spacing w:after="0"/>
              <w:rPr>
                <w:sz w:val="1"/>
                <w:szCs w:val="1"/>
                <w:color w:val="auto"/>
              </w:rPr>
            </w:pPr>
          </w:p>
        </w:tc>
      </w:tr>
      <w:tr>
        <w:trPr>
          <w:trHeight w:val="257"/>
        </w:trPr>
        <w:tc>
          <w:tcPr>
            <w:tcW w:w="43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 xml:space="preserve">Adjusted Net Income </w:t>
            </w:r>
            <w:r>
              <w:rPr>
                <w:rFonts w:ascii="Arial" w:cs="Arial" w:eastAsia="Arial" w:hAnsi="Arial"/>
                <w:sz w:val="16"/>
                <w:szCs w:val="16"/>
                <w:i w:val="1"/>
                <w:iCs w:val="1"/>
                <w:color w:val="auto"/>
              </w:rPr>
              <w:t>(1)</w:t>
            </w:r>
          </w:p>
        </w:tc>
        <w:tc>
          <w:tcPr>
            <w:tcW w:w="34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$150</w:t>
            </w:r>
          </w:p>
        </w:tc>
        <w:tc>
          <w:tcPr>
            <w:tcW w:w="356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 $180</w:t>
            </w:r>
          </w:p>
        </w:tc>
        <w:tc>
          <w:tcPr>
            <w:tcW w:w="0" w:type="dxa"/>
            <w:vAlign w:val="bottom"/>
          </w:tcPr>
          <w:p>
            <w:pPr>
              <w:spacing w:after="0"/>
              <w:rPr>
                <w:sz w:val="1"/>
                <w:szCs w:val="1"/>
                <w:color w:val="auto"/>
              </w:rPr>
            </w:pPr>
          </w:p>
        </w:tc>
      </w:tr>
      <w:tr>
        <w:trPr>
          <w:trHeight w:val="257"/>
        </w:trPr>
        <w:tc>
          <w:tcPr>
            <w:tcW w:w="43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 xml:space="preserve">EBITDA </w:t>
            </w:r>
            <w:r>
              <w:rPr>
                <w:rFonts w:ascii="Arial" w:cs="Arial" w:eastAsia="Arial" w:hAnsi="Arial"/>
                <w:sz w:val="16"/>
                <w:szCs w:val="16"/>
                <w:i w:val="1"/>
                <w:iCs w:val="1"/>
                <w:color w:val="auto"/>
              </w:rPr>
              <w:t>(1)</w:t>
            </w:r>
          </w:p>
        </w:tc>
        <w:tc>
          <w:tcPr>
            <w:tcW w:w="34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$255</w:t>
            </w:r>
          </w:p>
        </w:tc>
        <w:tc>
          <w:tcPr>
            <w:tcW w:w="356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 $285</w:t>
            </w:r>
          </w:p>
        </w:tc>
        <w:tc>
          <w:tcPr>
            <w:tcW w:w="0" w:type="dxa"/>
            <w:vAlign w:val="bottom"/>
          </w:tcPr>
          <w:p>
            <w:pPr>
              <w:spacing w:after="0"/>
              <w:rPr>
                <w:sz w:val="1"/>
                <w:szCs w:val="1"/>
                <w:color w:val="auto"/>
              </w:rPr>
            </w:pPr>
          </w:p>
        </w:tc>
      </w:tr>
      <w:tr>
        <w:trPr>
          <w:trHeight w:val="276"/>
        </w:trPr>
        <w:tc>
          <w:tcPr>
            <w:tcW w:w="43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 xml:space="preserve">Adjusted EBITDA </w:t>
            </w:r>
            <w:r>
              <w:rPr>
                <w:rFonts w:ascii="Arial" w:cs="Arial" w:eastAsia="Arial" w:hAnsi="Arial"/>
                <w:sz w:val="16"/>
                <w:szCs w:val="16"/>
                <w:i w:val="1"/>
                <w:iCs w:val="1"/>
                <w:color w:val="auto"/>
              </w:rPr>
              <w:t>(1)</w:t>
            </w:r>
          </w:p>
        </w:tc>
        <w:tc>
          <w:tcPr>
            <w:tcW w:w="34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$280</w:t>
            </w:r>
          </w:p>
        </w:tc>
        <w:tc>
          <w:tcPr>
            <w:tcW w:w="3560" w:type="dxa"/>
            <w:vAlign w:val="bottom"/>
            <w:shd w:val="clear" w:color="auto" w:fill="CCCCCC"/>
          </w:tcPr>
          <w:p>
            <w:pPr>
              <w:ind w:left="20"/>
              <w:spacing w:after="0"/>
              <w:rPr>
                <w:sz w:val="20"/>
                <w:szCs w:val="20"/>
                <w:color w:val="auto"/>
              </w:rPr>
            </w:pPr>
            <w:r>
              <w:rPr>
                <w:rFonts w:ascii="Arial" w:cs="Arial" w:eastAsia="Arial" w:hAnsi="Arial"/>
                <w:sz w:val="16"/>
                <w:szCs w:val="16"/>
                <w:b w:val="1"/>
                <w:bCs w:val="1"/>
                <w:color w:val="auto"/>
              </w:rPr>
              <w:t>-- $310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The Company’s financial forecast for 2019 includes the anticipated impact of full year product sales, continued contract manufacturing and contracts &amp; grants revenue as well as continued investment in discretionary funding development projects. The outlook for 2019 does not include estimates for potential new corporate development or other M&amp;A transactions.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Q2 2019 REVENUE FORECAST</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For Q2 2019, the Company forecast for total revenues is $200 million to $220 million.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29" w:lineRule="exact"/>
        <w:rPr>
          <w:sz w:val="20"/>
          <w:szCs w:val="20"/>
          <w:color w:val="auto"/>
        </w:rPr>
      </w:pPr>
    </w:p>
    <w:p>
      <w:pPr>
        <w:ind w:right="300" w:firstLine="8"/>
        <w:spacing w:after="0" w:line="282" w:lineRule="auto"/>
        <w:tabs>
          <w:tab w:leader="none" w:pos="27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See "Reconciliation of Net Income (Loss) to Adjusted Net Income (Loss), EBITDA and Adjusted EBITDA" for a definition of terms and a reconciliation table.</w:t>
      </w: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34"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Company management will host a conference call at 5:00 pm (Eastern Time) today, May 2, 2019, to discuss these financial results. This conference call can be accessed live by telephone or through Emergent’s website:</w:t>
      </w:r>
    </w:p>
    <w:p>
      <w:pPr>
        <w:spacing w:after="0" w:line="354"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Teleconference Information:</w:t>
      </w:r>
    </w:p>
    <w:p>
      <w:pPr>
        <w:ind w:left="520"/>
        <w:spacing w:after="0" w:line="234" w:lineRule="auto"/>
        <w:rPr>
          <w:sz w:val="20"/>
          <w:szCs w:val="20"/>
          <w:color w:val="auto"/>
        </w:rPr>
      </w:pPr>
      <w:r>
        <w:rPr>
          <w:rFonts w:ascii="Arial" w:cs="Arial" w:eastAsia="Arial" w:hAnsi="Arial"/>
          <w:sz w:val="18"/>
          <w:szCs w:val="18"/>
          <w:color w:val="auto"/>
        </w:rPr>
        <w:t>Dial in: [US] (855) 766-6521; [International] (262) 912-6157</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Conference ID: 8099738</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Live Webcast Information:</w:t>
      </w:r>
    </w:p>
    <w:p>
      <w:pPr>
        <w:jc w:val="center"/>
        <w:ind w:right="4140"/>
        <w:spacing w:after="0"/>
        <w:rPr>
          <w:sz w:val="20"/>
          <w:szCs w:val="20"/>
          <w:color w:val="auto"/>
        </w:rPr>
      </w:pPr>
      <w:r>
        <w:rPr>
          <w:rFonts w:ascii="Arial" w:cs="Arial" w:eastAsia="Arial" w:hAnsi="Arial"/>
          <w:sz w:val="18"/>
          <w:szCs w:val="18"/>
          <w:color w:val="auto"/>
        </w:rPr>
        <w:t>Visit https://edge.media-server.com/m6/p/5bkqm2hj for the live webcast feed.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A replay of the call can be accessed at www.emergentbiosolutions.com under “Investors.”</w:t>
      </w:r>
    </w:p>
    <w:p>
      <w:pPr>
        <w:spacing w:after="0" w:line="3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EMERGENT BIOSOLUTIONS INC.</w:t>
      </w:r>
    </w:p>
    <w:p>
      <w:pPr>
        <w:spacing w:after="0" w:line="13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Emergent BioSolutions Inc. is a global life sciences company seeking to protect and enhance life by focusing on providing specialty products for civilian and military populations that address accidental, deliberate, and naturally occurring public health threats. We aspire to be a Fortune 500 company recognized for protecting and enhancing life, driving innovation, and living our values. Additional information about the company may be found at www.emergentbiosolutions.com. Find us on LinkedIn and follow us on Twitter @emergentbiosolu and Instagram @life_at_emergent.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Page 4 of 9</w:t>
      </w:r>
    </w:p>
    <w:p>
      <w:pPr>
        <w:sectPr>
          <w:pgSz w:w="11900" w:h="16838" w:orient="portrait"/>
          <w:cols w:equalWidth="0" w:num="1">
            <w:col w:w="11320"/>
          </w:cols>
          <w:pgMar w:left="240" w:top="1440" w:right="339" w:bottom="1440" w:gutter="0" w:footer="0" w:header="0"/>
        </w:sectPr>
      </w:pPr>
    </w:p>
    <w:bookmarkStart w:id="6" w:name="page7"/>
    <w:bookmarkEnd w:id="6"/>
    <w:p>
      <w:pPr>
        <w:spacing w:after="0" w:line="1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SAFE HARBOR STATEMENT</w:t>
      </w:r>
    </w:p>
    <w:p>
      <w:pPr>
        <w:spacing w:after="0" w:line="134"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This press release includes forward-looking statements within the meaning of the Private Securities Litigation Reform Act of 1995. Any statements, other than statements of historical fact, including, without limitation, our financial guidance, statements regarding product sales, continued contract manufacturing and contracts &amp; grants revenue as well as continued investment in discretionary funding development projects and any other statements containing the words “will,” “believes,” “expects,” “anticipates,” “intends” “plans,” “targets,” “forecasts,” “estimates” and similar expressions in conjunction with, among other things, discussions of the Company's outlook, financial performance or financial condition, financial and operation goals, strategic goals, growth strategy, product sales, government development or procurement contracts or awards, government appropriations, manufacturing capabilities, and Emergency Use Authorization (EUA) and the timing of other regulatory approvals or expenditures are forward-looking statements. These forward-looking statements are based on our current intentions, beliefs and expectations regarding future events. We cannot guarantee that any forward-looking statement will be accurate. Investors should realize that if underlying assumptions prove inaccurate or unknown risks or uncertainties materialize, actual results could differ materially from our expectations. Investors are, therefore, cautioned not to place undue reliance on any forward-looking statement. Any forward-looking statement speaks only as of the date of this press release, and, except as required by law, we do not undertake to update any forward-looking statement to reflect new information, events or circumstances.</w:t>
      </w:r>
    </w:p>
    <w:p>
      <w:pPr>
        <w:spacing w:after="0" w:line="21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There are a number of important factors that could cause the Company’s actual results to differ materially from those indicated by such forward-looking statements, including the availability of funding and the exercise of options under our BioThrax and AV7909 contracts; appropriations for the procurement of our products; our ability to secure EUA designation and licensure of AV7909 from the FDA within the anticipated timeframe, if at all; availability of funding for our U.S. government grants and contracts; our ability to successfully integrate and develop the operations, products or product candidates, programs, and personnel of any entities, businesses or products that we acquire, including our acquisitions of PaxVax and Adapt; our ability to complete expected deliveries of BioThrax, and raxibacumab; our ability to establish a multi-year follow-on contract for ACAM2000; our ability to advance the technology transfer of raxibacumab to the Company’s Bayview facility; our ability to identify and acquire or in-license products or product candidates that satisfy our selection criteria; our ability and the ability of our collaborators to defend underlying patents from infringement by generic naloxone entrants; whether anticipated synergies and benefits from an acquisition or in-license will be realized within expected time periods, if at all; our ability to utilize our manufacturing facilities and expand our capabilities; our ability and the ability of our contractors and suppliers to maintain compliance with Current Good Manufacturing Practices and other regulatory obligations; the results of regulatory inspections; the success of our ongoing and planned development programs; the timing and results of clinical trials; the timing of and our ability to obtain and maintain regulatory approvals for our product candidates; and our commercialization, marketing and manufacturing capabilities and strategy. The foregoing sets forth many, but not all, of the factors that could cause actual results to differ from our expectations in any forward-looking statement. Investors should consider this cautionary statement as well as the risk factors identified in our periodic reports filed with the Securities and Exchange Commission when evaluating our forward-looking statements.</w:t>
      </w: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1400"/>
          </w:cols>
          <w:pgMar w:left="240" w:top="1440" w:right="259" w:bottom="1440" w:gutter="0" w:footer="0" w:header="0"/>
        </w:sect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Investor Contact</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Robert Burrows</w:t>
      </w:r>
    </w:p>
    <w:p>
      <w:pPr>
        <w:ind w:left="40"/>
        <w:spacing w:after="0" w:line="234" w:lineRule="auto"/>
        <w:rPr>
          <w:sz w:val="20"/>
          <w:szCs w:val="20"/>
          <w:color w:val="auto"/>
        </w:rPr>
      </w:pPr>
      <w:r>
        <w:rPr>
          <w:rFonts w:ascii="Arial" w:cs="Arial" w:eastAsia="Arial" w:hAnsi="Arial"/>
          <w:sz w:val="18"/>
          <w:szCs w:val="18"/>
          <w:color w:val="auto"/>
        </w:rPr>
        <w:t>Vice President, Investor Relations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color w:val="auto"/>
        </w:rPr>
        <w:t>(o) 240/631-3280; (m) 240/413-1917</w:t>
      </w:r>
    </w:p>
    <w:p>
      <w:pPr>
        <w:spacing w:after="0" w:line="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burrowsr@ebsi.com</w:t>
      </w:r>
    </w:p>
    <w:p>
      <w:pPr>
        <w:spacing w:after="0" w:line="20" w:lineRule="exact"/>
        <w:rPr>
          <w:sz w:val="20"/>
          <w:szCs w:val="20"/>
          <w:color w:val="auto"/>
        </w:rPr>
      </w:pPr>
      <w:r>
        <w:rPr>
          <w:sz w:val="20"/>
          <w:szCs w:val="20"/>
          <w:color w:val="auto"/>
        </w:rPr>
        <w:br w:type="column"/>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Lynn Kieffer</w:t>
      </w:r>
    </w:p>
    <w:p>
      <w:pPr>
        <w:spacing w:after="0" w:line="234" w:lineRule="auto"/>
        <w:rPr>
          <w:sz w:val="20"/>
          <w:szCs w:val="20"/>
          <w:color w:val="auto"/>
        </w:rPr>
      </w:pPr>
      <w:r>
        <w:rPr>
          <w:rFonts w:ascii="Arial" w:cs="Arial" w:eastAsia="Arial" w:hAnsi="Arial"/>
          <w:sz w:val="18"/>
          <w:szCs w:val="18"/>
          <w:color w:val="auto"/>
        </w:rPr>
        <w:t>Vice President, Corporate Communications</w:t>
      </w:r>
    </w:p>
    <w:p>
      <w:pPr>
        <w:spacing w:after="0" w:line="235" w:lineRule="auto"/>
        <w:rPr>
          <w:sz w:val="20"/>
          <w:szCs w:val="20"/>
          <w:color w:val="auto"/>
        </w:rPr>
      </w:pPr>
      <w:r>
        <w:rPr>
          <w:rFonts w:ascii="Arial" w:cs="Arial" w:eastAsia="Arial" w:hAnsi="Arial"/>
          <w:sz w:val="18"/>
          <w:szCs w:val="18"/>
          <w:color w:val="auto"/>
        </w:rPr>
        <w:t>(o) 240/631-3391</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kiefferl@ebsi.com</w:t>
      </w:r>
    </w:p>
    <w:p>
      <w:pPr>
        <w:spacing w:after="0" w:line="200" w:lineRule="exact"/>
        <w:rPr>
          <w:sz w:val="20"/>
          <w:szCs w:val="20"/>
          <w:color w:val="auto"/>
        </w:rPr>
      </w:pPr>
    </w:p>
    <w:p>
      <w:pPr>
        <w:sectPr>
          <w:pgSz w:w="11900" w:h="16838" w:orient="portrait"/>
          <w:cols w:equalWidth="0" w:num="2">
            <w:col w:w="5020" w:space="720"/>
            <w:col w:w="5660"/>
          </w:cols>
          <w:pgMar w:left="240" w:top="1440"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Page 5 of 9</w:t>
      </w:r>
    </w:p>
    <w:p>
      <w:pPr>
        <w:sectPr>
          <w:pgSz w:w="11900" w:h="16838" w:orient="portrait"/>
          <w:cols w:equalWidth="0" w:num="1">
            <w:col w:w="11400"/>
          </w:cols>
          <w:pgMar w:left="240" w:top="1440" w:right="259" w:bottom="1440" w:gutter="0" w:footer="0" w:header="0"/>
          <w:type w:val="continuous"/>
        </w:sectPr>
      </w:pPr>
    </w:p>
    <w:bookmarkStart w:id="7" w:name="page8"/>
    <w:bookmarkEnd w:id="7"/>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jc w:val="center"/>
        <w:ind w:right="539"/>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539"/>
        <w:spacing w:after="0"/>
        <w:rPr>
          <w:sz w:val="20"/>
          <w:szCs w:val="20"/>
          <w:color w:val="auto"/>
        </w:rPr>
      </w:pPr>
      <w:r>
        <w:rPr>
          <w:rFonts w:ascii="Arial" w:cs="Arial" w:eastAsia="Arial" w:hAnsi="Arial"/>
          <w:sz w:val="14"/>
          <w:szCs w:val="14"/>
          <w:b w:val="1"/>
          <w:bCs w:val="1"/>
          <w:color w:val="auto"/>
        </w:rPr>
        <w:t>Consolidated Balance Sheets</w:t>
      </w:r>
    </w:p>
    <w:p>
      <w:pPr>
        <w:spacing w:after="0" w:line="55" w:lineRule="exact"/>
        <w:rPr>
          <w:sz w:val="20"/>
          <w:szCs w:val="20"/>
          <w:color w:val="auto"/>
        </w:rPr>
      </w:pPr>
    </w:p>
    <w:p>
      <w:pPr>
        <w:ind w:left="3640"/>
        <w:spacing w:after="0"/>
        <w:rPr>
          <w:sz w:val="20"/>
          <w:szCs w:val="20"/>
          <w:color w:val="auto"/>
        </w:rPr>
      </w:pPr>
      <w:r>
        <w:rPr>
          <w:rFonts w:ascii="Arial" w:cs="Arial" w:eastAsia="Arial" w:hAnsi="Arial"/>
          <w:sz w:val="14"/>
          <w:szCs w:val="14"/>
          <w:b w:val="1"/>
          <w:bCs w:val="1"/>
          <w:color w:val="auto"/>
        </w:rPr>
        <w:t>(in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80" w:type="dxa"/>
            <w:vAlign w:val="bottom"/>
          </w:tcPr>
          <w:p>
            <w:pPr>
              <w:jc w:val="right"/>
              <w:ind w:right="388"/>
              <w:spacing w:after="0"/>
              <w:rPr>
                <w:sz w:val="20"/>
                <w:szCs w:val="20"/>
                <w:color w:val="auto"/>
              </w:rPr>
            </w:pPr>
            <w:r>
              <w:rPr>
                <w:rFonts w:ascii="Arial" w:cs="Arial" w:eastAsia="Arial" w:hAnsi="Arial"/>
                <w:sz w:val="14"/>
                <w:szCs w:val="14"/>
                <w:b w:val="1"/>
                <w:bCs w:val="1"/>
                <w:color w:val="auto"/>
              </w:rPr>
              <w:t>March 31, 2019</w:t>
            </w:r>
          </w:p>
        </w:tc>
        <w:tc>
          <w:tcPr>
            <w:tcW w:w="180" w:type="dxa"/>
            <w:vAlign w:val="bottom"/>
          </w:tcPr>
          <w:p>
            <w:pPr>
              <w:spacing w:after="0"/>
              <w:rPr>
                <w:sz w:val="16"/>
                <w:szCs w:val="16"/>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39"/>
        </w:trPr>
        <w:tc>
          <w:tcPr>
            <w:tcW w:w="6000" w:type="dxa"/>
            <w:vAlign w:val="bottom"/>
            <w:vMerge w:val="restart"/>
          </w:tcPr>
          <w:p>
            <w:pPr>
              <w:ind w:left="2700"/>
              <w:spacing w:after="0"/>
              <w:rPr>
                <w:sz w:val="20"/>
                <w:szCs w:val="20"/>
                <w:color w:val="auto"/>
              </w:rPr>
            </w:pPr>
            <w:r>
              <w:rPr>
                <w:rFonts w:ascii="Arial" w:cs="Arial" w:eastAsia="Arial" w:hAnsi="Arial"/>
                <w:sz w:val="14"/>
                <w:szCs w:val="14"/>
                <w:b w:val="1"/>
                <w:bCs w:val="1"/>
                <w:color w:val="auto"/>
              </w:rPr>
              <w:t>ASSETS</w:t>
            </w:r>
          </w:p>
        </w:tc>
        <w:tc>
          <w:tcPr>
            <w:tcW w:w="3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600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580" w:type="dxa"/>
            <w:vAlign w:val="bottom"/>
          </w:tcPr>
          <w:p>
            <w:pPr>
              <w:jc w:val="right"/>
              <w:ind w:right="348"/>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6000" w:type="dxa"/>
            <w:vAlign w:val="bottom"/>
          </w:tcPr>
          <w:p>
            <w:pPr>
              <w:spacing w:after="0"/>
              <w:rPr>
                <w:sz w:val="20"/>
                <w:szCs w:val="20"/>
                <w:color w:val="auto"/>
              </w:rPr>
            </w:pPr>
            <w:r>
              <w:rPr>
                <w:rFonts w:ascii="Arial" w:cs="Arial" w:eastAsia="Arial" w:hAnsi="Arial"/>
                <w:sz w:val="14"/>
                <w:szCs w:val="14"/>
                <w:color w:val="auto"/>
              </w:rPr>
              <w:t>Current assets:</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137.2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112.2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Restricted cash</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0.2</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121.5</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262.5</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Inventories</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211.0</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205.8</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Prepaid expenses and other current assets</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58.6</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258"/>
        </w:trPr>
        <w:tc>
          <w:tcPr>
            <w:tcW w:w="6000" w:type="dxa"/>
            <w:vAlign w:val="bottom"/>
          </w:tcPr>
          <w:p>
            <w:pPr>
              <w:ind w:left="280"/>
              <w:spacing w:after="0"/>
              <w:rPr>
                <w:sz w:val="20"/>
                <w:szCs w:val="20"/>
                <w:color w:val="auto"/>
              </w:rPr>
            </w:pPr>
            <w:r>
              <w:rPr>
                <w:rFonts w:ascii="Arial" w:cs="Arial" w:eastAsia="Arial" w:hAnsi="Arial"/>
                <w:sz w:val="14"/>
                <w:szCs w:val="14"/>
                <w:color w:val="auto"/>
              </w:rPr>
              <w:t>Total current assets</w:t>
            </w:r>
          </w:p>
        </w:tc>
        <w:tc>
          <w:tcPr>
            <w:tcW w:w="3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528.5</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620.8</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Property, plant and equipment, net</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513.4</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510.2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Intangible assets, net</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757.1</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761.6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In-process research and development</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41.0</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267.7</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259.7</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Other assets</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w:t>
            </w:r>
          </w:p>
        </w:tc>
        <w:tc>
          <w:tcPr>
            <w:tcW w:w="0" w:type="dxa"/>
            <w:vAlign w:val="bottom"/>
          </w:tcPr>
          <w:p>
            <w:pPr>
              <w:spacing w:after="0"/>
              <w:rPr>
                <w:sz w:val="1"/>
                <w:szCs w:val="1"/>
                <w:color w:val="auto"/>
              </w:rPr>
            </w:pPr>
          </w:p>
        </w:tc>
      </w:tr>
      <w:tr>
        <w:trPr>
          <w:trHeight w:val="209"/>
        </w:trPr>
        <w:tc>
          <w:tcPr>
            <w:tcW w:w="6000" w:type="dxa"/>
            <w:vAlign w:val="bottom"/>
          </w:tcPr>
          <w:p>
            <w:pPr>
              <w:spacing w:after="0"/>
              <w:rPr>
                <w:sz w:val="20"/>
                <w:szCs w:val="20"/>
                <w:color w:val="auto"/>
              </w:rPr>
            </w:pPr>
            <w:r>
              <w:rPr>
                <w:rFonts w:ascii="Arial" w:cs="Arial" w:eastAsia="Arial" w:hAnsi="Arial"/>
                <w:sz w:val="14"/>
                <w:szCs w:val="14"/>
                <w:color w:val="auto"/>
              </w:rPr>
              <w:t>Total assets</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2,229.4</w:t>
            </w:r>
          </w:p>
        </w:tc>
        <w:tc>
          <w:tcPr>
            <w:tcW w:w="0" w:type="dxa"/>
            <w:vAlign w:val="bottom"/>
          </w:tcPr>
          <w:p>
            <w:pPr>
              <w:spacing w:after="0"/>
              <w:rPr>
                <w:sz w:val="1"/>
                <w:szCs w:val="1"/>
                <w:color w:val="auto"/>
              </w:rPr>
            </w:pPr>
          </w:p>
        </w:tc>
      </w:tr>
      <w:tr>
        <w:trPr>
          <w:trHeight w:val="20"/>
        </w:trPr>
        <w:tc>
          <w:tcPr>
            <w:tcW w:w="6000" w:type="dxa"/>
            <w:vAlign w:val="bottom"/>
            <w:vMerge w:val="restart"/>
          </w:tcPr>
          <w:p>
            <w:pPr>
              <w:ind w:left="1460"/>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600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000" w:type="dxa"/>
            <w:vAlign w:val="bottom"/>
          </w:tcPr>
          <w:p>
            <w:pPr>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600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3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Pr>
          <w:p>
            <w:pPr>
              <w:jc w:val="right"/>
              <w:spacing w:after="0"/>
              <w:rPr>
                <w:sz w:val="20"/>
                <w:szCs w:val="20"/>
                <w:color w:val="auto"/>
              </w:rPr>
            </w:pPr>
            <w:r>
              <w:rPr>
                <w:rFonts w:ascii="Arial" w:cs="Arial" w:eastAsia="Arial" w:hAnsi="Arial"/>
                <w:sz w:val="14"/>
                <w:szCs w:val="14"/>
                <w:color w:val="auto"/>
              </w:rPr>
              <w:t>78.6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Accrued expenses</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49.6</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Contingent consideration, current portion</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62.7</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36.9</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58.2</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Long-term indebtedness, current portion</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10.1</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Other current liabilities</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58"/>
        </w:trPr>
        <w:tc>
          <w:tcPr>
            <w:tcW w:w="600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3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248.4</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200.4</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Contingent consideration</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10.0</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Long-term indebtedness</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732.4</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784.5</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Deferred tax liability</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66.4</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Deferred revenue, net of current portion</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64.7</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Other liabilities</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258"/>
        </w:trPr>
        <w:tc>
          <w:tcPr>
            <w:tcW w:w="6000" w:type="dxa"/>
            <w:vAlign w:val="bottom"/>
          </w:tcPr>
          <w:p>
            <w:pPr>
              <w:ind w:left="280"/>
              <w:spacing w:after="0"/>
              <w:rPr>
                <w:sz w:val="20"/>
                <w:szCs w:val="20"/>
                <w:color w:val="auto"/>
              </w:rPr>
            </w:pPr>
            <w:r>
              <w:rPr>
                <w:rFonts w:ascii="Arial" w:cs="Arial" w:eastAsia="Arial" w:hAnsi="Arial"/>
                <w:sz w:val="14"/>
                <w:szCs w:val="14"/>
                <w:color w:val="auto"/>
              </w:rPr>
              <w:t>Total liabilities</w:t>
            </w:r>
          </w:p>
        </w:tc>
        <w:tc>
          <w:tcPr>
            <w:tcW w:w="30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1,166.0</w:t>
            </w:r>
          </w:p>
        </w:tc>
        <w:tc>
          <w:tcPr>
            <w:tcW w:w="180" w:type="dxa"/>
            <w:vAlign w:val="bottom"/>
          </w:tcPr>
          <w:p>
            <w:pPr>
              <w:spacing w:after="0"/>
              <w:rPr>
                <w:sz w:val="22"/>
                <w:szCs w:val="22"/>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1,218.5</w:t>
            </w:r>
          </w:p>
        </w:tc>
        <w:tc>
          <w:tcPr>
            <w:tcW w:w="0" w:type="dxa"/>
            <w:vAlign w:val="bottom"/>
          </w:tcPr>
          <w:p>
            <w:pPr>
              <w:spacing w:after="0"/>
              <w:rPr>
                <w:sz w:val="1"/>
                <w:szCs w:val="1"/>
                <w:color w:val="auto"/>
              </w:rPr>
            </w:pPr>
          </w:p>
        </w:tc>
      </w:tr>
      <w:tr>
        <w:trPr>
          <w:trHeight w:val="378"/>
        </w:trPr>
        <w:tc>
          <w:tcPr>
            <w:tcW w:w="6000" w:type="dxa"/>
            <w:vAlign w:val="bottom"/>
          </w:tcPr>
          <w:p>
            <w:pPr>
              <w:spacing w:after="0"/>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000" w:type="dxa"/>
            <w:vAlign w:val="bottom"/>
          </w:tcPr>
          <w:p>
            <w:pPr>
              <w:ind w:left="140"/>
              <w:spacing w:after="0"/>
              <w:rPr>
                <w:sz w:val="20"/>
                <w:szCs w:val="20"/>
                <w:color w:val="auto"/>
              </w:rPr>
            </w:pPr>
            <w:r>
              <w:rPr>
                <w:rFonts w:ascii="Arial" w:cs="Arial" w:eastAsia="Arial" w:hAnsi="Arial"/>
                <w:sz w:val="14"/>
                <w:szCs w:val="14"/>
                <w:color w:val="auto"/>
              </w:rPr>
              <w:t>Preferred stock, $0.001 par value; 15.0 shares authorized, no shares issued or outstanding</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at both 2019 and 2018</w:t>
            </w:r>
          </w:p>
        </w:tc>
        <w:tc>
          <w:tcPr>
            <w:tcW w:w="3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6"/>
        </w:trPr>
        <w:tc>
          <w:tcPr>
            <w:tcW w:w="6000" w:type="dxa"/>
            <w:vAlign w:val="bottom"/>
          </w:tcPr>
          <w:p>
            <w:pPr>
              <w:ind w:left="140"/>
              <w:spacing w:after="0"/>
              <w:rPr>
                <w:sz w:val="20"/>
                <w:szCs w:val="20"/>
                <w:color w:val="auto"/>
              </w:rPr>
            </w:pPr>
            <w:r>
              <w:rPr>
                <w:rFonts w:ascii="Arial" w:cs="Arial" w:eastAsia="Arial" w:hAnsi="Arial"/>
                <w:sz w:val="14"/>
                <w:szCs w:val="14"/>
                <w:color w:val="auto"/>
              </w:rPr>
              <w:t>Common stock, $0.001 par value; 200.0 shares authorized, 52.6 shares issued and 51.4</w:t>
            </w:r>
          </w:p>
        </w:tc>
        <w:tc>
          <w:tcPr>
            <w:tcW w:w="3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shares outstanding at 2019; 52.4 shares issued and 51.2 shares outstanding at 2018</w:t>
            </w:r>
          </w:p>
        </w:tc>
        <w:tc>
          <w:tcPr>
            <w:tcW w:w="30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0.1</w:t>
            </w:r>
          </w:p>
        </w:tc>
        <w:tc>
          <w:tcPr>
            <w:tcW w:w="1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Treasury stock, at cost, 1.2 common shares at both 2019 and 2018</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(39.6)</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(39.6)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Additional paid-in capital</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690.2</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688.6</w:t>
            </w:r>
          </w:p>
        </w:tc>
        <w:tc>
          <w:tcPr>
            <w:tcW w:w="0" w:type="dxa"/>
            <w:vAlign w:val="bottom"/>
          </w:tcPr>
          <w:p>
            <w:pPr>
              <w:spacing w:after="0"/>
              <w:rPr>
                <w:sz w:val="1"/>
                <w:szCs w:val="1"/>
                <w:color w:val="auto"/>
              </w:rPr>
            </w:pPr>
          </w:p>
        </w:tc>
      </w:tr>
      <w:tr>
        <w:trPr>
          <w:trHeight w:val="270"/>
        </w:trPr>
        <w:tc>
          <w:tcPr>
            <w:tcW w:w="6000" w:type="dxa"/>
            <w:vAlign w:val="bottom"/>
          </w:tcPr>
          <w:p>
            <w:pPr>
              <w:ind w:left="140"/>
              <w:spacing w:after="0"/>
              <w:rPr>
                <w:sz w:val="20"/>
                <w:szCs w:val="20"/>
                <w:color w:val="auto"/>
              </w:rPr>
            </w:pPr>
            <w:r>
              <w:rPr>
                <w:rFonts w:ascii="Arial" w:cs="Arial" w:eastAsia="Arial" w:hAnsi="Arial"/>
                <w:sz w:val="14"/>
                <w:szCs w:val="14"/>
                <w:color w:val="auto"/>
              </w:rPr>
              <w:t>Accumulated other comprehensive loss</w:t>
            </w:r>
          </w:p>
        </w:tc>
        <w:tc>
          <w:tcPr>
            <w:tcW w:w="30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4"/>
                <w:szCs w:val="14"/>
                <w:color w:val="auto"/>
              </w:rPr>
              <w:t>(4.5)</w:t>
            </w:r>
          </w:p>
        </w:tc>
        <w:tc>
          <w:tcPr>
            <w:tcW w:w="18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600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3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341.5</w:t>
            </w:r>
          </w:p>
        </w:tc>
        <w:tc>
          <w:tcPr>
            <w:tcW w:w="1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367.3</w:t>
            </w:r>
          </w:p>
        </w:tc>
        <w:tc>
          <w:tcPr>
            <w:tcW w:w="0" w:type="dxa"/>
            <w:vAlign w:val="bottom"/>
          </w:tcPr>
          <w:p>
            <w:pPr>
              <w:spacing w:after="0"/>
              <w:rPr>
                <w:sz w:val="1"/>
                <w:szCs w:val="1"/>
                <w:color w:val="auto"/>
              </w:rPr>
            </w:pPr>
          </w:p>
        </w:tc>
      </w:tr>
      <w:tr>
        <w:trPr>
          <w:trHeight w:val="264"/>
        </w:trPr>
        <w:tc>
          <w:tcPr>
            <w:tcW w:w="6000" w:type="dxa"/>
            <w:vAlign w:val="bottom"/>
          </w:tcPr>
          <w:p>
            <w:pPr>
              <w:ind w:left="280"/>
              <w:spacing w:after="0"/>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987.7</w:t>
            </w:r>
          </w:p>
        </w:tc>
        <w:tc>
          <w:tcPr>
            <w:tcW w:w="18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1,010.9</w:t>
            </w:r>
          </w:p>
        </w:tc>
        <w:tc>
          <w:tcPr>
            <w:tcW w:w="0" w:type="dxa"/>
            <w:vAlign w:val="bottom"/>
          </w:tcPr>
          <w:p>
            <w:pPr>
              <w:spacing w:after="0"/>
              <w:rPr>
                <w:sz w:val="1"/>
                <w:szCs w:val="1"/>
                <w:color w:val="auto"/>
              </w:rPr>
            </w:pPr>
          </w:p>
        </w:tc>
      </w:tr>
      <w:tr>
        <w:trPr>
          <w:trHeight w:val="216"/>
        </w:trPr>
        <w:tc>
          <w:tcPr>
            <w:tcW w:w="6000" w:type="dxa"/>
            <w:vAlign w:val="bottom"/>
          </w:tcPr>
          <w:p>
            <w:pPr>
              <w:ind w:left="280"/>
              <w:spacing w:after="0"/>
              <w:rPr>
                <w:sz w:val="20"/>
                <w:szCs w:val="20"/>
                <w:color w:val="auto"/>
              </w:rPr>
            </w:pPr>
            <w:r>
              <w:rPr>
                <w:rFonts w:ascii="Arial" w:cs="Arial" w:eastAsia="Arial" w:hAnsi="Arial"/>
                <w:sz w:val="14"/>
                <w:szCs w:val="14"/>
                <w:color w:val="auto"/>
              </w:rPr>
              <w:t>Total liabilities and stockholders’ equity</w:t>
            </w:r>
          </w:p>
        </w:tc>
        <w:tc>
          <w:tcPr>
            <w:tcW w:w="3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2,153.7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2,229.4</w:t>
            </w: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179"/>
          </w:cols>
          <w:pgMar w:left="280" w:top="1440" w:right="1440" w:bottom="1440" w:gutter="0" w:footer="0" w:header="0"/>
        </w:sectPr>
      </w:pPr>
    </w:p>
    <w:p>
      <w:pPr>
        <w:spacing w:after="0" w:line="384" w:lineRule="exact"/>
        <w:rPr>
          <w:sz w:val="20"/>
          <w:szCs w:val="20"/>
          <w:color w:val="auto"/>
        </w:rPr>
      </w:pPr>
    </w:p>
    <w:p>
      <w:pPr>
        <w:ind w:left="5300"/>
        <w:spacing w:after="0"/>
        <w:rPr>
          <w:sz w:val="20"/>
          <w:szCs w:val="20"/>
          <w:color w:val="auto"/>
        </w:rPr>
      </w:pPr>
      <w:r>
        <w:rPr>
          <w:rFonts w:ascii="Arial" w:cs="Arial" w:eastAsia="Arial" w:hAnsi="Arial"/>
          <w:sz w:val="14"/>
          <w:szCs w:val="14"/>
          <w:color w:val="auto"/>
        </w:rPr>
        <w:t>Page 6 of 9</w:t>
      </w:r>
    </w:p>
    <w:p>
      <w:pPr>
        <w:sectPr>
          <w:pgSz w:w="11900" w:h="16838" w:orient="portrait"/>
          <w:cols w:equalWidth="0" w:num="1">
            <w:col w:w="10179"/>
          </w:cols>
          <w:pgMar w:left="280" w:top="1440" w:right="1440" w:bottom="1440" w:gutter="0" w:footer="0" w:header="0"/>
          <w:type w:val="continuous"/>
        </w:sectPr>
      </w:pPr>
    </w:p>
    <w:bookmarkStart w:id="8" w:name="page9"/>
    <w:bookmarkEnd w:id="8"/>
    <w:p>
      <w:pPr>
        <w:spacing w:after="0" w:line="3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4"/>
          <w:szCs w:val="14"/>
          <w:b w:val="1"/>
          <w:bCs w:val="1"/>
          <w:color w:val="auto"/>
        </w:rPr>
        <w:t>Emergent BioSolutions Inc.</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(in millions, except per share data)</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14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10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00" w:type="dxa"/>
            <w:vAlign w:val="bottom"/>
          </w:tcPr>
          <w:p>
            <w:pPr>
              <w:jc w:val="right"/>
              <w:ind w:right="98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39"/>
        </w:trPr>
        <w:tc>
          <w:tcPr>
            <w:tcW w:w="536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140" w:type="dxa"/>
            <w:vAlign w:val="bottom"/>
            <w:tcBorders>
              <w:bottom w:val="single" w:sz="8" w:color="auto"/>
            </w:tcBorders>
            <w:gridSpan w:val="2"/>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14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(Unaudited)</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40"/>
              <w:spacing w:after="0"/>
              <w:rPr>
                <w:sz w:val="20"/>
                <w:szCs w:val="20"/>
                <w:color w:val="auto"/>
              </w:rPr>
            </w:pPr>
            <w:r>
              <w:rPr>
                <w:rFonts w:ascii="Arial" w:cs="Arial" w:eastAsia="Arial" w:hAnsi="Arial"/>
                <w:sz w:val="14"/>
                <w:szCs w:val="14"/>
                <w:color w:val="auto"/>
              </w:rPr>
              <w:t>Product sales, net</w:t>
            </w:r>
          </w:p>
        </w:tc>
        <w:tc>
          <w:tcPr>
            <w:tcW w:w="14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153.0</w:t>
            </w:r>
          </w:p>
        </w:tc>
        <w:tc>
          <w:tcPr>
            <w:tcW w:w="10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75.8</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Contract manufacturing, net</w:t>
            </w:r>
          </w:p>
        </w:tc>
        <w:tc>
          <w:tcPr>
            <w:tcW w:w="14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w:t>
            </w:r>
          </w:p>
        </w:tc>
        <w:tc>
          <w:tcPr>
            <w:tcW w:w="106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26.1</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Contracts and grants</w:t>
            </w:r>
          </w:p>
        </w:tc>
        <w:tc>
          <w:tcPr>
            <w:tcW w:w="1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21.7</w:t>
            </w:r>
          </w:p>
        </w:tc>
        <w:tc>
          <w:tcPr>
            <w:tcW w:w="10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15.9</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revenues</w:t>
            </w:r>
          </w:p>
        </w:tc>
        <w:tc>
          <w:tcPr>
            <w:tcW w:w="14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190.6</w:t>
            </w:r>
          </w:p>
        </w:tc>
        <w:tc>
          <w:tcPr>
            <w:tcW w:w="1060" w:type="dxa"/>
            <w:vAlign w:val="bottom"/>
          </w:tcPr>
          <w:p>
            <w:pPr>
              <w:spacing w:after="0"/>
              <w:rPr>
                <w:sz w:val="22"/>
                <w:szCs w:val="22"/>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117.8</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Operating expenses:</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Cost of product sales and contract manufacturing</w:t>
            </w:r>
          </w:p>
        </w:tc>
        <w:tc>
          <w:tcPr>
            <w:tcW w:w="14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91.8</w:t>
            </w:r>
          </w:p>
        </w:tc>
        <w:tc>
          <w:tcPr>
            <w:tcW w:w="106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54.3</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Research and development</w:t>
            </w:r>
          </w:p>
        </w:tc>
        <w:tc>
          <w:tcPr>
            <w:tcW w:w="14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46.1</w:t>
            </w:r>
          </w:p>
        </w:tc>
        <w:tc>
          <w:tcPr>
            <w:tcW w:w="106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Selling, general and administrative</w:t>
            </w:r>
          </w:p>
        </w:tc>
        <w:tc>
          <w:tcPr>
            <w:tcW w:w="14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65.4</w:t>
            </w:r>
          </w:p>
        </w:tc>
        <w:tc>
          <w:tcPr>
            <w:tcW w:w="106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Amortization of intangible assets</w:t>
            </w:r>
          </w:p>
        </w:tc>
        <w:tc>
          <w:tcPr>
            <w:tcW w:w="1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14.5</w:t>
            </w:r>
          </w:p>
        </w:tc>
        <w:tc>
          <w:tcPr>
            <w:tcW w:w="10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operating expenses</w:t>
            </w:r>
          </w:p>
        </w:tc>
        <w:tc>
          <w:tcPr>
            <w:tcW w:w="14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217.8</w:t>
            </w:r>
          </w:p>
        </w:tc>
        <w:tc>
          <w:tcPr>
            <w:tcW w:w="1060" w:type="dxa"/>
            <w:vAlign w:val="bottom"/>
          </w:tcPr>
          <w:p>
            <w:pPr>
              <w:spacing w:after="0"/>
              <w:rPr>
                <w:sz w:val="22"/>
                <w:szCs w:val="22"/>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color w:val="auto"/>
              </w:rPr>
              <w:t>Loss from operations</w:t>
            </w:r>
          </w:p>
        </w:tc>
        <w:tc>
          <w:tcPr>
            <w:tcW w:w="14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(27.2)</w:t>
            </w:r>
          </w:p>
        </w:tc>
        <w:tc>
          <w:tcPr>
            <w:tcW w:w="106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Other income (expense):</w:t>
            </w: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36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4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(9.6)</w:t>
            </w:r>
          </w:p>
        </w:tc>
        <w:tc>
          <w:tcPr>
            <w:tcW w:w="106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6"/>
        </w:trPr>
        <w:tc>
          <w:tcPr>
            <w:tcW w:w="5360" w:type="dxa"/>
            <w:vAlign w:val="bottom"/>
          </w:tcPr>
          <w:p>
            <w:pPr>
              <w:ind w:left="140"/>
              <w:spacing w:after="0"/>
              <w:rPr>
                <w:sz w:val="20"/>
                <w:szCs w:val="20"/>
                <w:color w:val="auto"/>
              </w:rPr>
            </w:pPr>
            <w:r>
              <w:rPr>
                <w:rFonts w:ascii="Arial" w:cs="Arial" w:eastAsia="Arial" w:hAnsi="Arial"/>
                <w:sz w:val="14"/>
                <w:szCs w:val="14"/>
                <w:color w:val="auto"/>
              </w:rPr>
              <w:t>Other income (expense), net</w:t>
            </w:r>
          </w:p>
        </w:tc>
        <w:tc>
          <w:tcPr>
            <w:tcW w:w="1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w:t>
            </w:r>
          </w:p>
        </w:tc>
        <w:tc>
          <w:tcPr>
            <w:tcW w:w="10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8"/>
        </w:trPr>
        <w:tc>
          <w:tcPr>
            <w:tcW w:w="5360" w:type="dxa"/>
            <w:vAlign w:val="bottom"/>
          </w:tcPr>
          <w:p>
            <w:pPr>
              <w:spacing w:after="0"/>
              <w:rPr>
                <w:sz w:val="20"/>
                <w:szCs w:val="20"/>
                <w:color w:val="auto"/>
              </w:rPr>
            </w:pPr>
            <w:r>
              <w:rPr>
                <w:rFonts w:ascii="Arial" w:cs="Arial" w:eastAsia="Arial" w:hAnsi="Arial"/>
                <w:sz w:val="14"/>
                <w:szCs w:val="14"/>
                <w:b w:val="1"/>
                <w:bCs w:val="1"/>
                <w:color w:val="auto"/>
              </w:rPr>
              <w:t>Total other income (expense), net</w:t>
            </w:r>
          </w:p>
        </w:tc>
        <w:tc>
          <w:tcPr>
            <w:tcW w:w="142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(10.6)</w:t>
            </w:r>
          </w:p>
        </w:tc>
        <w:tc>
          <w:tcPr>
            <w:tcW w:w="1060" w:type="dxa"/>
            <w:vAlign w:val="bottom"/>
          </w:tcPr>
          <w:p>
            <w:pPr>
              <w:spacing w:after="0"/>
              <w:rPr>
                <w:sz w:val="22"/>
                <w:szCs w:val="22"/>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Loss before benefit from income taxes</w:t>
            </w:r>
          </w:p>
        </w:tc>
        <w:tc>
          <w:tcPr>
            <w:tcW w:w="14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06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76"/>
        </w:trPr>
        <w:tc>
          <w:tcPr>
            <w:tcW w:w="5360" w:type="dxa"/>
            <w:vAlign w:val="bottom"/>
          </w:tcPr>
          <w:p>
            <w:pPr>
              <w:spacing w:after="0"/>
              <w:rPr>
                <w:sz w:val="20"/>
                <w:szCs w:val="20"/>
                <w:color w:val="auto"/>
              </w:rPr>
            </w:pPr>
            <w:r>
              <w:rPr>
                <w:rFonts w:ascii="Arial" w:cs="Arial" w:eastAsia="Arial" w:hAnsi="Arial"/>
                <w:sz w:val="14"/>
                <w:szCs w:val="14"/>
                <w:color w:val="auto"/>
              </w:rPr>
              <w:t>Benefit from income taxes</w:t>
            </w:r>
          </w:p>
        </w:tc>
        <w:tc>
          <w:tcPr>
            <w:tcW w:w="14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(11.8)</w:t>
            </w:r>
          </w:p>
        </w:tc>
        <w:tc>
          <w:tcPr>
            <w:tcW w:w="10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4"/>
                <w:szCs w:val="14"/>
                <w:b w:val="1"/>
                <w:bCs w:val="1"/>
                <w:color w:val="auto"/>
              </w:rPr>
              <w:t>Net loss</w:t>
            </w:r>
          </w:p>
        </w:tc>
        <w:tc>
          <w:tcPr>
            <w:tcW w:w="1420" w:type="dxa"/>
            <w:vAlign w:val="bottom"/>
            <w:tcBorders>
              <w:bottom w:val="single" w:sz="8" w:color="auto"/>
            </w:tcBorders>
          </w:tcPr>
          <w:p>
            <w:pPr>
              <w:jc w:val="right"/>
              <w:ind w:right="1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w:t>
            </w:r>
          </w:p>
        </w:tc>
        <w:tc>
          <w:tcPr>
            <w:tcW w:w="1060" w:type="dxa"/>
            <w:vAlign w:val="bottom"/>
            <w:tcBorders>
              <w:bottom w:val="single" w:sz="8" w:color="auto"/>
            </w:tcBorders>
          </w:tcPr>
          <w:p>
            <w:pPr>
              <w:jc w:val="right"/>
              <w:ind w:right="78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Net loss per share - basic</w:t>
            </w:r>
          </w:p>
        </w:tc>
        <w:tc>
          <w:tcPr>
            <w:tcW w:w="1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8"/>
        </w:trPr>
        <w:tc>
          <w:tcPr>
            <w:tcW w:w="5360" w:type="dxa"/>
            <w:vAlign w:val="bottom"/>
            <w:vMerge w:val="continue"/>
          </w:tcPr>
          <w:p>
            <w:pPr>
              <w:spacing w:after="0"/>
              <w:rPr>
                <w:sz w:val="24"/>
                <w:szCs w:val="24"/>
                <w:color w:val="auto"/>
              </w:rPr>
            </w:pPr>
          </w:p>
        </w:tc>
        <w:tc>
          <w:tcPr>
            <w:tcW w:w="14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(0.51)</w:t>
            </w:r>
          </w:p>
        </w:tc>
        <w:tc>
          <w:tcPr>
            <w:tcW w:w="10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4"/>
                <w:szCs w:val="14"/>
                <w:b w:val="1"/>
                <w:bCs w:val="1"/>
                <w:color w:val="auto"/>
              </w:rPr>
              <w:t>Net loss per share - diluted</w:t>
            </w:r>
          </w:p>
        </w:tc>
        <w:tc>
          <w:tcPr>
            <w:tcW w:w="1420" w:type="dxa"/>
            <w:vAlign w:val="bottom"/>
          </w:tcPr>
          <w:p>
            <w:pPr>
              <w:jc w:val="right"/>
              <w:ind w:right="1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(0.51)</w:t>
            </w:r>
          </w:p>
        </w:tc>
        <w:tc>
          <w:tcPr>
            <w:tcW w:w="1060" w:type="dxa"/>
            <w:vAlign w:val="bottom"/>
          </w:tcPr>
          <w:p>
            <w:pPr>
              <w:jc w:val="right"/>
              <w:ind w:right="78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513"/>
        </w:trPr>
        <w:tc>
          <w:tcPr>
            <w:tcW w:w="536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basic</w:t>
            </w:r>
          </w:p>
        </w:tc>
        <w:tc>
          <w:tcPr>
            <w:tcW w:w="142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060" w:type="dxa"/>
            <w:vAlign w:val="bottom"/>
          </w:tcPr>
          <w:p>
            <w:pPr>
              <w:spacing w:after="0"/>
              <w:rPr>
                <w:sz w:val="24"/>
                <w:szCs w:val="24"/>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70"/>
        </w:trPr>
        <w:tc>
          <w:tcPr>
            <w:tcW w:w="5360" w:type="dxa"/>
            <w:vAlign w:val="bottom"/>
          </w:tcPr>
          <w:p>
            <w:pPr>
              <w:spacing w:after="0"/>
              <w:rPr>
                <w:sz w:val="20"/>
                <w:szCs w:val="20"/>
                <w:color w:val="auto"/>
              </w:rPr>
            </w:pPr>
            <w:r>
              <w:rPr>
                <w:rFonts w:ascii="Arial" w:cs="Arial" w:eastAsia="Arial" w:hAnsi="Arial"/>
                <w:sz w:val="14"/>
                <w:szCs w:val="14"/>
                <w:b w:val="1"/>
                <w:bCs w:val="1"/>
                <w:color w:val="auto"/>
              </w:rPr>
              <w:t>Weighted-average number of shares - diluted</w:t>
            </w:r>
          </w:p>
        </w:tc>
        <w:tc>
          <w:tcPr>
            <w:tcW w:w="142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060" w:type="dxa"/>
            <w:vAlign w:val="bottom"/>
          </w:tcPr>
          <w:p>
            <w:pPr>
              <w:spacing w:after="0"/>
              <w:rPr>
                <w:sz w:val="23"/>
                <w:szCs w:val="23"/>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Page 7 of 9</w:t>
      </w:r>
    </w:p>
    <w:p>
      <w:pPr>
        <w:sectPr>
          <w:pgSz w:w="11900" w:h="16838" w:orient="portrait"/>
          <w:cols w:equalWidth="0" w:num="1">
            <w:col w:w="10320"/>
          </w:cols>
          <w:pgMar w:left="280" w:top="1440" w:right="129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5886450</wp:posOffset>
            </wp:positionH>
            <wp:positionV relativeFrom="page">
              <wp:posOffset>226060</wp:posOffset>
            </wp:positionV>
            <wp:extent cx="1517650" cy="6343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151765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(LOSS) TO ADJUSTED NET INCOME (LOSS), EBITDA AND ADJUSTED EBITDA</w:t>
      </w:r>
    </w:p>
    <w:p>
      <w:pPr>
        <w:spacing w:after="0" w:line="11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This press release contains three financial measures </w:t>
      </w:r>
      <w:r>
        <w:rPr>
          <w:rFonts w:ascii="Arial" w:cs="Arial" w:eastAsia="Arial" w:hAnsi="Arial"/>
          <w:sz w:val="18"/>
          <w:szCs w:val="18"/>
          <w:b w:val="1"/>
          <w:bCs w:val="1"/>
          <w:color w:val="auto"/>
        </w:rPr>
        <w:t>(Adjusted Net Income (Loss), EBITDA (Earnings Before Interest, Taxes,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Depreciation and Amortization), and Adjusted EBITDA) </w:t>
      </w:r>
      <w:r>
        <w:rPr>
          <w:rFonts w:ascii="Arial" w:cs="Arial" w:eastAsia="Arial" w:hAnsi="Arial"/>
          <w:sz w:val="18"/>
          <w:szCs w:val="18"/>
          <w:color w:val="auto"/>
        </w:rPr>
        <w:t>that are considered “non-GAAP” financial measures under applicable Securities</w:t>
      </w:r>
      <w:r>
        <w:rPr>
          <w:rFonts w:ascii="Arial" w:cs="Arial" w:eastAsia="Arial" w:hAnsi="Arial"/>
          <w:sz w:val="18"/>
          <w:szCs w:val="18"/>
          <w:b w:val="1"/>
          <w:bCs w:val="1"/>
          <w:color w:val="auto"/>
        </w:rPr>
        <w:t xml:space="preserve"> </w:t>
      </w:r>
      <w:r>
        <w:rPr>
          <w:rFonts w:ascii="Arial" w:cs="Arial" w:eastAsia="Arial" w:hAnsi="Arial"/>
          <w:sz w:val="18"/>
          <w:szCs w:val="18"/>
          <w:color w:val="auto"/>
        </w:rPr>
        <w:t>and Exchange Commission rules and regulations. These non-GAAP financial measures should be considered supplemental to and not a substitute for financial information prepared in accordance with generally accepted accounting principles. The Company’s definition of these non-GAAP measures may differ from similarly titled measures used by others. Adjusted Net Income (Loss) adjusts for specified items that can be highly variable or difficult to predict, or reflect the non-cash impact of charges resulting from purchase accounting (which are all tax effected utilizing the statutory tax rate for the US). EBITDA reflects net income excluding the impact of depreciation, amortization, interest expense and provision for income taxes. Adjusted EBITDA also excludes specified items that can be highly variable and the non-cash impact of certain purchase accounting adjustments (which are all tax effected utilizing the statutory tax rate for the US). The Company views these non-GAAP financial measures as a means to facilitate management’s financial and operational decision-making, including evaluation of the Company’s historical operating results and comparison to competitors’ operating results. These non-GAAP financial measures reflect an additional way of viewing aspects of the Company’s operations that, when viewed with GAAP results and the reconciliations to the corresponding GAAP financial measure, may provide a more complete understanding of factors and trends affecting the Company’s business.</w:t>
      </w:r>
    </w:p>
    <w:p>
      <w:pPr>
        <w:spacing w:after="0" w:line="21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determination of the amounts that are excluded from these non-GAAP financial measures are a matter of management judgment and depend upon, among other factors, the nature of the underlying expense or income amounts. Because non-GAAP financial measures exclude the effect of items that will increase or decrease the Company’s reported results of operations, management strongly encourages investors to review the Company’s consolidated financial statements and publicly filed reports in their entirety.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to Adjusted Net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106045</wp:posOffset>
            </wp:positionV>
            <wp:extent cx="7126605" cy="2006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6605" cy="2006600"/>
                    </a:xfrm>
                    <a:prstGeom prst="rect">
                      <a:avLst/>
                    </a:prstGeom>
                    <a:noFill/>
                  </pic:spPr>
                </pic:pic>
              </a:graphicData>
            </a:graphic>
          </wp:anchor>
        </w:drawing>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7260" w:type="dxa"/>
            <w:vAlign w:val="bottom"/>
            <w:gridSpan w:val="2"/>
            <w:vMerge w:val="restart"/>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3960" w:type="dxa"/>
            <w:vAlign w:val="bottom"/>
            <w:gridSpan w:val="4"/>
            <w:shd w:val="clear" w:color="auto" w:fill="0F243E"/>
          </w:tcPr>
          <w:p>
            <w:pPr>
              <w:jc w:val="right"/>
              <w:ind w:right="1019"/>
              <w:spacing w:after="0"/>
              <w:rPr>
                <w:sz w:val="20"/>
                <w:szCs w:val="20"/>
                <w:color w:val="auto"/>
              </w:rPr>
            </w:pPr>
            <w:r>
              <w:rPr>
                <w:rFonts w:ascii="Arial" w:cs="Arial" w:eastAsia="Arial" w:hAnsi="Arial"/>
                <w:sz w:val="16"/>
                <w:szCs w:val="16"/>
                <w:b w:val="1"/>
                <w:bCs w:val="1"/>
                <w:color w:val="FFFFFF"/>
              </w:rPr>
              <w:t>Three Months Ended March 31, 2019</w:t>
            </w:r>
          </w:p>
        </w:tc>
        <w:tc>
          <w:tcPr>
            <w:tcW w:w="0" w:type="dxa"/>
            <w:vAlign w:val="bottom"/>
          </w:tcPr>
          <w:p>
            <w:pPr>
              <w:spacing w:after="0"/>
              <w:rPr>
                <w:sz w:val="1"/>
                <w:szCs w:val="1"/>
                <w:color w:val="auto"/>
              </w:rPr>
            </w:pPr>
          </w:p>
        </w:tc>
      </w:tr>
      <w:tr>
        <w:trPr>
          <w:trHeight w:val="74"/>
        </w:trPr>
        <w:tc>
          <w:tcPr>
            <w:tcW w:w="7260" w:type="dxa"/>
            <w:vAlign w:val="bottom"/>
            <w:gridSpan w:val="2"/>
            <w:vMerge w:val="continue"/>
            <w:shd w:val="clear" w:color="auto" w:fill="0F243E"/>
          </w:tcPr>
          <w:p>
            <w:pPr>
              <w:spacing w:after="0"/>
              <w:rPr>
                <w:sz w:val="6"/>
                <w:szCs w:val="6"/>
                <w:color w:val="auto"/>
              </w:rPr>
            </w:pPr>
          </w:p>
        </w:tc>
        <w:tc>
          <w:tcPr>
            <w:tcW w:w="1600" w:type="dxa"/>
            <w:vAlign w:val="bottom"/>
            <w:gridSpan w:val="2"/>
            <w:vMerge w:val="restart"/>
            <w:shd w:val="clear" w:color="auto" w:fill="0F243E"/>
          </w:tcPr>
          <w:p>
            <w:pPr>
              <w:jc w:val="right"/>
              <w:ind w:right="20"/>
              <w:spacing w:after="0"/>
              <w:rPr>
                <w:sz w:val="20"/>
                <w:szCs w:val="20"/>
                <w:color w:val="auto"/>
              </w:rPr>
            </w:pPr>
            <w:r>
              <w:rPr>
                <w:rFonts w:ascii="Arial" w:cs="Arial" w:eastAsia="Arial" w:hAnsi="Arial"/>
                <w:sz w:val="16"/>
                <w:szCs w:val="16"/>
                <w:b w:val="1"/>
                <w:bCs w:val="1"/>
                <w:color w:val="FFFFFF"/>
              </w:rPr>
              <w:t>2018</w:t>
            </w:r>
          </w:p>
        </w:tc>
        <w:tc>
          <w:tcPr>
            <w:tcW w:w="580" w:type="dxa"/>
            <w:vAlign w:val="bottom"/>
            <w:shd w:val="clear" w:color="auto" w:fill="0F243E"/>
          </w:tcPr>
          <w:p>
            <w:pPr>
              <w:spacing w:after="0"/>
              <w:rPr>
                <w:sz w:val="6"/>
                <w:szCs w:val="6"/>
                <w:color w:val="auto"/>
              </w:rPr>
            </w:pPr>
          </w:p>
        </w:tc>
        <w:tc>
          <w:tcPr>
            <w:tcW w:w="1780" w:type="dxa"/>
            <w:vAlign w:val="bottom"/>
            <w:vMerge w:val="restart"/>
            <w:shd w:val="clear" w:color="auto" w:fill="0F243E"/>
          </w:tcPr>
          <w:p>
            <w:pPr>
              <w:jc w:val="right"/>
              <w:ind w:right="539"/>
              <w:spacing w:after="0"/>
              <w:rPr>
                <w:sz w:val="20"/>
                <w:szCs w:val="20"/>
                <w:color w:val="auto"/>
              </w:rPr>
            </w:pPr>
            <w:r>
              <w:rPr>
                <w:rFonts w:ascii="Arial" w:cs="Arial" w:eastAsia="Arial" w:hAnsi="Arial"/>
                <w:sz w:val="16"/>
                <w:szCs w:val="16"/>
                <w:b w:val="1"/>
                <w:bCs w:val="1"/>
                <w:color w:val="FFFFFF"/>
              </w:rPr>
              <w:t>Source</w:t>
            </w:r>
          </w:p>
        </w:tc>
        <w:tc>
          <w:tcPr>
            <w:tcW w:w="0" w:type="dxa"/>
            <w:vAlign w:val="bottom"/>
          </w:tcPr>
          <w:p>
            <w:pPr>
              <w:spacing w:after="0"/>
              <w:rPr>
                <w:sz w:val="1"/>
                <w:szCs w:val="1"/>
                <w:color w:val="auto"/>
              </w:rPr>
            </w:pPr>
          </w:p>
        </w:tc>
      </w:tr>
      <w:tr>
        <w:trPr>
          <w:trHeight w:val="203"/>
        </w:trPr>
        <w:tc>
          <w:tcPr>
            <w:tcW w:w="7260" w:type="dxa"/>
            <w:vAlign w:val="bottom"/>
            <w:gridSpan w:val="2"/>
            <w:shd w:val="clear" w:color="auto" w:fill="0F243E"/>
          </w:tcPr>
          <w:p>
            <w:pPr>
              <w:ind w:left="6860"/>
              <w:spacing w:after="0"/>
              <w:rPr>
                <w:sz w:val="20"/>
                <w:szCs w:val="20"/>
                <w:color w:val="auto"/>
              </w:rPr>
            </w:pPr>
            <w:r>
              <w:rPr>
                <w:rFonts w:ascii="Arial" w:cs="Arial" w:eastAsia="Arial" w:hAnsi="Arial"/>
                <w:sz w:val="16"/>
                <w:szCs w:val="16"/>
                <w:b w:val="1"/>
                <w:bCs w:val="1"/>
                <w:color w:val="FFFFFF"/>
              </w:rPr>
              <w:t>2019</w:t>
            </w:r>
          </w:p>
        </w:tc>
        <w:tc>
          <w:tcPr>
            <w:tcW w:w="1600" w:type="dxa"/>
            <w:vAlign w:val="bottom"/>
            <w:gridSpan w:val="2"/>
            <w:vMerge w:val="continue"/>
            <w:shd w:val="clear" w:color="auto" w:fill="0F243E"/>
          </w:tcPr>
          <w:p>
            <w:pPr>
              <w:spacing w:after="0"/>
              <w:rPr>
                <w:sz w:val="17"/>
                <w:szCs w:val="17"/>
                <w:color w:val="auto"/>
              </w:rPr>
            </w:pPr>
          </w:p>
        </w:tc>
        <w:tc>
          <w:tcPr>
            <w:tcW w:w="580" w:type="dxa"/>
            <w:vAlign w:val="bottom"/>
            <w:shd w:val="clear" w:color="auto" w:fill="0F243E"/>
          </w:tcPr>
          <w:p>
            <w:pPr>
              <w:spacing w:after="0"/>
              <w:rPr>
                <w:sz w:val="17"/>
                <w:szCs w:val="17"/>
                <w:color w:val="auto"/>
              </w:rPr>
            </w:pPr>
          </w:p>
        </w:tc>
        <w:tc>
          <w:tcPr>
            <w:tcW w:w="1780" w:type="dxa"/>
            <w:vAlign w:val="bottom"/>
            <w:vMerge w:val="continue"/>
            <w:shd w:val="clear" w:color="auto" w:fill="0F243E"/>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26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Net Loss</w:t>
            </w:r>
          </w:p>
        </w:tc>
        <w:tc>
          <w:tcPr>
            <w:tcW w:w="1600" w:type="dxa"/>
            <w:vAlign w:val="bottom"/>
            <w:gridSpan w:val="2"/>
            <w:shd w:val="clear" w:color="auto" w:fill="CCCCCC"/>
          </w:tcPr>
          <w:p>
            <w:pPr>
              <w:jc w:val="right"/>
              <w:ind w:right="1040"/>
              <w:spacing w:after="0"/>
              <w:rPr>
                <w:sz w:val="20"/>
                <w:szCs w:val="20"/>
                <w:color w:val="auto"/>
              </w:rPr>
            </w:pPr>
            <w:r>
              <w:rPr>
                <w:rFonts w:ascii="Arial" w:cs="Arial" w:eastAsia="Arial" w:hAnsi="Arial"/>
                <w:sz w:val="16"/>
                <w:szCs w:val="16"/>
                <w:b w:val="1"/>
                <w:bCs w:val="1"/>
                <w:color w:val="auto"/>
              </w:rPr>
              <w:t>($26.0)</w:t>
            </w:r>
          </w:p>
        </w:tc>
        <w:tc>
          <w:tcPr>
            <w:tcW w:w="58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($4.9)</w:t>
            </w:r>
          </w:p>
        </w:tc>
        <w:tc>
          <w:tcPr>
            <w:tcW w:w="178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260" w:type="dxa"/>
            <w:vAlign w:val="bottom"/>
            <w:gridSpan w:val="2"/>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500" w:type="dxa"/>
            <w:vAlign w:val="bottom"/>
            <w:shd w:val="clear" w:color="auto" w:fill="CCCCCC"/>
          </w:tcPr>
          <w:p>
            <w:pPr>
              <w:spacing w:after="0"/>
              <w:rPr>
                <w:sz w:val="23"/>
                <w:szCs w:val="23"/>
                <w:color w:val="auto"/>
              </w:rPr>
            </w:pPr>
          </w:p>
        </w:tc>
        <w:tc>
          <w:tcPr>
            <w:tcW w:w="1100" w:type="dxa"/>
            <w:vAlign w:val="bottom"/>
            <w:shd w:val="clear" w:color="auto" w:fill="CCCCCC"/>
          </w:tcPr>
          <w:p>
            <w:pPr>
              <w:spacing w:after="0"/>
              <w:rPr>
                <w:sz w:val="23"/>
                <w:szCs w:val="23"/>
                <w:color w:val="auto"/>
              </w:rPr>
            </w:pPr>
          </w:p>
        </w:tc>
        <w:tc>
          <w:tcPr>
            <w:tcW w:w="580" w:type="dxa"/>
            <w:vAlign w:val="bottom"/>
            <w:shd w:val="clear" w:color="auto" w:fill="CCCCCC"/>
          </w:tcPr>
          <w:p>
            <w:pPr>
              <w:spacing w:after="0"/>
              <w:rPr>
                <w:sz w:val="23"/>
                <w:szCs w:val="23"/>
                <w:color w:val="auto"/>
              </w:rPr>
            </w:pPr>
          </w:p>
        </w:tc>
        <w:tc>
          <w:tcPr>
            <w:tcW w:w="178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1080" w:type="dxa"/>
            <w:vAlign w:val="bottom"/>
            <w:shd w:val="clear" w:color="auto" w:fill="CCCCCC"/>
          </w:tcPr>
          <w:p>
            <w:pPr>
              <w:spacing w:after="0"/>
              <w:rPr>
                <w:sz w:val="22"/>
                <w:szCs w:val="22"/>
                <w:color w:val="auto"/>
              </w:rPr>
            </w:pPr>
          </w:p>
        </w:tc>
        <w:tc>
          <w:tcPr>
            <w:tcW w:w="1600" w:type="dxa"/>
            <w:vAlign w:val="bottom"/>
            <w:gridSpan w:val="2"/>
            <w:shd w:val="clear" w:color="auto" w:fill="CCCCCC"/>
          </w:tcPr>
          <w:p>
            <w:pPr>
              <w:jc w:val="right"/>
              <w:ind w:right="1100"/>
              <w:spacing w:after="0"/>
              <w:rPr>
                <w:sz w:val="20"/>
                <w:szCs w:val="20"/>
                <w:color w:val="auto"/>
              </w:rPr>
            </w:pPr>
            <w:r>
              <w:rPr>
                <w:rFonts w:ascii="Arial" w:cs="Arial" w:eastAsia="Arial" w:hAnsi="Arial"/>
                <w:sz w:val="16"/>
                <w:szCs w:val="16"/>
                <w:b w:val="1"/>
                <w:bCs w:val="1"/>
                <w:color w:val="auto"/>
              </w:rPr>
              <w:t>4.0</w:t>
            </w:r>
          </w:p>
        </w:tc>
        <w:tc>
          <w:tcPr>
            <w:tcW w:w="5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0.2</w:t>
            </w: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251"/>
        </w:trPr>
        <w:tc>
          <w:tcPr>
            <w:tcW w:w="6180" w:type="dxa"/>
            <w:vAlign w:val="bottom"/>
            <w:vMerge w:val="restart"/>
            <w:shd w:val="clear" w:color="auto" w:fill="CCCCCC"/>
          </w:tcPr>
          <w:p>
            <w:pPr>
              <w:ind w:left="300"/>
              <w:spacing w:after="0"/>
              <w:rPr>
                <w:sz w:val="20"/>
                <w:szCs w:val="20"/>
                <w:color w:val="auto"/>
              </w:rPr>
            </w:pPr>
            <w:r>
              <w:rPr>
                <w:rFonts w:ascii="Arial" w:cs="Arial" w:eastAsia="Arial" w:hAnsi="Arial"/>
                <w:sz w:val="16"/>
                <w:szCs w:val="16"/>
                <w:color w:val="auto"/>
              </w:rPr>
              <w:t>+ Non-cash amortization charges</w:t>
            </w:r>
          </w:p>
        </w:tc>
        <w:tc>
          <w:tcPr>
            <w:tcW w:w="1080" w:type="dxa"/>
            <w:vAlign w:val="bottom"/>
            <w:shd w:val="clear" w:color="auto" w:fill="CCCCCC"/>
          </w:tcPr>
          <w:p>
            <w:pPr>
              <w:spacing w:after="0"/>
              <w:rPr>
                <w:sz w:val="21"/>
                <w:szCs w:val="21"/>
                <w:color w:val="auto"/>
              </w:rPr>
            </w:pPr>
          </w:p>
        </w:tc>
        <w:tc>
          <w:tcPr>
            <w:tcW w:w="500" w:type="dxa"/>
            <w:vAlign w:val="bottom"/>
            <w:vMerge w:val="restart"/>
            <w:shd w:val="clear" w:color="auto" w:fill="CCCCCC"/>
          </w:tcPr>
          <w:p>
            <w:pPr>
              <w:jc w:val="right"/>
              <w:spacing w:after="0"/>
              <w:rPr>
                <w:sz w:val="20"/>
                <w:szCs w:val="20"/>
                <w:color w:val="auto"/>
              </w:rPr>
            </w:pPr>
            <w:r>
              <w:rPr>
                <w:rFonts w:ascii="Arial" w:cs="Arial" w:eastAsia="Arial" w:hAnsi="Arial"/>
                <w:sz w:val="16"/>
                <w:szCs w:val="16"/>
                <w:b w:val="1"/>
                <w:bCs w:val="1"/>
                <w:color w:val="auto"/>
              </w:rPr>
              <w:t>15.3</w:t>
            </w:r>
          </w:p>
        </w:tc>
        <w:tc>
          <w:tcPr>
            <w:tcW w:w="1100" w:type="dxa"/>
            <w:vAlign w:val="bottom"/>
            <w:shd w:val="clear" w:color="auto" w:fill="CCCCCC"/>
          </w:tcPr>
          <w:p>
            <w:pPr>
              <w:spacing w:after="0"/>
              <w:rPr>
                <w:sz w:val="21"/>
                <w:szCs w:val="21"/>
                <w:color w:val="auto"/>
              </w:rPr>
            </w:pPr>
          </w:p>
        </w:tc>
        <w:tc>
          <w:tcPr>
            <w:tcW w:w="580" w:type="dxa"/>
            <w:vAlign w:val="bottom"/>
            <w:vMerge w:val="restart"/>
            <w:shd w:val="clear" w:color="auto" w:fill="CCCCCC"/>
          </w:tcPr>
          <w:p>
            <w:pPr>
              <w:jc w:val="right"/>
              <w:ind w:right="39"/>
              <w:spacing w:after="0"/>
              <w:rPr>
                <w:sz w:val="20"/>
                <w:szCs w:val="20"/>
                <w:color w:val="auto"/>
              </w:rPr>
            </w:pPr>
            <w:r>
              <w:rPr>
                <w:rFonts w:ascii="Arial" w:cs="Arial" w:eastAsia="Arial" w:hAnsi="Arial"/>
                <w:sz w:val="16"/>
                <w:szCs w:val="16"/>
                <w:color w:val="auto"/>
              </w:rPr>
              <w:t>4.0</w:t>
            </w: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COGS, SG&amp;A, Other</w:t>
            </w:r>
          </w:p>
        </w:tc>
        <w:tc>
          <w:tcPr>
            <w:tcW w:w="0" w:type="dxa"/>
            <w:vAlign w:val="bottom"/>
          </w:tcPr>
          <w:p>
            <w:pPr>
              <w:spacing w:after="0"/>
              <w:rPr>
                <w:sz w:val="1"/>
                <w:szCs w:val="1"/>
                <w:color w:val="auto"/>
              </w:rPr>
            </w:pPr>
          </w:p>
        </w:tc>
      </w:tr>
      <w:tr>
        <w:trPr>
          <w:trHeight w:val="100"/>
        </w:trPr>
        <w:tc>
          <w:tcPr>
            <w:tcW w:w="6180" w:type="dxa"/>
            <w:vAlign w:val="bottom"/>
            <w:vMerge w:val="continue"/>
            <w:shd w:val="clear" w:color="auto" w:fill="CCCCCC"/>
          </w:tcPr>
          <w:p>
            <w:pPr>
              <w:spacing w:after="0"/>
              <w:rPr>
                <w:sz w:val="8"/>
                <w:szCs w:val="8"/>
                <w:color w:val="auto"/>
              </w:rPr>
            </w:pPr>
          </w:p>
        </w:tc>
        <w:tc>
          <w:tcPr>
            <w:tcW w:w="1080" w:type="dxa"/>
            <w:vAlign w:val="bottom"/>
            <w:shd w:val="clear" w:color="auto" w:fill="CCCCCC"/>
          </w:tcPr>
          <w:p>
            <w:pPr>
              <w:spacing w:after="0"/>
              <w:rPr>
                <w:sz w:val="8"/>
                <w:szCs w:val="8"/>
                <w:color w:val="auto"/>
              </w:rPr>
            </w:pPr>
          </w:p>
        </w:tc>
        <w:tc>
          <w:tcPr>
            <w:tcW w:w="500" w:type="dxa"/>
            <w:vAlign w:val="bottom"/>
            <w:vMerge w:val="continue"/>
            <w:shd w:val="clear" w:color="auto" w:fill="CCCCCC"/>
          </w:tcPr>
          <w:p>
            <w:pPr>
              <w:spacing w:after="0"/>
              <w:rPr>
                <w:sz w:val="8"/>
                <w:szCs w:val="8"/>
                <w:color w:val="auto"/>
              </w:rPr>
            </w:pPr>
          </w:p>
        </w:tc>
        <w:tc>
          <w:tcPr>
            <w:tcW w:w="1100" w:type="dxa"/>
            <w:vAlign w:val="bottom"/>
            <w:shd w:val="clear" w:color="auto" w:fill="CCCCCC"/>
          </w:tcPr>
          <w:p>
            <w:pPr>
              <w:spacing w:after="0"/>
              <w:rPr>
                <w:sz w:val="8"/>
                <w:szCs w:val="8"/>
                <w:color w:val="auto"/>
              </w:rPr>
            </w:pPr>
          </w:p>
        </w:tc>
        <w:tc>
          <w:tcPr>
            <w:tcW w:w="580" w:type="dxa"/>
            <w:vAlign w:val="bottom"/>
            <w:vMerge w:val="continue"/>
            <w:shd w:val="clear" w:color="auto" w:fill="CCCCCC"/>
          </w:tcPr>
          <w:p>
            <w:pPr>
              <w:spacing w:after="0"/>
              <w:rPr>
                <w:sz w:val="8"/>
                <w:szCs w:val="8"/>
                <w:color w:val="auto"/>
              </w:rPr>
            </w:pPr>
          </w:p>
        </w:tc>
        <w:tc>
          <w:tcPr>
            <w:tcW w:w="17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95"/>
        </w:trPr>
        <w:tc>
          <w:tcPr>
            <w:tcW w:w="6180" w:type="dxa"/>
            <w:vAlign w:val="bottom"/>
            <w:shd w:val="clear" w:color="auto" w:fill="CCCCCC"/>
          </w:tcPr>
          <w:p>
            <w:pPr>
              <w:spacing w:after="0"/>
              <w:rPr>
                <w:sz w:val="8"/>
                <w:szCs w:val="8"/>
                <w:color w:val="auto"/>
              </w:rPr>
            </w:pPr>
          </w:p>
        </w:tc>
        <w:tc>
          <w:tcPr>
            <w:tcW w:w="1080" w:type="dxa"/>
            <w:vAlign w:val="bottom"/>
            <w:shd w:val="clear" w:color="auto" w:fill="CCCCCC"/>
          </w:tcPr>
          <w:p>
            <w:pPr>
              <w:spacing w:after="0"/>
              <w:rPr>
                <w:sz w:val="8"/>
                <w:szCs w:val="8"/>
                <w:color w:val="auto"/>
              </w:rPr>
            </w:pPr>
          </w:p>
        </w:tc>
        <w:tc>
          <w:tcPr>
            <w:tcW w:w="500" w:type="dxa"/>
            <w:vAlign w:val="bottom"/>
            <w:shd w:val="clear" w:color="auto" w:fill="CCCCCC"/>
          </w:tcPr>
          <w:p>
            <w:pPr>
              <w:spacing w:after="0"/>
              <w:rPr>
                <w:sz w:val="8"/>
                <w:szCs w:val="8"/>
                <w:color w:val="auto"/>
              </w:rPr>
            </w:pPr>
          </w:p>
        </w:tc>
        <w:tc>
          <w:tcPr>
            <w:tcW w:w="1100" w:type="dxa"/>
            <w:vAlign w:val="bottom"/>
            <w:shd w:val="clear" w:color="auto" w:fill="CCCCCC"/>
          </w:tcPr>
          <w:p>
            <w:pPr>
              <w:spacing w:after="0"/>
              <w:rPr>
                <w:sz w:val="8"/>
                <w:szCs w:val="8"/>
                <w:color w:val="auto"/>
              </w:rPr>
            </w:pPr>
          </w:p>
        </w:tc>
        <w:tc>
          <w:tcPr>
            <w:tcW w:w="580" w:type="dxa"/>
            <w:vAlign w:val="bottom"/>
            <w:shd w:val="clear" w:color="auto" w:fill="CCCCCC"/>
          </w:tcPr>
          <w:p>
            <w:pPr>
              <w:spacing w:after="0"/>
              <w:rPr>
                <w:sz w:val="8"/>
                <w:szCs w:val="8"/>
                <w:color w:val="auto"/>
              </w:rPr>
            </w:pPr>
          </w:p>
        </w:tc>
        <w:tc>
          <w:tcPr>
            <w:tcW w:w="1780" w:type="dxa"/>
            <w:vAlign w:val="bottom"/>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1080" w:type="dxa"/>
            <w:vAlign w:val="bottom"/>
            <w:shd w:val="clear" w:color="auto" w:fill="CCCCCC"/>
          </w:tcPr>
          <w:p>
            <w:pPr>
              <w:spacing w:after="0"/>
              <w:rPr>
                <w:sz w:val="22"/>
                <w:szCs w:val="22"/>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5.0</w:t>
            </w:r>
          </w:p>
        </w:tc>
        <w:tc>
          <w:tcPr>
            <w:tcW w:w="1100" w:type="dxa"/>
            <w:vAlign w:val="bottom"/>
            <w:shd w:val="clear" w:color="auto" w:fill="CCCCCC"/>
          </w:tcPr>
          <w:p>
            <w:pPr>
              <w:spacing w:after="0"/>
              <w:rPr>
                <w:sz w:val="22"/>
                <w:szCs w:val="22"/>
                <w:color w:val="auto"/>
              </w:rPr>
            </w:pPr>
          </w:p>
        </w:tc>
        <w:tc>
          <w:tcPr>
            <w:tcW w:w="5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270"/>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1080" w:type="dxa"/>
            <w:vAlign w:val="bottom"/>
            <w:shd w:val="clear" w:color="auto" w:fill="CCCCCC"/>
          </w:tcPr>
          <w:p>
            <w:pPr>
              <w:spacing w:after="0"/>
              <w:rPr>
                <w:sz w:val="23"/>
                <w:szCs w:val="23"/>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(5.1)</w:t>
            </w:r>
          </w:p>
        </w:tc>
        <w:tc>
          <w:tcPr>
            <w:tcW w:w="1100" w:type="dxa"/>
            <w:vAlign w:val="bottom"/>
            <w:shd w:val="clear" w:color="auto" w:fill="CCCCCC"/>
          </w:tcPr>
          <w:p>
            <w:pPr>
              <w:spacing w:after="0"/>
              <w:rPr>
                <w:sz w:val="23"/>
                <w:szCs w:val="23"/>
                <w:color w:val="auto"/>
              </w:rPr>
            </w:pPr>
          </w:p>
        </w:tc>
        <w:tc>
          <w:tcPr>
            <w:tcW w:w="5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(0.9)</w:t>
            </w:r>
          </w:p>
        </w:tc>
        <w:tc>
          <w:tcPr>
            <w:tcW w:w="178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1080" w:type="dxa"/>
            <w:vAlign w:val="bottom"/>
            <w:shd w:val="clear" w:color="auto" w:fill="CCCCCC"/>
          </w:tcPr>
          <w:p>
            <w:pPr>
              <w:spacing w:after="0"/>
              <w:rPr>
                <w:sz w:val="24"/>
                <w:szCs w:val="24"/>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19.2</w:t>
            </w:r>
          </w:p>
        </w:tc>
        <w:tc>
          <w:tcPr>
            <w:tcW w:w="1100" w:type="dxa"/>
            <w:vAlign w:val="bottom"/>
            <w:shd w:val="clear" w:color="auto" w:fill="CCCCCC"/>
          </w:tcPr>
          <w:p>
            <w:pPr>
              <w:spacing w:after="0"/>
              <w:rPr>
                <w:sz w:val="24"/>
                <w:szCs w:val="24"/>
                <w:color w:val="auto"/>
              </w:rPr>
            </w:pPr>
          </w:p>
        </w:tc>
        <w:tc>
          <w:tcPr>
            <w:tcW w:w="580" w:type="dxa"/>
            <w:vAlign w:val="bottom"/>
            <w:shd w:val="clear" w:color="auto" w:fill="CCCCCC"/>
          </w:tcPr>
          <w:p>
            <w:pPr>
              <w:jc w:val="right"/>
              <w:ind w:right="39"/>
              <w:spacing w:after="0"/>
              <w:rPr>
                <w:sz w:val="20"/>
                <w:szCs w:val="20"/>
                <w:color w:val="auto"/>
              </w:rPr>
            </w:pPr>
            <w:r>
              <w:rPr>
                <w:rFonts w:ascii="Arial" w:cs="Arial" w:eastAsia="Arial" w:hAnsi="Arial"/>
                <w:sz w:val="16"/>
                <w:szCs w:val="16"/>
                <w:color w:val="auto"/>
              </w:rPr>
              <w:t>3.3</w:t>
            </w:r>
          </w:p>
        </w:tc>
        <w:tc>
          <w:tcPr>
            <w:tcW w:w="178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Loss</w:t>
            </w:r>
          </w:p>
        </w:tc>
        <w:tc>
          <w:tcPr>
            <w:tcW w:w="1080" w:type="dxa"/>
            <w:vAlign w:val="bottom"/>
            <w:shd w:val="clear" w:color="auto" w:fill="CCCCCC"/>
          </w:tcPr>
          <w:p>
            <w:pPr>
              <w:spacing w:after="0"/>
              <w:rPr>
                <w:sz w:val="24"/>
                <w:szCs w:val="24"/>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($6.8)</w:t>
            </w:r>
          </w:p>
        </w:tc>
        <w:tc>
          <w:tcPr>
            <w:tcW w:w="1100" w:type="dxa"/>
            <w:vAlign w:val="bottom"/>
            <w:shd w:val="clear" w:color="auto" w:fill="CCCCCC"/>
          </w:tcPr>
          <w:p>
            <w:pPr>
              <w:spacing w:after="0"/>
              <w:rPr>
                <w:sz w:val="24"/>
                <w:szCs w:val="24"/>
                <w:color w:val="auto"/>
              </w:rPr>
            </w:pPr>
          </w:p>
        </w:tc>
        <w:tc>
          <w:tcPr>
            <w:tcW w:w="5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($1.6)</w:t>
            </w:r>
          </w:p>
        </w:tc>
        <w:tc>
          <w:tcPr>
            <w:tcW w:w="178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Loss Per Diluted Share</w:t>
            </w:r>
          </w:p>
        </w:tc>
        <w:tc>
          <w:tcPr>
            <w:tcW w:w="1080" w:type="dxa"/>
            <w:vAlign w:val="bottom"/>
            <w:shd w:val="clear" w:color="auto" w:fill="CCCCCC"/>
          </w:tcPr>
          <w:p>
            <w:pPr>
              <w:spacing w:after="0"/>
              <w:rPr>
                <w:sz w:val="24"/>
                <w:szCs w:val="24"/>
                <w:color w:val="auto"/>
              </w:rPr>
            </w:pPr>
          </w:p>
        </w:tc>
        <w:tc>
          <w:tcPr>
            <w:tcW w:w="5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w w:val="94"/>
              </w:rPr>
              <w:t>($0.13)</w:t>
            </w:r>
          </w:p>
        </w:tc>
        <w:tc>
          <w:tcPr>
            <w:tcW w:w="1100" w:type="dxa"/>
            <w:vAlign w:val="bottom"/>
            <w:shd w:val="clear" w:color="auto" w:fill="CCCCCC"/>
          </w:tcPr>
          <w:p>
            <w:pPr>
              <w:spacing w:after="0"/>
              <w:rPr>
                <w:sz w:val="24"/>
                <w:szCs w:val="24"/>
                <w:color w:val="auto"/>
              </w:rPr>
            </w:pPr>
          </w:p>
        </w:tc>
        <w:tc>
          <w:tcPr>
            <w:tcW w:w="58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w w:val="86"/>
              </w:rPr>
              <w:t>($0.03)</w:t>
            </w:r>
          </w:p>
        </w:tc>
        <w:tc>
          <w:tcPr>
            <w:tcW w:w="178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180" w:type="dxa"/>
            <w:vAlign w:val="bottom"/>
            <w:shd w:val="clear" w:color="auto" w:fill="CCCCCC"/>
          </w:tcPr>
          <w:p>
            <w:pPr>
              <w:spacing w:after="0"/>
              <w:rPr>
                <w:sz w:val="2"/>
                <w:szCs w:val="2"/>
                <w:color w:val="auto"/>
              </w:rPr>
            </w:pPr>
          </w:p>
        </w:tc>
        <w:tc>
          <w:tcPr>
            <w:tcW w:w="1080" w:type="dxa"/>
            <w:vAlign w:val="bottom"/>
            <w:shd w:val="clear" w:color="auto" w:fill="CCCCCC"/>
          </w:tcPr>
          <w:p>
            <w:pPr>
              <w:spacing w:after="0"/>
              <w:rPr>
                <w:sz w:val="2"/>
                <w:szCs w:val="2"/>
                <w:color w:val="auto"/>
              </w:rPr>
            </w:pPr>
          </w:p>
        </w:tc>
        <w:tc>
          <w:tcPr>
            <w:tcW w:w="500" w:type="dxa"/>
            <w:vAlign w:val="bottom"/>
            <w:shd w:val="clear" w:color="auto" w:fill="CCCCCC"/>
          </w:tcPr>
          <w:p>
            <w:pPr>
              <w:spacing w:after="0"/>
              <w:rPr>
                <w:sz w:val="2"/>
                <w:szCs w:val="2"/>
                <w:color w:val="auto"/>
              </w:rPr>
            </w:pPr>
          </w:p>
        </w:tc>
        <w:tc>
          <w:tcPr>
            <w:tcW w:w="1100" w:type="dxa"/>
            <w:vAlign w:val="bottom"/>
            <w:shd w:val="clear" w:color="auto" w:fill="CCCCCC"/>
          </w:tcPr>
          <w:p>
            <w:pPr>
              <w:spacing w:after="0"/>
              <w:rPr>
                <w:sz w:val="2"/>
                <w:szCs w:val="2"/>
                <w:color w:val="auto"/>
              </w:rPr>
            </w:pPr>
          </w:p>
        </w:tc>
        <w:tc>
          <w:tcPr>
            <w:tcW w:w="580" w:type="dxa"/>
            <w:vAlign w:val="bottom"/>
            <w:shd w:val="clear" w:color="auto" w:fill="CCCCCC"/>
          </w:tcPr>
          <w:p>
            <w:pPr>
              <w:spacing w:after="0"/>
              <w:rPr>
                <w:sz w:val="2"/>
                <w:szCs w:val="2"/>
                <w:color w:val="auto"/>
              </w:rPr>
            </w:pPr>
          </w:p>
        </w:tc>
        <w:tc>
          <w:tcPr>
            <w:tcW w:w="1780" w:type="dxa"/>
            <w:vAlign w:val="bottom"/>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8 of 9</w:t>
      </w:r>
    </w:p>
    <w:p>
      <w:pPr>
        <w:sectPr>
          <w:pgSz w:w="11900" w:h="16838" w:orient="portrait"/>
          <w:cols w:equalWidth="0" w:num="1">
            <w:col w:w="11400"/>
          </w:cols>
          <w:pgMar w:left="240" w:top="1440" w:right="259" w:bottom="1440" w:gutter="0" w:footer="0" w:header="0"/>
        </w:sectPr>
      </w:pPr>
    </w:p>
    <w:bookmarkStart w:id="10" w:name="page11"/>
    <w:bookmarkEnd w:id="10"/>
    <w:p>
      <w:pPr>
        <w:spacing w:after="0" w:line="2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208915</wp:posOffset>
            </wp:positionH>
            <wp:positionV relativeFrom="page">
              <wp:posOffset>226060</wp:posOffset>
            </wp:positionV>
            <wp:extent cx="7195185" cy="2984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5185" cy="298450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11"/>
        </w:trPr>
        <w:tc>
          <w:tcPr>
            <w:tcW w:w="6180" w:type="dxa"/>
            <w:vAlign w:val="bottom"/>
            <w:shd w:val="clear" w:color="auto" w:fill="0F243E"/>
          </w:tcPr>
          <w:p>
            <w:pPr>
              <w:spacing w:after="0"/>
              <w:rPr>
                <w:sz w:val="18"/>
                <w:szCs w:val="18"/>
                <w:color w:val="auto"/>
              </w:rPr>
            </w:pPr>
          </w:p>
        </w:tc>
        <w:tc>
          <w:tcPr>
            <w:tcW w:w="2020" w:type="dxa"/>
            <w:vAlign w:val="bottom"/>
            <w:shd w:val="clear" w:color="auto" w:fill="0F243E"/>
          </w:tcPr>
          <w:p>
            <w:pPr>
              <w:spacing w:after="0"/>
              <w:rPr>
                <w:sz w:val="18"/>
                <w:szCs w:val="18"/>
                <w:color w:val="auto"/>
              </w:rPr>
            </w:pPr>
          </w:p>
        </w:tc>
        <w:tc>
          <w:tcPr>
            <w:tcW w:w="1240" w:type="dxa"/>
            <w:vAlign w:val="bottom"/>
            <w:shd w:val="clear" w:color="auto" w:fill="0F243E"/>
          </w:tcPr>
          <w:p>
            <w:pPr>
              <w:jc w:val="right"/>
              <w:ind w:right="319"/>
              <w:spacing w:after="0"/>
              <w:rPr>
                <w:sz w:val="20"/>
                <w:szCs w:val="20"/>
                <w:color w:val="auto"/>
              </w:rPr>
            </w:pPr>
            <w:r>
              <w:rPr>
                <w:rFonts w:ascii="Arial" w:cs="Arial" w:eastAsia="Arial" w:hAnsi="Arial"/>
                <w:sz w:val="16"/>
                <w:szCs w:val="16"/>
                <w:b w:val="1"/>
                <w:bCs w:val="1"/>
                <w:color w:val="FFFFFF"/>
              </w:rPr>
              <w:t>Full Year</w:t>
            </w:r>
          </w:p>
        </w:tc>
        <w:tc>
          <w:tcPr>
            <w:tcW w:w="1780" w:type="dxa"/>
            <w:vAlign w:val="bottom"/>
            <w:shd w:val="clear" w:color="auto" w:fill="0F243E"/>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8200" w:type="dxa"/>
            <w:vAlign w:val="bottom"/>
            <w:gridSpan w:val="2"/>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1240" w:type="dxa"/>
            <w:vAlign w:val="bottom"/>
            <w:shd w:val="clear" w:color="auto" w:fill="0F243E"/>
          </w:tcPr>
          <w:p>
            <w:pPr>
              <w:jc w:val="right"/>
              <w:ind w:right="319"/>
              <w:spacing w:after="0"/>
              <w:rPr>
                <w:sz w:val="20"/>
                <w:szCs w:val="20"/>
                <w:color w:val="auto"/>
              </w:rPr>
            </w:pPr>
            <w:r>
              <w:rPr>
                <w:rFonts w:ascii="Arial" w:cs="Arial" w:eastAsia="Arial" w:hAnsi="Arial"/>
                <w:sz w:val="16"/>
                <w:szCs w:val="16"/>
                <w:b w:val="1"/>
                <w:bCs w:val="1"/>
                <w:color w:val="FFFFFF"/>
              </w:rPr>
              <w:t>Forecast</w:t>
            </w:r>
          </w:p>
        </w:tc>
        <w:tc>
          <w:tcPr>
            <w:tcW w:w="1780" w:type="dxa"/>
            <w:vAlign w:val="bottom"/>
            <w:shd w:val="clear" w:color="auto" w:fill="0F243E"/>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180" w:type="dxa"/>
            <w:vAlign w:val="bottom"/>
            <w:shd w:val="clear" w:color="auto" w:fill="0F243E"/>
          </w:tcPr>
          <w:p>
            <w:pPr>
              <w:spacing w:after="0"/>
              <w:rPr>
                <w:sz w:val="21"/>
                <w:szCs w:val="21"/>
                <w:color w:val="auto"/>
              </w:rPr>
            </w:pPr>
          </w:p>
        </w:tc>
        <w:tc>
          <w:tcPr>
            <w:tcW w:w="2020" w:type="dxa"/>
            <w:vAlign w:val="bottom"/>
            <w:shd w:val="clear" w:color="auto" w:fill="0F243E"/>
          </w:tcPr>
          <w:p>
            <w:pPr>
              <w:ind w:left="1400"/>
              <w:spacing w:after="0"/>
              <w:rPr>
                <w:sz w:val="20"/>
                <w:szCs w:val="20"/>
                <w:color w:val="auto"/>
              </w:rPr>
            </w:pPr>
            <w:r>
              <w:rPr>
                <w:rFonts w:ascii="Arial" w:cs="Arial" w:eastAsia="Arial" w:hAnsi="Arial"/>
                <w:sz w:val="16"/>
                <w:szCs w:val="16"/>
                <w:b w:val="1"/>
                <w:bCs w:val="1"/>
                <w:color w:val="FFFFFF"/>
              </w:rPr>
              <w:t>2019F</w:t>
            </w:r>
          </w:p>
        </w:tc>
        <w:tc>
          <w:tcPr>
            <w:tcW w:w="1240" w:type="dxa"/>
            <w:vAlign w:val="bottom"/>
            <w:shd w:val="clear" w:color="auto" w:fill="0F243E"/>
          </w:tcPr>
          <w:p>
            <w:pPr>
              <w:spacing w:after="0"/>
              <w:rPr>
                <w:sz w:val="21"/>
                <w:szCs w:val="21"/>
                <w:color w:val="auto"/>
              </w:rPr>
            </w:pPr>
          </w:p>
        </w:tc>
        <w:tc>
          <w:tcPr>
            <w:tcW w:w="1780" w:type="dxa"/>
            <w:vAlign w:val="bottom"/>
            <w:shd w:val="clear" w:color="auto" w:fill="0F243E"/>
          </w:tcPr>
          <w:p>
            <w:pPr>
              <w:jc w:val="right"/>
              <w:ind w:right="539"/>
              <w:spacing w:after="0"/>
              <w:rPr>
                <w:sz w:val="20"/>
                <w:szCs w:val="20"/>
                <w:color w:val="auto"/>
              </w:rPr>
            </w:pPr>
            <w:r>
              <w:rPr>
                <w:rFonts w:ascii="Arial" w:cs="Arial" w:eastAsia="Arial" w:hAnsi="Arial"/>
                <w:sz w:val="16"/>
                <w:szCs w:val="16"/>
                <w:b w:val="1"/>
                <w:bCs w:val="1"/>
                <w:color w:val="FFFFFF"/>
              </w:rPr>
              <w:t>Source</w:t>
            </w:r>
          </w:p>
        </w:tc>
        <w:tc>
          <w:tcPr>
            <w:tcW w:w="0" w:type="dxa"/>
            <w:vAlign w:val="bottom"/>
          </w:tcPr>
          <w:p>
            <w:pPr>
              <w:spacing w:after="0"/>
              <w:rPr>
                <w:sz w:val="1"/>
                <w:szCs w:val="1"/>
                <w:color w:val="auto"/>
              </w:rPr>
            </w:pPr>
          </w:p>
        </w:tc>
      </w:tr>
      <w:tr>
        <w:trPr>
          <w:trHeight w:val="251"/>
        </w:trPr>
        <w:tc>
          <w:tcPr>
            <w:tcW w:w="8200" w:type="dxa"/>
            <w:vAlign w:val="bottom"/>
            <w:gridSpan w:val="2"/>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12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$80 - $110</w:t>
            </w:r>
          </w:p>
        </w:tc>
        <w:tc>
          <w:tcPr>
            <w:tcW w:w="1780" w:type="dxa"/>
            <w:vAlign w:val="bottom"/>
            <w:shd w:val="clear" w:color="auto" w:fill="CCCC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200" w:type="dxa"/>
            <w:vAlign w:val="bottom"/>
            <w:gridSpan w:val="2"/>
            <w:shd w:val="clear" w:color="auto" w:fill="CCCCCC"/>
          </w:tcPr>
          <w:p>
            <w:pPr>
              <w:ind w:left="40"/>
              <w:spacing w:after="0"/>
              <w:rPr>
                <w:sz w:val="20"/>
                <w:szCs w:val="20"/>
                <w:color w:val="auto"/>
              </w:rPr>
            </w:pPr>
            <w:r>
              <w:rPr>
                <w:rFonts w:ascii="Arial" w:cs="Arial" w:eastAsia="Arial" w:hAnsi="Arial"/>
                <w:sz w:val="16"/>
                <w:szCs w:val="16"/>
                <w:color w:val="auto"/>
              </w:rPr>
              <w:t>Adjustments:</w:t>
            </w:r>
          </w:p>
        </w:tc>
        <w:tc>
          <w:tcPr>
            <w:tcW w:w="1240" w:type="dxa"/>
            <w:vAlign w:val="bottom"/>
            <w:shd w:val="clear" w:color="auto" w:fill="CCCCCC"/>
          </w:tcPr>
          <w:p>
            <w:pPr>
              <w:spacing w:after="0"/>
              <w:rPr>
                <w:sz w:val="23"/>
                <w:szCs w:val="23"/>
                <w:color w:val="auto"/>
              </w:rPr>
            </w:pPr>
          </w:p>
        </w:tc>
        <w:tc>
          <w:tcPr>
            <w:tcW w:w="178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2020" w:type="dxa"/>
            <w:vAlign w:val="bottom"/>
            <w:shd w:val="clear" w:color="auto" w:fill="CCCCCC"/>
          </w:tcPr>
          <w:p>
            <w:pPr>
              <w:spacing w:after="0"/>
              <w:rPr>
                <w:sz w:val="22"/>
                <w:szCs w:val="22"/>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14</w:t>
            </w: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251"/>
        </w:trPr>
        <w:tc>
          <w:tcPr>
            <w:tcW w:w="6180" w:type="dxa"/>
            <w:vAlign w:val="bottom"/>
            <w:vMerge w:val="restart"/>
            <w:shd w:val="clear" w:color="auto" w:fill="CCCCCC"/>
          </w:tcPr>
          <w:p>
            <w:pPr>
              <w:ind w:left="300"/>
              <w:spacing w:after="0"/>
              <w:rPr>
                <w:sz w:val="20"/>
                <w:szCs w:val="20"/>
                <w:color w:val="auto"/>
              </w:rPr>
            </w:pPr>
            <w:r>
              <w:rPr>
                <w:rFonts w:ascii="Arial" w:cs="Arial" w:eastAsia="Arial" w:hAnsi="Arial"/>
                <w:sz w:val="16"/>
                <w:szCs w:val="16"/>
                <w:color w:val="auto"/>
              </w:rPr>
              <w:t>+ Non-cash amortization charges</w:t>
            </w:r>
          </w:p>
        </w:tc>
        <w:tc>
          <w:tcPr>
            <w:tcW w:w="2020" w:type="dxa"/>
            <w:vAlign w:val="bottom"/>
            <w:shd w:val="clear" w:color="auto" w:fill="CCCCCC"/>
          </w:tcPr>
          <w:p>
            <w:pPr>
              <w:spacing w:after="0"/>
              <w:rPr>
                <w:sz w:val="21"/>
                <w:szCs w:val="21"/>
                <w:color w:val="auto"/>
              </w:rPr>
            </w:pPr>
          </w:p>
        </w:tc>
        <w:tc>
          <w:tcPr>
            <w:tcW w:w="1240" w:type="dxa"/>
            <w:vAlign w:val="bottom"/>
            <w:vMerge w:val="restart"/>
            <w:shd w:val="clear" w:color="auto" w:fill="CCCCCC"/>
          </w:tcPr>
          <w:p>
            <w:pPr>
              <w:jc w:val="right"/>
              <w:spacing w:after="0"/>
              <w:rPr>
                <w:sz w:val="20"/>
                <w:szCs w:val="20"/>
                <w:color w:val="auto"/>
              </w:rPr>
            </w:pPr>
            <w:r>
              <w:rPr>
                <w:rFonts w:ascii="Arial" w:cs="Arial" w:eastAsia="Arial" w:hAnsi="Arial"/>
                <w:sz w:val="16"/>
                <w:szCs w:val="16"/>
                <w:b w:val="1"/>
                <w:bCs w:val="1"/>
                <w:color w:val="auto"/>
              </w:rPr>
              <w:t>64</w:t>
            </w: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COGS, SG&amp;A, Other</w:t>
            </w:r>
          </w:p>
        </w:tc>
        <w:tc>
          <w:tcPr>
            <w:tcW w:w="0" w:type="dxa"/>
            <w:vAlign w:val="bottom"/>
          </w:tcPr>
          <w:p>
            <w:pPr>
              <w:spacing w:after="0"/>
              <w:rPr>
                <w:sz w:val="1"/>
                <w:szCs w:val="1"/>
                <w:color w:val="auto"/>
              </w:rPr>
            </w:pPr>
          </w:p>
        </w:tc>
      </w:tr>
      <w:tr>
        <w:trPr>
          <w:trHeight w:val="100"/>
        </w:trPr>
        <w:tc>
          <w:tcPr>
            <w:tcW w:w="6180" w:type="dxa"/>
            <w:vAlign w:val="bottom"/>
            <w:vMerge w:val="continue"/>
            <w:shd w:val="clear" w:color="auto" w:fill="CCCCCC"/>
          </w:tcPr>
          <w:p>
            <w:pPr>
              <w:spacing w:after="0"/>
              <w:rPr>
                <w:sz w:val="8"/>
                <w:szCs w:val="8"/>
                <w:color w:val="auto"/>
              </w:rPr>
            </w:pPr>
          </w:p>
        </w:tc>
        <w:tc>
          <w:tcPr>
            <w:tcW w:w="2020" w:type="dxa"/>
            <w:vAlign w:val="bottom"/>
            <w:shd w:val="clear" w:color="auto" w:fill="CCCCCC"/>
          </w:tcPr>
          <w:p>
            <w:pPr>
              <w:spacing w:after="0"/>
              <w:rPr>
                <w:sz w:val="8"/>
                <w:szCs w:val="8"/>
                <w:color w:val="auto"/>
              </w:rPr>
            </w:pPr>
          </w:p>
        </w:tc>
        <w:tc>
          <w:tcPr>
            <w:tcW w:w="1240" w:type="dxa"/>
            <w:vAlign w:val="bottom"/>
            <w:vMerge w:val="continue"/>
            <w:shd w:val="clear" w:color="auto" w:fill="CCCCCC"/>
          </w:tcPr>
          <w:p>
            <w:pPr>
              <w:spacing w:after="0"/>
              <w:rPr>
                <w:sz w:val="8"/>
                <w:szCs w:val="8"/>
                <w:color w:val="auto"/>
              </w:rPr>
            </w:pPr>
          </w:p>
        </w:tc>
        <w:tc>
          <w:tcPr>
            <w:tcW w:w="1780" w:type="dxa"/>
            <w:vAlign w:val="bottom"/>
            <w:vMerge w:val="restart"/>
            <w:shd w:val="clear" w:color="auto" w:fill="CCCCCC"/>
          </w:tcPr>
          <w:p>
            <w:pPr>
              <w:jc w:val="right"/>
              <w:spacing w:after="0"/>
              <w:rPr>
                <w:sz w:val="20"/>
                <w:szCs w:val="20"/>
                <w:color w:val="auto"/>
              </w:rPr>
            </w:pPr>
            <w:r>
              <w:rPr>
                <w:rFonts w:ascii="Arial" w:cs="Arial" w:eastAsia="Arial" w:hAnsi="Arial"/>
                <w:sz w:val="16"/>
                <w:szCs w:val="16"/>
                <w:color w:val="auto"/>
              </w:rPr>
              <w:t>Income</w:t>
            </w:r>
          </w:p>
        </w:tc>
        <w:tc>
          <w:tcPr>
            <w:tcW w:w="0" w:type="dxa"/>
            <w:vAlign w:val="bottom"/>
          </w:tcPr>
          <w:p>
            <w:pPr>
              <w:spacing w:after="0"/>
              <w:rPr>
                <w:sz w:val="1"/>
                <w:szCs w:val="1"/>
                <w:color w:val="auto"/>
              </w:rPr>
            </w:pPr>
          </w:p>
        </w:tc>
      </w:tr>
      <w:tr>
        <w:trPr>
          <w:trHeight w:val="95"/>
        </w:trPr>
        <w:tc>
          <w:tcPr>
            <w:tcW w:w="6180" w:type="dxa"/>
            <w:vAlign w:val="bottom"/>
            <w:shd w:val="clear" w:color="auto" w:fill="CCCCCC"/>
          </w:tcPr>
          <w:p>
            <w:pPr>
              <w:spacing w:after="0"/>
              <w:rPr>
                <w:sz w:val="8"/>
                <w:szCs w:val="8"/>
                <w:color w:val="auto"/>
              </w:rPr>
            </w:pPr>
          </w:p>
        </w:tc>
        <w:tc>
          <w:tcPr>
            <w:tcW w:w="2020" w:type="dxa"/>
            <w:vAlign w:val="bottom"/>
            <w:shd w:val="clear" w:color="auto" w:fill="CCCCCC"/>
          </w:tcPr>
          <w:p>
            <w:pPr>
              <w:spacing w:after="0"/>
              <w:rPr>
                <w:sz w:val="8"/>
                <w:szCs w:val="8"/>
                <w:color w:val="auto"/>
              </w:rPr>
            </w:pPr>
          </w:p>
        </w:tc>
        <w:tc>
          <w:tcPr>
            <w:tcW w:w="1240" w:type="dxa"/>
            <w:vAlign w:val="bottom"/>
            <w:shd w:val="clear" w:color="auto" w:fill="CCCCCC"/>
          </w:tcPr>
          <w:p>
            <w:pPr>
              <w:spacing w:after="0"/>
              <w:rPr>
                <w:sz w:val="8"/>
                <w:szCs w:val="8"/>
                <w:color w:val="auto"/>
              </w:rPr>
            </w:pPr>
          </w:p>
        </w:tc>
        <w:tc>
          <w:tcPr>
            <w:tcW w:w="1780" w:type="dxa"/>
            <w:vAlign w:val="bottom"/>
            <w:vMerge w:val="continue"/>
            <w:shd w:val="clear" w:color="auto" w:fill="CCCCCC"/>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Exit and disposal costs</w:t>
            </w:r>
          </w:p>
        </w:tc>
        <w:tc>
          <w:tcPr>
            <w:tcW w:w="2020" w:type="dxa"/>
            <w:vAlign w:val="bottom"/>
            <w:shd w:val="clear" w:color="auto" w:fill="CCCCCC"/>
          </w:tcPr>
          <w:p>
            <w:pPr>
              <w:spacing w:after="0"/>
              <w:rPr>
                <w:sz w:val="22"/>
                <w:szCs w:val="22"/>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4</w:t>
            </w: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SG&amp;A</w:t>
            </w:r>
          </w:p>
        </w:tc>
        <w:tc>
          <w:tcPr>
            <w:tcW w:w="0" w:type="dxa"/>
            <w:vAlign w:val="bottom"/>
          </w:tcPr>
          <w:p>
            <w:pPr>
              <w:spacing w:after="0"/>
              <w:rPr>
                <w:sz w:val="1"/>
                <w:szCs w:val="1"/>
                <w:color w:val="auto"/>
              </w:rPr>
            </w:pPr>
          </w:p>
        </w:tc>
      </w:tr>
      <w:tr>
        <w:trPr>
          <w:trHeight w:val="257"/>
        </w:trPr>
        <w:tc>
          <w:tcPr>
            <w:tcW w:w="618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2020" w:type="dxa"/>
            <w:vAlign w:val="bottom"/>
            <w:shd w:val="clear" w:color="auto" w:fill="CCCCCC"/>
          </w:tcPr>
          <w:p>
            <w:pPr>
              <w:spacing w:after="0"/>
              <w:rPr>
                <w:sz w:val="22"/>
                <w:szCs w:val="22"/>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7</w:t>
            </w:r>
          </w:p>
        </w:tc>
        <w:tc>
          <w:tcPr>
            <w:tcW w:w="1780" w:type="dxa"/>
            <w:vAlign w:val="bottom"/>
            <w:shd w:val="clear" w:color="auto" w:fill="CCCCCC"/>
          </w:tcPr>
          <w:p>
            <w:pPr>
              <w:jc w:val="right"/>
              <w:spacing w:after="0"/>
              <w:rPr>
                <w:sz w:val="20"/>
                <w:szCs w:val="20"/>
                <w:color w:val="auto"/>
              </w:rPr>
            </w:pPr>
            <w:r>
              <w:rPr>
                <w:rFonts w:ascii="Arial" w:cs="Arial" w:eastAsia="Arial" w:hAnsi="Arial"/>
                <w:sz w:val="16"/>
                <w:szCs w:val="16"/>
                <w:color w:val="auto"/>
              </w:rPr>
              <w:t>COGS</w:t>
            </w:r>
          </w:p>
        </w:tc>
        <w:tc>
          <w:tcPr>
            <w:tcW w:w="0" w:type="dxa"/>
            <w:vAlign w:val="bottom"/>
          </w:tcPr>
          <w:p>
            <w:pPr>
              <w:spacing w:after="0"/>
              <w:rPr>
                <w:sz w:val="1"/>
                <w:szCs w:val="1"/>
                <w:color w:val="auto"/>
              </w:rPr>
            </w:pPr>
          </w:p>
        </w:tc>
      </w:tr>
      <w:tr>
        <w:trPr>
          <w:trHeight w:val="270"/>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color w:val="auto"/>
              </w:rPr>
              <w:t>Tax effect</w:t>
            </w:r>
          </w:p>
        </w:tc>
        <w:tc>
          <w:tcPr>
            <w:tcW w:w="2020" w:type="dxa"/>
            <w:vAlign w:val="bottom"/>
            <w:shd w:val="clear" w:color="auto" w:fill="CCCCCC"/>
          </w:tcPr>
          <w:p>
            <w:pPr>
              <w:spacing w:after="0"/>
              <w:rPr>
                <w:sz w:val="23"/>
                <w:szCs w:val="23"/>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(19)</w:t>
            </w:r>
          </w:p>
        </w:tc>
        <w:tc>
          <w:tcPr>
            <w:tcW w:w="178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2020" w:type="dxa"/>
            <w:vAlign w:val="bottom"/>
            <w:shd w:val="clear" w:color="auto" w:fill="CCCCCC"/>
          </w:tcPr>
          <w:p>
            <w:pPr>
              <w:spacing w:after="0"/>
              <w:rPr>
                <w:sz w:val="24"/>
                <w:szCs w:val="24"/>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70</w:t>
            </w:r>
          </w:p>
        </w:tc>
        <w:tc>
          <w:tcPr>
            <w:tcW w:w="178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18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Net Income</w:t>
            </w:r>
          </w:p>
        </w:tc>
        <w:tc>
          <w:tcPr>
            <w:tcW w:w="2020" w:type="dxa"/>
            <w:vAlign w:val="bottom"/>
            <w:shd w:val="clear" w:color="auto" w:fill="CCCCCC"/>
          </w:tcPr>
          <w:p>
            <w:pPr>
              <w:spacing w:after="0"/>
              <w:rPr>
                <w:sz w:val="24"/>
                <w:szCs w:val="24"/>
                <w:color w:val="auto"/>
              </w:rPr>
            </w:pPr>
          </w:p>
        </w:tc>
        <w:tc>
          <w:tcPr>
            <w:tcW w:w="124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$150 - $180</w:t>
            </w:r>
          </w:p>
        </w:tc>
        <w:tc>
          <w:tcPr>
            <w:tcW w:w="1780" w:type="dxa"/>
            <w:vAlign w:val="bottom"/>
            <w:shd w:val="clear" w:color="auto" w:fill="CCCCCC"/>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6180" w:type="dxa"/>
            <w:vAlign w:val="bottom"/>
            <w:shd w:val="clear" w:color="auto" w:fill="CCCCCC"/>
          </w:tcPr>
          <w:p>
            <w:pPr>
              <w:spacing w:after="0"/>
              <w:rPr>
                <w:sz w:val="2"/>
                <w:szCs w:val="2"/>
                <w:color w:val="auto"/>
              </w:rPr>
            </w:pPr>
          </w:p>
        </w:tc>
        <w:tc>
          <w:tcPr>
            <w:tcW w:w="2020" w:type="dxa"/>
            <w:vAlign w:val="bottom"/>
            <w:shd w:val="clear" w:color="auto" w:fill="CCCCCC"/>
          </w:tcPr>
          <w:p>
            <w:pPr>
              <w:spacing w:after="0"/>
              <w:rPr>
                <w:sz w:val="2"/>
                <w:szCs w:val="2"/>
                <w:color w:val="auto"/>
              </w:rPr>
            </w:pPr>
          </w:p>
        </w:tc>
        <w:tc>
          <w:tcPr>
            <w:tcW w:w="1240" w:type="dxa"/>
            <w:vAlign w:val="bottom"/>
            <w:shd w:val="clear" w:color="auto" w:fill="CCCCCC"/>
          </w:tcPr>
          <w:p>
            <w:pPr>
              <w:spacing w:after="0"/>
              <w:rPr>
                <w:sz w:val="2"/>
                <w:szCs w:val="2"/>
                <w:color w:val="auto"/>
              </w:rPr>
            </w:pPr>
          </w:p>
        </w:tc>
        <w:tc>
          <w:tcPr>
            <w:tcW w:w="1780" w:type="dxa"/>
            <w:vAlign w:val="bottom"/>
            <w:shd w:val="clear" w:color="auto" w:fill="CCCCCC"/>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 of Net Income (Loss) to EBITDA and Adjusted EBITDA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106045</wp:posOffset>
            </wp:positionV>
            <wp:extent cx="7126605" cy="2341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6605" cy="2341245"/>
                    </a:xfrm>
                    <a:prstGeom prst="rect">
                      <a:avLst/>
                    </a:prstGeom>
                    <a:noFill/>
                  </pic:spPr>
                </pic:pic>
              </a:graphicData>
            </a:graphic>
          </wp:anchor>
        </w:drawing>
      </w:r>
    </w:p>
    <w:p>
      <w:pPr>
        <w:spacing w:after="0" w:line="147" w:lineRule="exact"/>
        <w:rPr>
          <w:sz w:val="20"/>
          <w:szCs w:val="20"/>
          <w:color w:val="auto"/>
        </w:rPr>
      </w:pPr>
    </w:p>
    <w:tbl>
      <w:tblPr>
        <w:tblLayout w:type="fixed"/>
        <w:tblInd w:w="80" w:type="dxa"/>
        <w:tblCellMar>
          <w:top w:w="0" w:type="dxa"/>
          <w:left w:w="0" w:type="dxa"/>
          <w:bottom w:w="0" w:type="dxa"/>
          <w:right w:w="0" w:type="dxa"/>
        </w:tblCellMar>
      </w:tblPr>
      <w:tr>
        <w:trPr>
          <w:trHeight w:val="237"/>
        </w:trPr>
        <w:tc>
          <w:tcPr>
            <w:tcW w:w="6620" w:type="dxa"/>
            <w:vAlign w:val="bottom"/>
            <w:vMerge w:val="restart"/>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 except per share value)</w:t>
            </w:r>
          </w:p>
        </w:tc>
        <w:tc>
          <w:tcPr>
            <w:tcW w:w="4600" w:type="dxa"/>
            <w:vAlign w:val="bottom"/>
            <w:gridSpan w:val="3"/>
            <w:shd w:val="clear" w:color="auto" w:fill="0F243E"/>
          </w:tcPr>
          <w:p>
            <w:pPr>
              <w:jc w:val="right"/>
              <w:ind w:right="799"/>
              <w:spacing w:after="0"/>
              <w:rPr>
                <w:sz w:val="20"/>
                <w:szCs w:val="20"/>
                <w:color w:val="auto"/>
              </w:rPr>
            </w:pPr>
            <w:r>
              <w:rPr>
                <w:rFonts w:ascii="Arial" w:cs="Arial" w:eastAsia="Arial" w:hAnsi="Arial"/>
                <w:sz w:val="16"/>
                <w:szCs w:val="16"/>
                <w:b w:val="1"/>
                <w:bCs w:val="1"/>
                <w:color w:val="FFFFFF"/>
              </w:rPr>
              <w:t>Three Months Ended March 31, 2019</w:t>
            </w:r>
          </w:p>
        </w:tc>
        <w:tc>
          <w:tcPr>
            <w:tcW w:w="0" w:type="dxa"/>
            <w:vAlign w:val="bottom"/>
          </w:tcPr>
          <w:p>
            <w:pPr>
              <w:spacing w:after="0"/>
              <w:rPr>
                <w:sz w:val="1"/>
                <w:szCs w:val="1"/>
                <w:color w:val="auto"/>
              </w:rPr>
            </w:pPr>
          </w:p>
        </w:tc>
      </w:tr>
      <w:tr>
        <w:trPr>
          <w:trHeight w:val="122"/>
        </w:trPr>
        <w:tc>
          <w:tcPr>
            <w:tcW w:w="6620" w:type="dxa"/>
            <w:vAlign w:val="bottom"/>
            <w:vMerge w:val="continue"/>
            <w:shd w:val="clear" w:color="auto" w:fill="0F243E"/>
          </w:tcPr>
          <w:p>
            <w:pPr>
              <w:spacing w:after="0"/>
              <w:rPr>
                <w:sz w:val="10"/>
                <w:szCs w:val="10"/>
                <w:color w:val="auto"/>
              </w:rPr>
            </w:pPr>
          </w:p>
        </w:tc>
        <w:tc>
          <w:tcPr>
            <w:tcW w:w="1580" w:type="dxa"/>
            <w:vAlign w:val="bottom"/>
            <w:vMerge w:val="restart"/>
            <w:shd w:val="clear" w:color="auto" w:fill="0F243E"/>
          </w:tcPr>
          <w:p>
            <w:pPr>
              <w:jc w:val="right"/>
              <w:ind w:right="119"/>
              <w:spacing w:after="0"/>
              <w:rPr>
                <w:sz w:val="20"/>
                <w:szCs w:val="20"/>
                <w:color w:val="auto"/>
              </w:rPr>
            </w:pPr>
            <w:r>
              <w:rPr>
                <w:rFonts w:ascii="Arial" w:cs="Arial" w:eastAsia="Arial" w:hAnsi="Arial"/>
                <w:sz w:val="16"/>
                <w:szCs w:val="16"/>
                <w:b w:val="1"/>
                <w:bCs w:val="1"/>
                <w:color w:val="FFFFFF"/>
              </w:rPr>
              <w:t>2019</w:t>
            </w:r>
          </w:p>
        </w:tc>
        <w:tc>
          <w:tcPr>
            <w:tcW w:w="800" w:type="dxa"/>
            <w:vAlign w:val="bottom"/>
            <w:shd w:val="clear" w:color="auto" w:fill="0F243E"/>
          </w:tcPr>
          <w:p>
            <w:pPr>
              <w:spacing w:after="0"/>
              <w:rPr>
                <w:sz w:val="10"/>
                <w:szCs w:val="10"/>
                <w:color w:val="auto"/>
              </w:rPr>
            </w:pPr>
          </w:p>
        </w:tc>
        <w:tc>
          <w:tcPr>
            <w:tcW w:w="2220" w:type="dxa"/>
            <w:vAlign w:val="bottom"/>
            <w:vMerge w:val="restart"/>
            <w:shd w:val="clear" w:color="auto" w:fill="0F243E"/>
          </w:tcPr>
          <w:p>
            <w:pPr>
              <w:jc w:val="right"/>
              <w:ind w:right="859"/>
              <w:spacing w:after="0"/>
              <w:rPr>
                <w:sz w:val="20"/>
                <w:szCs w:val="20"/>
                <w:color w:val="auto"/>
              </w:rPr>
            </w:pPr>
            <w:r>
              <w:rPr>
                <w:rFonts w:ascii="Arial" w:cs="Arial" w:eastAsia="Arial" w:hAnsi="Arial"/>
                <w:sz w:val="16"/>
                <w:szCs w:val="16"/>
                <w:b w:val="1"/>
                <w:bCs w:val="1"/>
                <w:color w:val="FFFFFF"/>
              </w:rPr>
              <w:t>2018</w:t>
            </w:r>
          </w:p>
        </w:tc>
        <w:tc>
          <w:tcPr>
            <w:tcW w:w="0" w:type="dxa"/>
            <w:vAlign w:val="bottom"/>
          </w:tcPr>
          <w:p>
            <w:pPr>
              <w:spacing w:after="0"/>
              <w:rPr>
                <w:sz w:val="1"/>
                <w:szCs w:val="1"/>
                <w:color w:val="auto"/>
              </w:rPr>
            </w:pPr>
          </w:p>
        </w:tc>
      </w:tr>
      <w:tr>
        <w:trPr>
          <w:trHeight w:val="155"/>
        </w:trPr>
        <w:tc>
          <w:tcPr>
            <w:tcW w:w="6620" w:type="dxa"/>
            <w:vAlign w:val="bottom"/>
            <w:shd w:val="clear" w:color="auto" w:fill="0F243E"/>
          </w:tcPr>
          <w:p>
            <w:pPr>
              <w:spacing w:after="0"/>
              <w:rPr>
                <w:sz w:val="13"/>
                <w:szCs w:val="13"/>
                <w:color w:val="auto"/>
              </w:rPr>
            </w:pPr>
          </w:p>
        </w:tc>
        <w:tc>
          <w:tcPr>
            <w:tcW w:w="1580" w:type="dxa"/>
            <w:vAlign w:val="bottom"/>
            <w:vMerge w:val="continue"/>
            <w:shd w:val="clear" w:color="auto" w:fill="0F243E"/>
          </w:tcPr>
          <w:p>
            <w:pPr>
              <w:spacing w:after="0"/>
              <w:rPr>
                <w:sz w:val="13"/>
                <w:szCs w:val="13"/>
                <w:color w:val="auto"/>
              </w:rPr>
            </w:pPr>
          </w:p>
        </w:tc>
        <w:tc>
          <w:tcPr>
            <w:tcW w:w="800" w:type="dxa"/>
            <w:vAlign w:val="bottom"/>
            <w:shd w:val="clear" w:color="auto" w:fill="0F243E"/>
          </w:tcPr>
          <w:p>
            <w:pPr>
              <w:spacing w:after="0"/>
              <w:rPr>
                <w:sz w:val="13"/>
                <w:szCs w:val="13"/>
                <w:color w:val="auto"/>
              </w:rPr>
            </w:pPr>
          </w:p>
        </w:tc>
        <w:tc>
          <w:tcPr>
            <w:tcW w:w="2220" w:type="dxa"/>
            <w:vAlign w:val="bottom"/>
            <w:vMerge w:val="continue"/>
            <w:shd w:val="clear" w:color="auto" w:fill="0F243E"/>
          </w:tcPr>
          <w:p>
            <w:pPr>
              <w:spacing w:after="0"/>
              <w:rPr>
                <w:sz w:val="13"/>
                <w:szCs w:val="13"/>
                <w:color w:val="auto"/>
              </w:rPr>
            </w:pPr>
          </w:p>
        </w:tc>
        <w:tc>
          <w:tcPr>
            <w:tcW w:w="0" w:type="dxa"/>
            <w:vAlign w:val="bottom"/>
          </w:tcPr>
          <w:p>
            <w:pPr>
              <w:spacing w:after="0"/>
              <w:rPr>
                <w:sz w:val="1"/>
                <w:szCs w:val="1"/>
                <w:color w:val="auto"/>
              </w:rPr>
            </w:pPr>
          </w:p>
        </w:tc>
      </w:tr>
      <w:tr>
        <w:trPr>
          <w:trHeight w:val="251"/>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Loss</w:t>
            </w:r>
          </w:p>
        </w:tc>
        <w:tc>
          <w:tcPr>
            <w:tcW w:w="1580" w:type="dxa"/>
            <w:vAlign w:val="bottom"/>
            <w:shd w:val="clear" w:color="auto" w:fill="CCCCCC"/>
          </w:tcPr>
          <w:p>
            <w:pPr>
              <w:spacing w:after="0"/>
              <w:rPr>
                <w:sz w:val="21"/>
                <w:szCs w:val="21"/>
                <w:color w:val="auto"/>
              </w:rPr>
            </w:pPr>
          </w:p>
        </w:tc>
        <w:tc>
          <w:tcPr>
            <w:tcW w:w="80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($26.0)</w:t>
            </w:r>
          </w:p>
        </w:tc>
        <w:tc>
          <w:tcPr>
            <w:tcW w:w="22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($4.9)</w:t>
            </w:r>
          </w:p>
        </w:tc>
        <w:tc>
          <w:tcPr>
            <w:tcW w:w="0" w:type="dxa"/>
            <w:vAlign w:val="bottom"/>
          </w:tcPr>
          <w:p>
            <w:pPr>
              <w:spacing w:after="0"/>
              <w:rPr>
                <w:sz w:val="1"/>
                <w:szCs w:val="1"/>
                <w:color w:val="auto"/>
              </w:rPr>
            </w:pPr>
          </w:p>
        </w:tc>
      </w:tr>
      <w:tr>
        <w:trPr>
          <w:trHeight w:val="270"/>
        </w:trPr>
        <w:tc>
          <w:tcPr>
            <w:tcW w:w="662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Adjustments:</w:t>
            </w:r>
          </w:p>
        </w:tc>
        <w:tc>
          <w:tcPr>
            <w:tcW w:w="1580" w:type="dxa"/>
            <w:vAlign w:val="bottom"/>
            <w:shd w:val="clear" w:color="auto" w:fill="CCCCCC"/>
          </w:tcPr>
          <w:p>
            <w:pPr>
              <w:spacing w:after="0"/>
              <w:rPr>
                <w:sz w:val="23"/>
                <w:szCs w:val="23"/>
                <w:color w:val="auto"/>
              </w:rPr>
            </w:pPr>
          </w:p>
        </w:tc>
        <w:tc>
          <w:tcPr>
            <w:tcW w:w="800" w:type="dxa"/>
            <w:vAlign w:val="bottom"/>
            <w:shd w:val="clear" w:color="auto" w:fill="CCCCCC"/>
          </w:tcPr>
          <w:p>
            <w:pPr>
              <w:spacing w:after="0"/>
              <w:rPr>
                <w:sz w:val="23"/>
                <w:szCs w:val="23"/>
                <w:color w:val="auto"/>
              </w:rPr>
            </w:pPr>
          </w:p>
        </w:tc>
        <w:tc>
          <w:tcPr>
            <w:tcW w:w="222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Depreciation &amp; amortization</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26.6</w:t>
            </w:r>
          </w:p>
        </w:tc>
        <w:tc>
          <w:tcPr>
            <w:tcW w:w="22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12.3</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Benefit from income taxes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(11.8)</w:t>
            </w:r>
          </w:p>
        </w:tc>
        <w:tc>
          <w:tcPr>
            <w:tcW w:w="2220" w:type="dxa"/>
            <w:vAlign w:val="bottom"/>
            <w:shd w:val="clear" w:color="auto" w:fill="CCCCCC"/>
          </w:tcPr>
          <w:p>
            <w:pPr>
              <w:jc w:val="right"/>
              <w:spacing w:after="0"/>
              <w:rPr>
                <w:sz w:val="20"/>
                <w:szCs w:val="20"/>
                <w:color w:val="auto"/>
              </w:rPr>
            </w:pPr>
            <w:r>
              <w:rPr>
                <w:rFonts w:ascii="Arial" w:cs="Arial" w:eastAsia="Arial" w:hAnsi="Arial"/>
                <w:sz w:val="16"/>
                <w:szCs w:val="16"/>
                <w:b w:val="1"/>
                <w:bCs w:val="1"/>
                <w:color w:val="auto"/>
              </w:rPr>
              <w:t>(4.5)</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Total interest expense</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9.6</w:t>
            </w:r>
          </w:p>
        </w:tc>
        <w:tc>
          <w:tcPr>
            <w:tcW w:w="22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24.4</w:t>
            </w:r>
          </w:p>
        </w:tc>
        <w:tc>
          <w:tcPr>
            <w:tcW w:w="22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8.0</w:t>
            </w:r>
          </w:p>
        </w:tc>
        <w:tc>
          <w:tcPr>
            <w:tcW w:w="0" w:type="dxa"/>
            <w:vAlign w:val="bottom"/>
          </w:tcPr>
          <w:p>
            <w:pPr>
              <w:spacing w:after="0"/>
              <w:rPr>
                <w:sz w:val="1"/>
                <w:szCs w:val="1"/>
                <w:color w:val="auto"/>
              </w:rPr>
            </w:pPr>
          </w:p>
        </w:tc>
      </w:tr>
      <w:tr>
        <w:trPr>
          <w:trHeight w:val="270"/>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EBITDA</w:t>
            </w:r>
          </w:p>
        </w:tc>
        <w:tc>
          <w:tcPr>
            <w:tcW w:w="1580" w:type="dxa"/>
            <w:vAlign w:val="bottom"/>
            <w:shd w:val="clear" w:color="auto" w:fill="CCCCCC"/>
          </w:tcPr>
          <w:p>
            <w:pPr>
              <w:spacing w:after="0"/>
              <w:rPr>
                <w:sz w:val="23"/>
                <w:szCs w:val="23"/>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($1.6)</w:t>
            </w:r>
          </w:p>
        </w:tc>
        <w:tc>
          <w:tcPr>
            <w:tcW w:w="22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$3.1</w:t>
            </w:r>
          </w:p>
        </w:tc>
        <w:tc>
          <w:tcPr>
            <w:tcW w:w="0" w:type="dxa"/>
            <w:vAlign w:val="bottom"/>
          </w:tcPr>
          <w:p>
            <w:pPr>
              <w:spacing w:after="0"/>
              <w:rPr>
                <w:sz w:val="1"/>
                <w:szCs w:val="1"/>
                <w:color w:val="auto"/>
              </w:rPr>
            </w:pPr>
          </w:p>
        </w:tc>
      </w:tr>
      <w:tr>
        <w:trPr>
          <w:trHeight w:val="270"/>
        </w:trPr>
        <w:tc>
          <w:tcPr>
            <w:tcW w:w="662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Additional Adjustments:</w:t>
            </w:r>
          </w:p>
        </w:tc>
        <w:tc>
          <w:tcPr>
            <w:tcW w:w="1580" w:type="dxa"/>
            <w:vAlign w:val="bottom"/>
            <w:shd w:val="clear" w:color="auto" w:fill="CCCCCC"/>
          </w:tcPr>
          <w:p>
            <w:pPr>
              <w:spacing w:after="0"/>
              <w:rPr>
                <w:sz w:val="23"/>
                <w:szCs w:val="23"/>
                <w:color w:val="auto"/>
              </w:rPr>
            </w:pPr>
          </w:p>
        </w:tc>
        <w:tc>
          <w:tcPr>
            <w:tcW w:w="800" w:type="dxa"/>
            <w:vAlign w:val="bottom"/>
            <w:shd w:val="clear" w:color="auto" w:fill="CCCCCC"/>
          </w:tcPr>
          <w:p>
            <w:pPr>
              <w:spacing w:after="0"/>
              <w:rPr>
                <w:sz w:val="23"/>
                <w:szCs w:val="23"/>
                <w:color w:val="auto"/>
              </w:rPr>
            </w:pPr>
          </w:p>
        </w:tc>
        <w:tc>
          <w:tcPr>
            <w:tcW w:w="2220" w:type="dxa"/>
            <w:vAlign w:val="bottom"/>
            <w:shd w:val="clear" w:color="auto" w:fill="CCCCCC"/>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4.0</w:t>
            </w:r>
          </w:p>
        </w:tc>
        <w:tc>
          <w:tcPr>
            <w:tcW w:w="22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5.0</w:t>
            </w:r>
          </w:p>
        </w:tc>
        <w:tc>
          <w:tcPr>
            <w:tcW w:w="2220" w:type="dxa"/>
            <w:vAlign w:val="bottom"/>
            <w:shd w:val="clear" w:color="auto" w:fill="CCCCCC"/>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Additional Adjustments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9.0</w:t>
            </w:r>
          </w:p>
        </w:tc>
        <w:tc>
          <w:tcPr>
            <w:tcW w:w="2220" w:type="dxa"/>
            <w:vAlign w:val="bottom"/>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0.2</w:t>
            </w:r>
          </w:p>
        </w:tc>
        <w:tc>
          <w:tcPr>
            <w:tcW w:w="0" w:type="dxa"/>
            <w:vAlign w:val="bottom"/>
          </w:tcPr>
          <w:p>
            <w:pPr>
              <w:spacing w:after="0"/>
              <w:rPr>
                <w:sz w:val="1"/>
                <w:szCs w:val="1"/>
                <w:color w:val="auto"/>
              </w:rPr>
            </w:pPr>
          </w:p>
        </w:tc>
      </w:tr>
      <w:tr>
        <w:trPr>
          <w:trHeight w:val="283"/>
        </w:trPr>
        <w:tc>
          <w:tcPr>
            <w:tcW w:w="6620" w:type="dxa"/>
            <w:vAlign w:val="bottom"/>
            <w:tcBorders>
              <w:bottom w:val="single" w:sz="8" w:color="CCCCCC"/>
            </w:tcBorders>
            <w:shd w:val="clear" w:color="auto" w:fill="CCCCCC"/>
          </w:tcPr>
          <w:p>
            <w:pPr>
              <w:ind w:left="40"/>
              <w:spacing w:after="0"/>
              <w:rPr>
                <w:sz w:val="20"/>
                <w:szCs w:val="20"/>
                <w:color w:val="auto"/>
              </w:rPr>
            </w:pPr>
            <w:r>
              <w:rPr>
                <w:rFonts w:ascii="Arial" w:cs="Arial" w:eastAsia="Arial" w:hAnsi="Arial"/>
                <w:sz w:val="16"/>
                <w:szCs w:val="16"/>
                <w:b w:val="1"/>
                <w:bCs w:val="1"/>
                <w:color w:val="auto"/>
              </w:rPr>
              <w:t>Adjusted EBITDA</w:t>
            </w:r>
          </w:p>
        </w:tc>
        <w:tc>
          <w:tcPr>
            <w:tcW w:w="1580" w:type="dxa"/>
            <w:vAlign w:val="bottom"/>
            <w:tcBorders>
              <w:bottom w:val="single" w:sz="8" w:color="CCCCCC"/>
            </w:tcBorders>
            <w:shd w:val="clear" w:color="auto" w:fill="CCCCCC"/>
          </w:tcPr>
          <w:p>
            <w:pPr>
              <w:spacing w:after="0"/>
              <w:rPr>
                <w:sz w:val="24"/>
                <w:szCs w:val="24"/>
                <w:color w:val="auto"/>
              </w:rPr>
            </w:pPr>
          </w:p>
        </w:tc>
        <w:tc>
          <w:tcPr>
            <w:tcW w:w="800" w:type="dxa"/>
            <w:vAlign w:val="bottom"/>
            <w:tcBorders>
              <w:bottom w:val="single" w:sz="8" w:color="CCCCCC"/>
            </w:tcBorders>
            <w:shd w:val="clear" w:color="auto" w:fill="CCCCCC"/>
          </w:tcPr>
          <w:p>
            <w:pPr>
              <w:jc w:val="right"/>
              <w:ind w:right="39"/>
              <w:spacing w:after="0"/>
              <w:rPr>
                <w:sz w:val="20"/>
                <w:szCs w:val="20"/>
                <w:color w:val="auto"/>
              </w:rPr>
            </w:pPr>
            <w:r>
              <w:rPr>
                <w:rFonts w:ascii="Arial" w:cs="Arial" w:eastAsia="Arial" w:hAnsi="Arial"/>
                <w:sz w:val="16"/>
                <w:szCs w:val="16"/>
                <w:b w:val="1"/>
                <w:bCs w:val="1"/>
                <w:color w:val="auto"/>
              </w:rPr>
              <w:t>$7.4</w:t>
            </w:r>
          </w:p>
        </w:tc>
        <w:tc>
          <w:tcPr>
            <w:tcW w:w="2220" w:type="dxa"/>
            <w:vAlign w:val="bottom"/>
            <w:tcBorders>
              <w:bottom w:val="single" w:sz="8" w:color="CCCCCC"/>
            </w:tcBorders>
            <w:shd w:val="clear" w:color="auto" w:fill="CCCCCC"/>
          </w:tcPr>
          <w:p>
            <w:pPr>
              <w:jc w:val="right"/>
              <w:ind w:right="19"/>
              <w:spacing w:after="0"/>
              <w:rPr>
                <w:sz w:val="20"/>
                <w:szCs w:val="20"/>
                <w:color w:val="auto"/>
              </w:rPr>
            </w:pPr>
            <w:r>
              <w:rPr>
                <w:rFonts w:ascii="Arial" w:cs="Arial" w:eastAsia="Arial" w:hAnsi="Arial"/>
                <w:sz w:val="16"/>
                <w:szCs w:val="16"/>
                <w:b w:val="1"/>
                <w:bCs w:val="1"/>
                <w:color w:val="auto"/>
              </w:rPr>
              <w:t>$3.3</w:t>
            </w:r>
          </w:p>
        </w:tc>
        <w:tc>
          <w:tcPr>
            <w:tcW w:w="0" w:type="dxa"/>
            <w:vAlign w:val="bottom"/>
          </w:tcPr>
          <w:p>
            <w:pPr>
              <w:spacing w:after="0"/>
              <w:rPr>
                <w:sz w:val="1"/>
                <w:szCs w:val="1"/>
                <w:color w:val="auto"/>
              </w:rPr>
            </w:pPr>
          </w:p>
        </w:tc>
      </w:tr>
      <w:tr>
        <w:trPr>
          <w:trHeight w:val="149"/>
        </w:trPr>
        <w:tc>
          <w:tcPr>
            <w:tcW w:w="66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6620" w:type="dxa"/>
            <w:vAlign w:val="bottom"/>
            <w:shd w:val="clear" w:color="auto" w:fill="0F243E"/>
          </w:tcPr>
          <w:p>
            <w:pPr>
              <w:spacing w:after="0"/>
              <w:rPr>
                <w:sz w:val="18"/>
                <w:szCs w:val="18"/>
                <w:color w:val="auto"/>
              </w:rPr>
            </w:pPr>
          </w:p>
        </w:tc>
        <w:tc>
          <w:tcPr>
            <w:tcW w:w="1580" w:type="dxa"/>
            <w:vAlign w:val="bottom"/>
            <w:shd w:val="clear" w:color="auto" w:fill="0F243E"/>
          </w:tcPr>
          <w:p>
            <w:pPr>
              <w:spacing w:after="0"/>
              <w:rPr>
                <w:sz w:val="18"/>
                <w:szCs w:val="18"/>
                <w:color w:val="auto"/>
              </w:rPr>
            </w:pPr>
          </w:p>
        </w:tc>
        <w:tc>
          <w:tcPr>
            <w:tcW w:w="800" w:type="dxa"/>
            <w:vAlign w:val="bottom"/>
            <w:shd w:val="clear" w:color="auto" w:fill="0F243E"/>
          </w:tcPr>
          <w:p>
            <w:pPr>
              <w:spacing w:after="0"/>
              <w:rPr>
                <w:sz w:val="18"/>
                <w:szCs w:val="18"/>
                <w:color w:val="auto"/>
              </w:rPr>
            </w:pPr>
          </w:p>
        </w:tc>
        <w:tc>
          <w:tcPr>
            <w:tcW w:w="2220" w:type="dxa"/>
            <w:vAlign w:val="bottom"/>
            <w:shd w:val="clear" w:color="auto" w:fill="0F243E"/>
          </w:tcPr>
          <w:p>
            <w:pPr>
              <w:jc w:val="center"/>
              <w:ind w:right="739"/>
              <w:spacing w:after="0"/>
              <w:rPr>
                <w:sz w:val="20"/>
                <w:szCs w:val="20"/>
                <w:color w:val="auto"/>
              </w:rPr>
            </w:pPr>
            <w:r>
              <w:rPr>
                <w:rFonts w:ascii="Arial" w:cs="Arial" w:eastAsia="Arial" w:hAnsi="Arial"/>
                <w:sz w:val="16"/>
                <w:szCs w:val="16"/>
                <w:b w:val="1"/>
                <w:bCs w:val="1"/>
                <w:color w:val="FFFFFF"/>
              </w:rPr>
              <w:t>Full Year</w:t>
            </w:r>
          </w:p>
        </w:tc>
        <w:tc>
          <w:tcPr>
            <w:tcW w:w="0" w:type="dxa"/>
            <w:vAlign w:val="bottom"/>
          </w:tcPr>
          <w:p>
            <w:pPr>
              <w:spacing w:after="0"/>
              <w:rPr>
                <w:sz w:val="1"/>
                <w:szCs w:val="1"/>
                <w:color w:val="auto"/>
              </w:rPr>
            </w:pPr>
          </w:p>
        </w:tc>
      </w:tr>
      <w:tr>
        <w:trPr>
          <w:trHeight w:val="242"/>
        </w:trPr>
        <w:tc>
          <w:tcPr>
            <w:tcW w:w="6620" w:type="dxa"/>
            <w:vAlign w:val="bottom"/>
            <w:shd w:val="clear" w:color="auto" w:fill="0F243E"/>
          </w:tcPr>
          <w:p>
            <w:pPr>
              <w:ind w:left="40"/>
              <w:spacing w:after="0"/>
              <w:rPr>
                <w:sz w:val="20"/>
                <w:szCs w:val="20"/>
                <w:color w:val="auto"/>
              </w:rPr>
            </w:pPr>
            <w:r>
              <w:rPr>
                <w:rFonts w:ascii="Arial" w:cs="Arial" w:eastAsia="Arial" w:hAnsi="Arial"/>
                <w:sz w:val="16"/>
                <w:szCs w:val="16"/>
                <w:i w:val="1"/>
                <w:iCs w:val="1"/>
                <w:color w:val="FFFFFF"/>
              </w:rPr>
              <w:t>(in millions)</w:t>
            </w:r>
          </w:p>
        </w:tc>
        <w:tc>
          <w:tcPr>
            <w:tcW w:w="1580" w:type="dxa"/>
            <w:vAlign w:val="bottom"/>
            <w:shd w:val="clear" w:color="auto" w:fill="0F243E"/>
          </w:tcPr>
          <w:p>
            <w:pPr>
              <w:spacing w:after="0"/>
              <w:rPr>
                <w:sz w:val="21"/>
                <w:szCs w:val="21"/>
                <w:color w:val="auto"/>
              </w:rPr>
            </w:pPr>
          </w:p>
        </w:tc>
        <w:tc>
          <w:tcPr>
            <w:tcW w:w="800" w:type="dxa"/>
            <w:vAlign w:val="bottom"/>
            <w:shd w:val="clear" w:color="auto" w:fill="0F243E"/>
          </w:tcPr>
          <w:p>
            <w:pPr>
              <w:spacing w:after="0"/>
              <w:rPr>
                <w:sz w:val="21"/>
                <w:szCs w:val="21"/>
                <w:color w:val="auto"/>
              </w:rPr>
            </w:pPr>
          </w:p>
        </w:tc>
        <w:tc>
          <w:tcPr>
            <w:tcW w:w="2220" w:type="dxa"/>
            <w:vAlign w:val="bottom"/>
            <w:shd w:val="clear" w:color="auto" w:fill="0F243E"/>
          </w:tcPr>
          <w:p>
            <w:pPr>
              <w:jc w:val="center"/>
              <w:ind w:right="739"/>
              <w:spacing w:after="0"/>
              <w:rPr>
                <w:sz w:val="20"/>
                <w:szCs w:val="20"/>
                <w:color w:val="auto"/>
              </w:rPr>
            </w:pPr>
            <w:r>
              <w:rPr>
                <w:rFonts w:ascii="Arial" w:cs="Arial" w:eastAsia="Arial" w:hAnsi="Arial"/>
                <w:sz w:val="16"/>
                <w:szCs w:val="16"/>
                <w:b w:val="1"/>
                <w:bCs w:val="1"/>
                <w:color w:val="FFFFFF"/>
              </w:rPr>
              <w:t>Forecast</w:t>
            </w:r>
          </w:p>
        </w:tc>
        <w:tc>
          <w:tcPr>
            <w:tcW w:w="0" w:type="dxa"/>
            <w:vAlign w:val="bottom"/>
          </w:tcPr>
          <w:p>
            <w:pPr>
              <w:spacing w:after="0"/>
              <w:rPr>
                <w:sz w:val="1"/>
                <w:szCs w:val="1"/>
                <w:color w:val="auto"/>
              </w:rPr>
            </w:pPr>
          </w:p>
        </w:tc>
      </w:tr>
      <w:tr>
        <w:trPr>
          <w:trHeight w:val="249"/>
        </w:trPr>
        <w:tc>
          <w:tcPr>
            <w:tcW w:w="6620" w:type="dxa"/>
            <w:vAlign w:val="bottom"/>
            <w:shd w:val="clear" w:color="auto" w:fill="0F243E"/>
          </w:tcPr>
          <w:p>
            <w:pPr>
              <w:spacing w:after="0"/>
              <w:rPr>
                <w:sz w:val="21"/>
                <w:szCs w:val="21"/>
                <w:color w:val="auto"/>
              </w:rPr>
            </w:pPr>
          </w:p>
        </w:tc>
        <w:tc>
          <w:tcPr>
            <w:tcW w:w="1580" w:type="dxa"/>
            <w:vAlign w:val="bottom"/>
            <w:shd w:val="clear" w:color="auto" w:fill="0F243E"/>
          </w:tcPr>
          <w:p>
            <w:pPr>
              <w:spacing w:after="0"/>
              <w:rPr>
                <w:sz w:val="21"/>
                <w:szCs w:val="21"/>
                <w:color w:val="auto"/>
              </w:rPr>
            </w:pPr>
          </w:p>
        </w:tc>
        <w:tc>
          <w:tcPr>
            <w:tcW w:w="800" w:type="dxa"/>
            <w:vAlign w:val="bottom"/>
            <w:shd w:val="clear" w:color="auto" w:fill="0F243E"/>
          </w:tcPr>
          <w:p>
            <w:pPr>
              <w:spacing w:after="0"/>
              <w:rPr>
                <w:sz w:val="21"/>
                <w:szCs w:val="21"/>
                <w:color w:val="auto"/>
              </w:rPr>
            </w:pPr>
          </w:p>
        </w:tc>
        <w:tc>
          <w:tcPr>
            <w:tcW w:w="2220" w:type="dxa"/>
            <w:vAlign w:val="bottom"/>
            <w:shd w:val="clear" w:color="auto" w:fill="0F243E"/>
          </w:tcPr>
          <w:p>
            <w:pPr>
              <w:jc w:val="center"/>
              <w:ind w:right="719"/>
              <w:spacing w:after="0"/>
              <w:rPr>
                <w:sz w:val="20"/>
                <w:szCs w:val="20"/>
                <w:color w:val="auto"/>
              </w:rPr>
            </w:pPr>
            <w:r>
              <w:rPr>
                <w:rFonts w:ascii="Arial" w:cs="Arial" w:eastAsia="Arial" w:hAnsi="Arial"/>
                <w:sz w:val="16"/>
                <w:szCs w:val="16"/>
                <w:b w:val="1"/>
                <w:bCs w:val="1"/>
                <w:color w:val="FFFFFF"/>
              </w:rPr>
              <w:t>2019F</w:t>
            </w:r>
          </w:p>
        </w:tc>
        <w:tc>
          <w:tcPr>
            <w:tcW w:w="0" w:type="dxa"/>
            <w:vAlign w:val="bottom"/>
          </w:tcPr>
          <w:p>
            <w:pPr>
              <w:spacing w:after="0"/>
              <w:rPr>
                <w:sz w:val="1"/>
                <w:szCs w:val="1"/>
                <w:color w:val="auto"/>
              </w:rPr>
            </w:pPr>
          </w:p>
        </w:tc>
      </w:tr>
      <w:tr>
        <w:trPr>
          <w:trHeight w:val="237"/>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Net Income</w:t>
            </w:r>
          </w:p>
        </w:tc>
        <w:tc>
          <w:tcPr>
            <w:tcW w:w="1580" w:type="dxa"/>
            <w:vAlign w:val="bottom"/>
            <w:shd w:val="clear" w:color="auto" w:fill="CCCCCC"/>
          </w:tcPr>
          <w:p>
            <w:pPr>
              <w:spacing w:after="0"/>
              <w:rPr>
                <w:sz w:val="20"/>
                <w:szCs w:val="20"/>
                <w:color w:val="auto"/>
              </w:rPr>
            </w:pPr>
          </w:p>
        </w:tc>
        <w:tc>
          <w:tcPr>
            <w:tcW w:w="800" w:type="dxa"/>
            <w:vAlign w:val="bottom"/>
            <w:shd w:val="clear" w:color="auto" w:fill="CCCCCC"/>
          </w:tcPr>
          <w:p>
            <w:pPr>
              <w:spacing w:after="0"/>
              <w:rPr>
                <w:sz w:val="20"/>
                <w:szCs w:val="20"/>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$80 - $110</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Adjustments: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Depreciation &amp; amortization</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106</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Provision for income taxes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30</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Total interest expense</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39</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Adjustments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175</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EBITDA</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$255 - $285</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180"/>
              <w:spacing w:after="0"/>
              <w:rPr>
                <w:sz w:val="20"/>
                <w:szCs w:val="20"/>
                <w:color w:val="auto"/>
              </w:rPr>
            </w:pPr>
            <w:r>
              <w:rPr>
                <w:rFonts w:ascii="Arial" w:cs="Arial" w:eastAsia="Arial" w:hAnsi="Arial"/>
                <w:sz w:val="16"/>
                <w:szCs w:val="16"/>
                <w:color w:val="auto"/>
              </w:rPr>
              <w:t>Additional Adjustments: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Acquisition-related costs (transaction &amp; integration)</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Exit and disposal costs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4</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300"/>
              <w:spacing w:after="0"/>
              <w:rPr>
                <w:sz w:val="20"/>
                <w:szCs w:val="20"/>
                <w:color w:val="auto"/>
              </w:rPr>
            </w:pPr>
            <w:r>
              <w:rPr>
                <w:rFonts w:ascii="Arial" w:cs="Arial" w:eastAsia="Arial" w:hAnsi="Arial"/>
                <w:sz w:val="16"/>
                <w:szCs w:val="16"/>
                <w:color w:val="auto"/>
              </w:rPr>
              <w:t>+ Impact of purchase accounting on inventory step-up</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7</w:t>
            </w:r>
          </w:p>
        </w:tc>
        <w:tc>
          <w:tcPr>
            <w:tcW w:w="0" w:type="dxa"/>
            <w:vAlign w:val="bottom"/>
          </w:tcPr>
          <w:p>
            <w:pPr>
              <w:spacing w:after="0"/>
              <w:rPr>
                <w:sz w:val="1"/>
                <w:szCs w:val="1"/>
                <w:color w:val="auto"/>
              </w:rPr>
            </w:pPr>
          </w:p>
        </w:tc>
      </w:tr>
      <w:tr>
        <w:trPr>
          <w:trHeight w:val="257"/>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Total Additional Adjustments</w:t>
            </w:r>
          </w:p>
        </w:tc>
        <w:tc>
          <w:tcPr>
            <w:tcW w:w="1580" w:type="dxa"/>
            <w:vAlign w:val="bottom"/>
            <w:shd w:val="clear" w:color="auto" w:fill="CCCCCC"/>
          </w:tcPr>
          <w:p>
            <w:pPr>
              <w:spacing w:after="0"/>
              <w:rPr>
                <w:sz w:val="22"/>
                <w:szCs w:val="22"/>
                <w:color w:val="auto"/>
              </w:rPr>
            </w:pPr>
          </w:p>
        </w:tc>
        <w:tc>
          <w:tcPr>
            <w:tcW w:w="800" w:type="dxa"/>
            <w:vAlign w:val="bottom"/>
            <w:shd w:val="clear" w:color="auto" w:fill="CCCCCC"/>
          </w:tcPr>
          <w:p>
            <w:pPr>
              <w:spacing w:after="0"/>
              <w:rPr>
                <w:sz w:val="22"/>
                <w:szCs w:val="22"/>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25</w:t>
            </w:r>
          </w:p>
        </w:tc>
        <w:tc>
          <w:tcPr>
            <w:tcW w:w="0" w:type="dxa"/>
            <w:vAlign w:val="bottom"/>
          </w:tcPr>
          <w:p>
            <w:pPr>
              <w:spacing w:after="0"/>
              <w:rPr>
                <w:sz w:val="1"/>
                <w:szCs w:val="1"/>
                <w:color w:val="auto"/>
              </w:rPr>
            </w:pPr>
          </w:p>
        </w:tc>
      </w:tr>
      <w:tr>
        <w:trPr>
          <w:trHeight w:val="276"/>
        </w:trPr>
        <w:tc>
          <w:tcPr>
            <w:tcW w:w="6620" w:type="dxa"/>
            <w:vAlign w:val="bottom"/>
            <w:shd w:val="clear" w:color="auto" w:fill="CCCCCC"/>
          </w:tcPr>
          <w:p>
            <w:pPr>
              <w:ind w:left="40"/>
              <w:spacing w:after="0"/>
              <w:rPr>
                <w:sz w:val="20"/>
                <w:szCs w:val="20"/>
                <w:color w:val="auto"/>
              </w:rPr>
            </w:pPr>
            <w:r>
              <w:rPr>
                <w:rFonts w:ascii="Arial" w:cs="Arial" w:eastAsia="Arial" w:hAnsi="Arial"/>
                <w:sz w:val="16"/>
                <w:szCs w:val="16"/>
                <w:b w:val="1"/>
                <w:bCs w:val="1"/>
                <w:color w:val="auto"/>
              </w:rPr>
              <w:t>Adjusted EBITDA</w:t>
            </w:r>
          </w:p>
        </w:tc>
        <w:tc>
          <w:tcPr>
            <w:tcW w:w="1580" w:type="dxa"/>
            <w:vAlign w:val="bottom"/>
            <w:shd w:val="clear" w:color="auto" w:fill="CCCCCC"/>
          </w:tcPr>
          <w:p>
            <w:pPr>
              <w:spacing w:after="0"/>
              <w:rPr>
                <w:sz w:val="24"/>
                <w:szCs w:val="24"/>
                <w:color w:val="auto"/>
              </w:rPr>
            </w:pPr>
          </w:p>
        </w:tc>
        <w:tc>
          <w:tcPr>
            <w:tcW w:w="800" w:type="dxa"/>
            <w:vAlign w:val="bottom"/>
            <w:shd w:val="clear" w:color="auto" w:fill="CCCCCC"/>
          </w:tcPr>
          <w:p>
            <w:pPr>
              <w:spacing w:after="0"/>
              <w:rPr>
                <w:sz w:val="24"/>
                <w:szCs w:val="24"/>
                <w:color w:val="auto"/>
              </w:rPr>
            </w:pPr>
          </w:p>
        </w:tc>
        <w:tc>
          <w:tcPr>
            <w:tcW w:w="2220" w:type="dxa"/>
            <w:vAlign w:val="bottom"/>
            <w:shd w:val="clear" w:color="auto" w:fill="CCCCCC"/>
          </w:tcPr>
          <w:p>
            <w:pPr>
              <w:jc w:val="right"/>
              <w:ind w:right="179"/>
              <w:spacing w:after="0"/>
              <w:rPr>
                <w:sz w:val="20"/>
                <w:szCs w:val="20"/>
                <w:color w:val="auto"/>
              </w:rPr>
            </w:pPr>
            <w:r>
              <w:rPr>
                <w:rFonts w:ascii="Arial" w:cs="Arial" w:eastAsia="Arial" w:hAnsi="Arial"/>
                <w:sz w:val="16"/>
                <w:szCs w:val="16"/>
                <w:b w:val="1"/>
                <w:bCs w:val="1"/>
                <w:color w:val="auto"/>
              </w:rPr>
              <w:t>$280 - $310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-2563495</wp:posOffset>
            </wp:positionV>
            <wp:extent cx="7126605" cy="257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6605" cy="2573020"/>
                    </a:xfrm>
                    <a:prstGeom prst="rect">
                      <a:avLst/>
                    </a:prstGeom>
                    <a:noFill/>
                  </pic:spPr>
                </pic:pic>
              </a:graphicData>
            </a:graphic>
          </wp:anchor>
        </w:drawing>
      </w:r>
    </w:p>
    <w:p>
      <w:pPr>
        <w:sectPr>
          <w:pgSz w:w="11900" w:h="16838" w:orient="portrait"/>
          <w:cols w:equalWidth="0" w:num="1">
            <w:col w:w="11300"/>
          </w:cols>
          <w:pgMar w:left="2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Page 9 of 9</w:t>
      </w:r>
    </w:p>
    <w:sectPr>
      <w:pgSz w:w="11900" w:h="16838" w:orient="portrait"/>
      <w:cols w:equalWidth="0" w:num="1">
        <w:col w:w="11300"/>
      </w:cols>
      <w:pgMar w:left="240" w:top="144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endash "/>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2019-12-28T13:14:04Z</dcterms:created>
  <dcterms:modified xsi:type="dcterms:W3CDTF">2019-12-28T13:14:04Z</dcterms:modified>
</cp:coreProperties>
</file>