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114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144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688"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El-Hibri Fuad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2273 RESEARCH BLVD.,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688"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9"/>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gridSpan w:val="4"/>
          </w:tcPr>
          <w:p>
            <w:pPr>
              <w:ind w:left="520"/>
              <w:spacing w:after="0" w:line="155" w:lineRule="exact"/>
              <w:rPr>
                <w:sz w:val="20"/>
                <w:szCs w:val="20"/>
                <w:color w:val="auto"/>
              </w:rPr>
            </w:pPr>
            <w:r>
              <w:rPr>
                <w:rFonts w:ascii="Arial" w:cs="Arial" w:eastAsia="Arial" w:hAnsi="Arial"/>
                <w:sz w:val="14"/>
                <w:szCs w:val="14"/>
                <w:color w:val="auto"/>
              </w:rPr>
              <w:t>Line)</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ROCKVILLE</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MD</w:t>
            </w:r>
          </w:p>
        </w:tc>
        <w:tc>
          <w:tcPr>
            <w:tcW w:w="1260" w:type="dxa"/>
            <w:vAlign w:val="bottom"/>
          </w:tcPr>
          <w:p>
            <w:pPr>
              <w:spacing w:after="0"/>
              <w:rPr>
                <w:sz w:val="20"/>
                <w:szCs w:val="20"/>
                <w:color w:val="auto"/>
              </w:rPr>
            </w:pPr>
            <w:r>
              <w:rPr>
                <w:rFonts w:ascii="Arial" w:cs="Arial" w:eastAsia="Arial" w:hAnsi="Arial"/>
                <w:sz w:val="18"/>
                <w:szCs w:val="18"/>
                <w:color w:val="0000FF"/>
              </w:rPr>
              <w:t>20850</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7"/>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vMerge w:val="restart"/>
          </w:tcPr>
          <w:p>
            <w:pPr>
              <w:spacing w:after="0"/>
              <w:rPr>
                <w:sz w:val="12"/>
                <w:szCs w:val="12"/>
                <w:color w:val="auto"/>
              </w:rPr>
            </w:pPr>
          </w:p>
        </w:tc>
        <w:tc>
          <w:tcPr>
            <w:tcW w:w="2940" w:type="dxa"/>
            <w:vAlign w:val="bottom"/>
            <w:gridSpan w:val="6"/>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94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06/11/2015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30,000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32.2641</w:t>
            </w:r>
            <w:r>
              <w:rPr>
                <w:rFonts w:ascii="Arial" w:cs="Arial" w:eastAsia="Arial" w:hAnsi="Arial"/>
                <w:sz w:val="22"/>
                <w:szCs w:val="22"/>
                <w:color w:val="008000"/>
                <w:w w:val="85"/>
                <w:vertAlign w:val="superscript"/>
              </w:rPr>
              <w:t>(2)</w:t>
            </w: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w w:val="87"/>
              </w:rPr>
              <w:t>1,965,632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06/12/2015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15,068</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32.0301</w:t>
            </w:r>
            <w:r>
              <w:rPr>
                <w:rFonts w:ascii="Arial" w:cs="Arial" w:eastAsia="Arial" w:hAnsi="Arial"/>
                <w:sz w:val="22"/>
                <w:szCs w:val="22"/>
                <w:color w:val="008000"/>
                <w:w w:val="85"/>
                <w:vertAlign w:val="superscript"/>
              </w:rPr>
              <w:t>(3)</w:t>
            </w: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w w:val="87"/>
              </w:rPr>
              <w:t>1,950,564</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06/15/2015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368</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ind w:left="231"/>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32</w:t>
            </w:r>
          </w:p>
        </w:tc>
        <w:tc>
          <w:tcPr>
            <w:tcW w:w="2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w w:val="87"/>
              </w:rPr>
              <w:t>1,950,196</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gridSpan w:val="4"/>
          </w:tcPr>
          <w:p>
            <w:pPr>
              <w:jc w:val="center"/>
              <w:ind w:left="168"/>
              <w:spacing w:after="0" w:line="217" w:lineRule="exact"/>
              <w:rPr>
                <w:sz w:val="20"/>
                <w:szCs w:val="20"/>
                <w:color w:val="auto"/>
              </w:rPr>
            </w:pPr>
            <w:r>
              <w:rPr>
                <w:rFonts w:ascii="Arial" w:cs="Arial" w:eastAsia="Arial" w:hAnsi="Arial"/>
                <w:sz w:val="18"/>
                <w:szCs w:val="18"/>
                <w:color w:val="0000FF"/>
                <w:w w:val="85"/>
              </w:rPr>
              <w:t>2,350,331</w:t>
            </w:r>
            <w:r>
              <w:rPr>
                <w:rFonts w:ascii="Arial" w:cs="Arial" w:eastAsia="Arial" w:hAnsi="Arial"/>
                <w:sz w:val="22"/>
                <w:szCs w:val="22"/>
                <w:color w:val="008000"/>
                <w:w w:val="85"/>
                <w:vertAlign w:val="superscript"/>
              </w:rPr>
              <w:t>(4)</w:t>
            </w:r>
          </w:p>
        </w:tc>
        <w:tc>
          <w:tcPr>
            <w:tcW w:w="900" w:type="dxa"/>
            <w:vAlign w:val="bottom"/>
          </w:tcPr>
          <w:p>
            <w:pPr>
              <w:jc w:val="center"/>
              <w:ind w:right="1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gridSpan w:val="4"/>
          </w:tcPr>
          <w:p>
            <w:pPr>
              <w:jc w:val="center"/>
              <w:ind w:left="168"/>
              <w:spacing w:after="0" w:line="217" w:lineRule="exact"/>
              <w:rPr>
                <w:sz w:val="20"/>
                <w:szCs w:val="20"/>
                <w:color w:val="auto"/>
              </w:rPr>
            </w:pPr>
            <w:r>
              <w:rPr>
                <w:rFonts w:ascii="Arial" w:cs="Arial" w:eastAsia="Arial" w:hAnsi="Arial"/>
                <w:sz w:val="18"/>
                <w:szCs w:val="18"/>
                <w:color w:val="0000FF"/>
                <w:w w:val="85"/>
              </w:rPr>
              <w:t>1,524,155</w:t>
            </w:r>
            <w:r>
              <w:rPr>
                <w:rFonts w:ascii="Arial" w:cs="Arial" w:eastAsia="Arial" w:hAnsi="Arial"/>
                <w:sz w:val="22"/>
                <w:szCs w:val="22"/>
                <w:color w:val="008000"/>
                <w:w w:val="85"/>
                <w:vertAlign w:val="superscript"/>
              </w:rPr>
              <w:t>(5)</w:t>
            </w:r>
          </w:p>
        </w:tc>
        <w:tc>
          <w:tcPr>
            <w:tcW w:w="900" w:type="dxa"/>
            <w:vAlign w:val="bottom"/>
          </w:tcPr>
          <w:p>
            <w:pPr>
              <w:jc w:val="center"/>
              <w:ind w:right="1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Biovac,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9"/>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2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All sales listed on this Form 4 were made by the Reporting Person pursuant to a plan, adopted on May 11, 2015, that is intended to comply with Rule 10b5-1(c) under the Exchange Act.</w:t>
      </w:r>
    </w:p>
    <w:p>
      <w:pPr>
        <w:spacing w:after="0" w:line="64" w:lineRule="exact"/>
        <w:rPr>
          <w:rFonts w:ascii="Arial" w:cs="Arial" w:eastAsia="Arial" w:hAnsi="Arial"/>
          <w:sz w:val="12"/>
          <w:szCs w:val="12"/>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of Common Stock were sold at prices ranging from $31.99 to $32.62. Upon request, the Reporting Person will provide to the SEC staff, the Issuer and any security holder of the Issuer the full information regarding the separate sales prices.</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of Common Stock were sold at prices ranging from $32.01 to $32.18. Upon request, the Reporting Person will provide to the SEC staff, the Issuer and any security holder of the Issuer the full information regarding the separate sales prices.</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El-Hibri's holdings through Intervac, L.L.C. include 1,638,403 shares of Common Stock held by Mr. El-Hibri and his wife, as tenants by the entirety, through their 37.7% equity interest in Intervac, L.L.C.; 127,721 shares held by Mr. El-Hibri's wife; and 584,207 shares held by trusts indirectly controlled by Mr. El-Hibri or his wife. Mr. El-Hibri disclaims beneficial ownership, for purposes of Section 16 of the Exchange Act or otherwise, of those shares held solely by his wife and those shares held by the trusts.</w:t>
      </w:r>
    </w:p>
    <w:p>
      <w:pPr>
        <w:spacing w:after="0" w:line="30" w:lineRule="exact"/>
        <w:rPr>
          <w:rFonts w:ascii="Arial" w:cs="Arial" w:eastAsia="Arial" w:hAnsi="Arial"/>
          <w:sz w:val="14"/>
          <w:szCs w:val="14"/>
          <w:color w:val="008000"/>
        </w:rPr>
      </w:pPr>
    </w:p>
    <w:p>
      <w:pPr>
        <w:ind w:left="40" w:right="2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El-Hibri holds individually and with his wife, as tenants by the entirety, an aggregate 89.2% equity interest in Biovac, L.L.C. Biovac, L.L.C. is the direct owner of 1,524,155 shares of Common Stock. Mr. El-Hibri disclaims beneficial ownership of the shares of Common Stock directly owned by Biovac, L.L.C. for purposes of Section 16, except to the extent of his pecuniary interest in 1,359,546 shares.</w:t>
      </w: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Carl A. Valenstein, attorney- </w:t>
      </w:r>
      <w:r>
        <w:rPr>
          <w:rFonts w:ascii="Arial" w:cs="Arial" w:eastAsia="Arial" w:hAnsi="Arial"/>
          <w:sz w:val="35"/>
          <w:szCs w:val="35"/>
          <w:color w:val="0000FF"/>
          <w:vertAlign w:val="subscript"/>
        </w:rPr>
        <w:t>06/15/2015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1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16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6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18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2019-12-08T17:04:39Z</dcterms:created>
  <dcterms:modified xsi:type="dcterms:W3CDTF">2019-12-08T17:04:39Z</dcterms:modified>
</cp:coreProperties>
</file>