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(Amendment No. _______)*</w:t>
      </w: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29089Q105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May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52" w:lineRule="exact"/>
        <w:rPr>
          <w:sz w:val="24"/>
          <w:szCs w:val="24"/>
          <w:color w:val="auto"/>
        </w:rPr>
      </w:pPr>
    </w:p>
    <w:p>
      <w:pPr>
        <w:jc w:val="both"/>
        <w:ind w:left="1300" w:right="8760" w:firstLine="5"/>
        <w:spacing w:after="0" w:line="598"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822960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29089Q105</w:t>
            </w:r>
          </w:p>
        </w:tc>
      </w:tr>
    </w:tbl>
    <w:p>
      <w:pPr>
        <w:spacing w:after="0" w:line="202"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Capital, LLC</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940" w:right="79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1,908,457</w:t>
      </w:r>
    </w:p>
    <w:p>
      <w:pPr>
        <w:ind w:left="940" w:right="75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1,908,457</w:t>
      </w:r>
    </w:p>
    <w:p>
      <w:pPr>
        <w:ind w:left="940" w:right="32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1,908,457</w:t>
      </w:r>
    </w:p>
    <w:p>
      <w:pPr>
        <w:ind w:left="940" w:hanging="932"/>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5.10%</w:t>
      </w:r>
    </w:p>
    <w:p>
      <w:pPr>
        <w:ind w:left="940" w:right="5480" w:hanging="932"/>
        <w:spacing w:after="0" w:line="528"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1003"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29089Q105</w:t>
            </w:r>
          </w:p>
        </w:tc>
      </w:tr>
    </w:tbl>
    <w:p>
      <w:pPr>
        <w:spacing w:after="0" w:line="202"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Healthcare Master Fund, Ltd.</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40" w:right="79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1,908,457</w:t>
      </w:r>
    </w:p>
    <w:p>
      <w:pPr>
        <w:ind w:left="940" w:right="75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1,908,457</w:t>
      </w:r>
    </w:p>
    <w:p>
      <w:pPr>
        <w:ind w:left="940" w:right="32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1,908,457</w:t>
      </w:r>
    </w:p>
    <w:p>
      <w:pPr>
        <w:ind w:left="7280" w:right="920" w:hanging="7272"/>
        <w:spacing w:after="0" w:line="277"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[_]</w:t>
      </w:r>
    </w:p>
    <w:p>
      <w:pPr>
        <w:spacing w:after="0" w:line="170" w:lineRule="exact"/>
        <w:rPr>
          <w:rFonts w:ascii="Arial" w:cs="Arial" w:eastAsia="Arial" w:hAnsi="Arial"/>
          <w:sz w:val="18"/>
          <w:szCs w:val="18"/>
          <w:color w:val="auto"/>
        </w:rPr>
      </w:pPr>
    </w:p>
    <w:p>
      <w:pPr>
        <w:ind w:left="940" w:right="47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5.10%</w:t>
      </w:r>
    </w:p>
    <w:p>
      <w:pPr>
        <w:ind w:left="940" w:right="5480" w:hanging="932"/>
        <w:spacing w:after="0" w:line="528"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760"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29089Q105</w:t>
            </w:r>
          </w:p>
        </w:tc>
      </w:tr>
    </w:tbl>
    <w:p>
      <w:pPr>
        <w:spacing w:after="0" w:line="202" w:lineRule="exact"/>
        <w:rPr>
          <w:sz w:val="20"/>
          <w:szCs w:val="20"/>
          <w:color w:val="auto"/>
        </w:rPr>
      </w:pP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Kevin Kotler</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hanging="93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40" w:right="79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VOTING POWER 1,908,457</w:t>
      </w:r>
    </w:p>
    <w:p>
      <w:pPr>
        <w:ind w:left="940" w:right="75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DISPOSITIVE POWER 1,908,457</w:t>
      </w:r>
    </w:p>
    <w:p>
      <w:pPr>
        <w:ind w:left="940" w:right="32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1,908,457</w:t>
      </w:r>
    </w:p>
    <w:p>
      <w:pPr>
        <w:ind w:left="940" w:hanging="93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5.10%</w:t>
      </w:r>
    </w:p>
    <w:p>
      <w:pPr>
        <w:ind w:left="940" w:right="5480" w:hanging="932"/>
        <w:spacing w:after="0" w:line="528"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976" w:right="8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CUSIP No</w:t>
            </w:r>
          </w:p>
        </w:tc>
        <w:tc>
          <w:tcPr>
            <w:tcW w:w="76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29089Q105</w:t>
            </w:r>
          </w:p>
        </w:tc>
        <w:tc>
          <w:tcPr>
            <w:tcW w:w="57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760" w:type="dxa"/>
            <w:vAlign w:val="bottom"/>
          </w:tcPr>
          <w:p>
            <w:pPr>
              <w:ind w:left="100"/>
              <w:spacing w:after="0"/>
              <w:rPr>
                <w:sz w:val="20"/>
                <w:szCs w:val="20"/>
                <w:color w:val="auto"/>
              </w:rPr>
            </w:pPr>
            <w:r>
              <w:rPr>
                <w:rFonts w:ascii="Arial" w:cs="Arial" w:eastAsia="Arial" w:hAnsi="Arial"/>
                <w:sz w:val="18"/>
                <w:szCs w:val="18"/>
                <w:color w:val="auto"/>
              </w:rPr>
              <w:t>(a).</w:t>
            </w:r>
          </w:p>
        </w:tc>
        <w:tc>
          <w:tcPr>
            <w:tcW w:w="85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220" w:type="dxa"/>
            <w:vAlign w:val="bottom"/>
          </w:tcPr>
          <w:p>
            <w:pPr>
              <w:spacing w:after="0"/>
              <w:rPr>
                <w:sz w:val="24"/>
                <w:szCs w:val="24"/>
                <w:color w:val="auto"/>
              </w:rPr>
            </w:pPr>
          </w:p>
        </w:tc>
      </w:tr>
      <w:tr>
        <w:trPr>
          <w:trHeight w:val="439"/>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Emergent BioSolutions, Inc.</w:t>
            </w:r>
          </w:p>
        </w:tc>
        <w:tc>
          <w:tcPr>
            <w:tcW w:w="122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(b).</w:t>
            </w:r>
          </w:p>
        </w:tc>
        <w:tc>
          <w:tcPr>
            <w:tcW w:w="858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1220" w:type="dxa"/>
            <w:vAlign w:val="bottom"/>
          </w:tcPr>
          <w:p>
            <w:pPr>
              <w:spacing w:after="0"/>
              <w:rPr>
                <w:sz w:val="24"/>
                <w:szCs w:val="24"/>
                <w:color w:val="auto"/>
              </w:rPr>
            </w:pPr>
          </w:p>
        </w:tc>
      </w:tr>
      <w:tr>
        <w:trPr>
          <w:trHeight w:val="4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2273 Research Boulevard</w:t>
            </w:r>
          </w:p>
        </w:tc>
        <w:tc>
          <w:tcPr>
            <w:tcW w:w="12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Suite 400</w:t>
            </w:r>
          </w:p>
        </w:tc>
        <w:tc>
          <w:tcPr>
            <w:tcW w:w="1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Rockville, Maryland 20850</w:t>
            </w:r>
          </w:p>
        </w:tc>
        <w:tc>
          <w:tcPr>
            <w:tcW w:w="1220" w:type="dxa"/>
            <w:vAlign w:val="bottom"/>
          </w:tcPr>
          <w:p>
            <w:pPr>
              <w:spacing w:after="0"/>
              <w:rPr>
                <w:sz w:val="18"/>
                <w:szCs w:val="18"/>
                <w:color w:val="auto"/>
              </w:rPr>
            </w:pPr>
          </w:p>
        </w:tc>
      </w:tr>
      <w:tr>
        <w:trPr>
          <w:trHeight w:val="237"/>
        </w:trPr>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c>
          <w:tcPr>
            <w:tcW w:w="1220" w:type="dxa"/>
            <w:vAlign w:val="bottom"/>
          </w:tcPr>
          <w:p>
            <w:pPr>
              <w:spacing w:after="0"/>
              <w:rPr>
                <w:sz w:val="20"/>
                <w:szCs w:val="20"/>
                <w:color w:val="auto"/>
              </w:rPr>
            </w:pP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760" w:type="dxa"/>
            <w:vAlign w:val="bottom"/>
          </w:tcPr>
          <w:p>
            <w:pPr>
              <w:ind w:left="100"/>
              <w:spacing w:after="0"/>
              <w:rPr>
                <w:sz w:val="20"/>
                <w:szCs w:val="20"/>
                <w:color w:val="auto"/>
              </w:rPr>
            </w:pPr>
            <w:r>
              <w:rPr>
                <w:rFonts w:ascii="Arial" w:cs="Arial" w:eastAsia="Arial" w:hAnsi="Arial"/>
                <w:sz w:val="18"/>
                <w:szCs w:val="18"/>
                <w:color w:val="auto"/>
              </w:rPr>
              <w:t>(a).</w:t>
            </w:r>
          </w:p>
        </w:tc>
        <w:tc>
          <w:tcPr>
            <w:tcW w:w="8580" w:type="dxa"/>
            <w:vAlign w:val="bottom"/>
            <w:gridSpan w:val="2"/>
          </w:tcPr>
          <w:p>
            <w:pPr>
              <w:spacing w:after="0"/>
              <w:rPr>
                <w:sz w:val="20"/>
                <w:szCs w:val="20"/>
                <w:color w:val="auto"/>
              </w:rPr>
            </w:pPr>
            <w:r>
              <w:rPr>
                <w:rFonts w:ascii="Arial" w:cs="Arial" w:eastAsia="Arial" w:hAnsi="Arial"/>
                <w:sz w:val="18"/>
                <w:szCs w:val="18"/>
                <w:color w:val="auto"/>
              </w:rPr>
              <w:t>Name of Person Filing:</w:t>
            </w:r>
          </w:p>
        </w:tc>
        <w:tc>
          <w:tcPr>
            <w:tcW w:w="1220" w:type="dxa"/>
            <w:vAlign w:val="bottom"/>
          </w:tcPr>
          <w:p>
            <w:pPr>
              <w:spacing w:after="0"/>
              <w:rPr>
                <w:sz w:val="24"/>
                <w:szCs w:val="24"/>
                <w:color w:val="auto"/>
              </w:rPr>
            </w:pPr>
          </w:p>
        </w:tc>
      </w:tr>
      <w:tr>
        <w:trPr>
          <w:trHeight w:val="4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Broadfin Capital, LLC</w:t>
            </w:r>
          </w:p>
        </w:tc>
        <w:tc>
          <w:tcPr>
            <w:tcW w:w="12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Broadfin Healthcare Master Fund, Ltd.</w:t>
            </w:r>
          </w:p>
        </w:tc>
        <w:tc>
          <w:tcPr>
            <w:tcW w:w="1220" w:type="dxa"/>
            <w:vAlign w:val="bottom"/>
          </w:tcPr>
          <w:p>
            <w:pPr>
              <w:spacing w:after="0"/>
              <w:rPr>
                <w:sz w:val="18"/>
                <w:szCs w:val="18"/>
                <w:color w:val="auto"/>
              </w:rPr>
            </w:pPr>
          </w:p>
        </w:tc>
      </w:tr>
      <w:tr>
        <w:trPr>
          <w:trHeight w:val="237"/>
        </w:trPr>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Kotler</w:t>
            </w:r>
          </w:p>
        </w:tc>
        <w:tc>
          <w:tcPr>
            <w:tcW w:w="122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(b).</w:t>
            </w:r>
          </w:p>
        </w:tc>
        <w:tc>
          <w:tcPr>
            <w:tcW w:w="858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220" w:type="dxa"/>
            <w:vAlign w:val="bottom"/>
          </w:tcPr>
          <w:p>
            <w:pPr>
              <w:spacing w:after="0"/>
              <w:rPr>
                <w:sz w:val="24"/>
                <w:szCs w:val="24"/>
                <w:color w:val="auto"/>
              </w:rPr>
            </w:pPr>
          </w:p>
        </w:tc>
      </w:tr>
      <w:tr>
        <w:trPr>
          <w:trHeight w:val="4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Broadfin Capital, LLC</w:t>
            </w:r>
          </w:p>
        </w:tc>
        <w:tc>
          <w:tcPr>
            <w:tcW w:w="12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237 Park Avenue, Suite 900</w:t>
            </w:r>
          </w:p>
        </w:tc>
        <w:tc>
          <w:tcPr>
            <w:tcW w:w="1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New York, New York 10017</w:t>
            </w:r>
          </w:p>
        </w:tc>
        <w:tc>
          <w:tcPr>
            <w:tcW w:w="122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1220" w:type="dxa"/>
            <w:vAlign w:val="bottom"/>
          </w:tcPr>
          <w:p>
            <w:pPr>
              <w:spacing w:after="0"/>
              <w:rPr>
                <w:sz w:val="20"/>
                <w:szCs w:val="20"/>
                <w:color w:val="auto"/>
              </w:rPr>
            </w:pPr>
          </w:p>
        </w:tc>
      </w:tr>
      <w:tr>
        <w:trPr>
          <w:trHeight w:val="4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Broadfin Healthcare Master Fund, Ltd.</w:t>
            </w:r>
          </w:p>
        </w:tc>
        <w:tc>
          <w:tcPr>
            <w:tcW w:w="12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20 Genesis Close</w:t>
            </w:r>
          </w:p>
        </w:tc>
        <w:tc>
          <w:tcPr>
            <w:tcW w:w="1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Ansbacher House, Second Floor</w:t>
            </w:r>
          </w:p>
        </w:tc>
        <w:tc>
          <w:tcPr>
            <w:tcW w:w="1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P.O. Box 1344</w:t>
            </w:r>
          </w:p>
        </w:tc>
        <w:tc>
          <w:tcPr>
            <w:tcW w:w="1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Grand Cayman KY1-1108</w:t>
            </w:r>
          </w:p>
        </w:tc>
        <w:tc>
          <w:tcPr>
            <w:tcW w:w="122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220" w:type="dxa"/>
            <w:vAlign w:val="bottom"/>
          </w:tcPr>
          <w:p>
            <w:pPr>
              <w:spacing w:after="0"/>
              <w:rPr>
                <w:sz w:val="20"/>
                <w:szCs w:val="20"/>
                <w:color w:val="auto"/>
              </w:rPr>
            </w:pPr>
          </w:p>
        </w:tc>
      </w:tr>
      <w:tr>
        <w:trPr>
          <w:trHeight w:val="4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Kevin Kotler</w:t>
            </w:r>
          </w:p>
        </w:tc>
        <w:tc>
          <w:tcPr>
            <w:tcW w:w="12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c/o Broadfin Capital, LLC</w:t>
            </w:r>
          </w:p>
        </w:tc>
        <w:tc>
          <w:tcPr>
            <w:tcW w:w="1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237 Park Avenue, Suite 900</w:t>
            </w:r>
          </w:p>
        </w:tc>
        <w:tc>
          <w:tcPr>
            <w:tcW w:w="1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New York, New York 10017</w:t>
            </w:r>
          </w:p>
        </w:tc>
        <w:tc>
          <w:tcPr>
            <w:tcW w:w="1220" w:type="dxa"/>
            <w:vAlign w:val="bottom"/>
          </w:tcPr>
          <w:p>
            <w:pPr>
              <w:spacing w:after="0"/>
              <w:rPr>
                <w:sz w:val="18"/>
                <w:szCs w:val="18"/>
                <w:color w:val="auto"/>
              </w:rPr>
            </w:pPr>
          </w:p>
        </w:tc>
      </w:tr>
      <w:tr>
        <w:trPr>
          <w:trHeight w:val="237"/>
        </w:trPr>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c>
          <w:tcPr>
            <w:tcW w:w="122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(c)</w:t>
            </w:r>
          </w:p>
        </w:tc>
        <w:tc>
          <w:tcPr>
            <w:tcW w:w="858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1220" w:type="dxa"/>
            <w:vAlign w:val="bottom"/>
          </w:tcPr>
          <w:p>
            <w:pPr>
              <w:spacing w:after="0"/>
              <w:rPr>
                <w:sz w:val="24"/>
                <w:szCs w:val="24"/>
                <w:color w:val="auto"/>
              </w:rPr>
            </w:pPr>
          </w:p>
        </w:tc>
      </w:tr>
      <w:tr>
        <w:trPr>
          <w:trHeight w:val="4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Broadfin Capital, LLC – Delaware</w:t>
            </w:r>
          </w:p>
        </w:tc>
        <w:tc>
          <w:tcPr>
            <w:tcW w:w="12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Broadfin Healthcare Master Fund, Ltd. – Cayman Islands</w:t>
            </w:r>
          </w:p>
        </w:tc>
        <w:tc>
          <w:tcPr>
            <w:tcW w:w="1220" w:type="dxa"/>
            <w:vAlign w:val="bottom"/>
          </w:tcPr>
          <w:p>
            <w:pPr>
              <w:spacing w:after="0"/>
              <w:rPr>
                <w:sz w:val="18"/>
                <w:szCs w:val="18"/>
                <w:color w:val="auto"/>
              </w:rPr>
            </w:pPr>
          </w:p>
        </w:tc>
      </w:tr>
      <w:tr>
        <w:trPr>
          <w:trHeight w:val="237"/>
        </w:trPr>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Kotler – United States of America</w:t>
            </w:r>
          </w:p>
        </w:tc>
        <w:tc>
          <w:tcPr>
            <w:tcW w:w="122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(d).</w:t>
            </w:r>
          </w:p>
        </w:tc>
        <w:tc>
          <w:tcPr>
            <w:tcW w:w="858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1220" w:type="dxa"/>
            <w:vAlign w:val="bottom"/>
          </w:tcPr>
          <w:p>
            <w:pPr>
              <w:spacing w:after="0"/>
              <w:rPr>
                <w:sz w:val="24"/>
                <w:szCs w:val="24"/>
                <w:color w:val="auto"/>
              </w:rPr>
            </w:pPr>
          </w:p>
        </w:tc>
      </w:tr>
      <w:tr>
        <w:trPr>
          <w:trHeight w:val="439"/>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22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(e).</w:t>
            </w:r>
          </w:p>
        </w:tc>
        <w:tc>
          <w:tcPr>
            <w:tcW w:w="8580" w:type="dxa"/>
            <w:vAlign w:val="bottom"/>
            <w:gridSpan w:val="2"/>
          </w:tcPr>
          <w:p>
            <w:pPr>
              <w:spacing w:after="0"/>
              <w:rPr>
                <w:sz w:val="20"/>
                <w:szCs w:val="20"/>
                <w:color w:val="auto"/>
              </w:rPr>
            </w:pPr>
            <w:r>
              <w:rPr>
                <w:rFonts w:ascii="Arial" w:cs="Arial" w:eastAsia="Arial" w:hAnsi="Arial"/>
                <w:sz w:val="18"/>
                <w:szCs w:val="18"/>
                <w:color w:val="auto"/>
              </w:rPr>
              <w:t>CUSIP Number:</w:t>
            </w:r>
          </w:p>
        </w:tc>
        <w:tc>
          <w:tcPr>
            <w:tcW w:w="1220" w:type="dxa"/>
            <w:vAlign w:val="bottom"/>
          </w:tcPr>
          <w:p>
            <w:pPr>
              <w:spacing w:after="0"/>
              <w:rPr>
                <w:sz w:val="24"/>
                <w:szCs w:val="24"/>
                <w:color w:val="auto"/>
              </w:rPr>
            </w:pPr>
          </w:p>
        </w:tc>
      </w:tr>
      <w:tr>
        <w:trPr>
          <w:trHeight w:val="439"/>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29089Q105</w:t>
            </w:r>
          </w:p>
        </w:tc>
        <w:tc>
          <w:tcPr>
            <w:tcW w:w="1220" w:type="dxa"/>
            <w:vAlign w:val="bottom"/>
          </w:tcPr>
          <w:p>
            <w:pPr>
              <w:spacing w:after="0"/>
              <w:rPr>
                <w:sz w:val="24"/>
                <w:szCs w:val="24"/>
                <w:color w:val="auto"/>
              </w:rPr>
            </w:pPr>
          </w:p>
        </w:tc>
      </w:tr>
      <w:tr>
        <w:trPr>
          <w:trHeight w:val="1118"/>
        </w:trPr>
        <w:tc>
          <w:tcPr>
            <w:tcW w:w="8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spacing w:after="0"/>
        <w:tabs>
          <w:tab w:leader="none" w:pos="16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25" w:lineRule="exact"/>
        <w:rPr>
          <w:sz w:val="20"/>
          <w:szCs w:val="20"/>
          <w:color w:val="auto"/>
        </w:rPr>
      </w:pPr>
    </w:p>
    <w:p>
      <w:pPr>
        <w:ind w:left="1640" w:hanging="673"/>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25" w:lineRule="exact"/>
        <w:rPr>
          <w:rFonts w:ascii="Arial" w:cs="Arial" w:eastAsia="Arial" w:hAnsi="Arial"/>
          <w:sz w:val="18"/>
          <w:szCs w:val="18"/>
          <w:color w:val="auto"/>
        </w:rPr>
      </w:pPr>
    </w:p>
    <w:p>
      <w:pPr>
        <w:ind w:left="1640" w:hanging="673"/>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640" w:hanging="673"/>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640" w:hanging="673"/>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40" w:hanging="673"/>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640" w:hanging="673"/>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640" w:hanging="673"/>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640" w:hanging="673"/>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180" w:right="500" w:hanging="1213"/>
        <w:spacing w:after="0" w:line="277"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40" w:hanging="673"/>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0" w:lineRule="exact"/>
        <w:rPr>
          <w:sz w:val="20"/>
          <w:szCs w:val="20"/>
          <w:color w:val="auto"/>
        </w:rPr>
      </w:pPr>
    </w:p>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620" w:hanging="532"/>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Broadfin Capital, LLC – 1,908,457</w:t>
      </w:r>
    </w:p>
    <w:p>
      <w:pPr>
        <w:spacing w:after="0" w:line="23" w:lineRule="exact"/>
        <w:rPr>
          <w:rFonts w:ascii="Arial" w:cs="Arial" w:eastAsia="Arial" w:hAnsi="Arial"/>
          <w:sz w:val="18"/>
          <w:szCs w:val="18"/>
          <w:color w:val="auto"/>
        </w:rPr>
      </w:pPr>
    </w:p>
    <w:p>
      <w:pPr>
        <w:ind w:left="1620" w:right="58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1,908,457 Kevin Kotler – 1,908,457</w:t>
      </w:r>
    </w:p>
    <w:p>
      <w:pPr>
        <w:spacing w:after="0" w:line="210" w:lineRule="exact"/>
        <w:rPr>
          <w:rFonts w:ascii="Arial" w:cs="Arial" w:eastAsia="Arial" w:hAnsi="Arial"/>
          <w:sz w:val="18"/>
          <w:szCs w:val="18"/>
          <w:color w:val="auto"/>
        </w:rPr>
      </w:pPr>
    </w:p>
    <w:p>
      <w:pPr>
        <w:ind w:left="1620" w:hanging="532"/>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Broadfin Capital, LLC – 5.10%</w:t>
      </w:r>
    </w:p>
    <w:p>
      <w:pPr>
        <w:spacing w:after="0" w:line="23" w:lineRule="exact"/>
        <w:rPr>
          <w:rFonts w:ascii="Arial" w:cs="Arial" w:eastAsia="Arial" w:hAnsi="Arial"/>
          <w:sz w:val="18"/>
          <w:szCs w:val="18"/>
          <w:color w:val="auto"/>
        </w:rPr>
      </w:pPr>
    </w:p>
    <w:p>
      <w:pPr>
        <w:ind w:left="1620" w:right="614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5.10% Kevin Kotler – 5.10%</w:t>
      </w:r>
    </w:p>
    <w:p>
      <w:pPr>
        <w:spacing w:after="0" w:line="210" w:lineRule="exact"/>
        <w:rPr>
          <w:rFonts w:ascii="Arial" w:cs="Arial" w:eastAsia="Arial" w:hAnsi="Arial"/>
          <w:sz w:val="18"/>
          <w:szCs w:val="18"/>
          <w:color w:val="auto"/>
        </w:rPr>
      </w:pPr>
    </w:p>
    <w:p>
      <w:pPr>
        <w:ind w:left="1620" w:hanging="532"/>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300" w:hanging="685"/>
        <w:spacing w:after="0"/>
        <w:tabs>
          <w:tab w:leader="none" w:pos="2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00" w:right="584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00" w:hanging="685"/>
        <w:spacing w:after="0"/>
        <w:tabs>
          <w:tab w:leader="none" w:pos="2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Broadfin Capital, LLC – 1,908,457</w:t>
      </w:r>
    </w:p>
    <w:p>
      <w:pPr>
        <w:spacing w:after="0" w:line="23" w:lineRule="exact"/>
        <w:rPr>
          <w:rFonts w:ascii="Arial" w:cs="Arial" w:eastAsia="Arial" w:hAnsi="Arial"/>
          <w:sz w:val="18"/>
          <w:szCs w:val="18"/>
          <w:color w:val="auto"/>
        </w:rPr>
      </w:pPr>
    </w:p>
    <w:p>
      <w:pPr>
        <w:ind w:left="2300" w:right="520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1,908,457 Kevin Kotler – 1,908,457</w:t>
      </w:r>
    </w:p>
    <w:p>
      <w:pPr>
        <w:spacing w:after="0" w:line="183" w:lineRule="exact"/>
        <w:rPr>
          <w:rFonts w:ascii="Arial" w:cs="Arial" w:eastAsia="Arial" w:hAnsi="Arial"/>
          <w:sz w:val="18"/>
          <w:szCs w:val="18"/>
          <w:color w:val="auto"/>
        </w:rPr>
      </w:pPr>
    </w:p>
    <w:p>
      <w:pPr>
        <w:ind w:left="2300" w:hanging="685"/>
        <w:spacing w:after="0"/>
        <w:tabs>
          <w:tab w:leader="none" w:pos="2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00" w:right="584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00" w:hanging="685"/>
        <w:spacing w:after="0"/>
        <w:tabs>
          <w:tab w:leader="none" w:pos="2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Broadfin Capital, LLC – 1,908,457</w:t>
      </w:r>
    </w:p>
    <w:p>
      <w:pPr>
        <w:spacing w:after="0" w:line="23" w:lineRule="exact"/>
        <w:rPr>
          <w:rFonts w:ascii="Arial" w:cs="Arial" w:eastAsia="Arial" w:hAnsi="Arial"/>
          <w:sz w:val="18"/>
          <w:szCs w:val="18"/>
          <w:color w:val="auto"/>
        </w:rPr>
      </w:pPr>
    </w:p>
    <w:p>
      <w:pPr>
        <w:ind w:left="2300" w:right="520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1,908,457 Kevin Kotler – 1,908,457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-4436110</wp:posOffset>
            </wp:positionV>
            <wp:extent cx="62261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6175" cy="1714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-3595370</wp:posOffset>
            </wp:positionV>
            <wp:extent cx="62261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617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760" w:right="459" w:bottom="1440" w:gutter="0" w:footer="0" w:header="0"/>
        </w:sectPr>
      </w:pPr>
    </w:p>
    <w:bookmarkStart w:id="6" w:name="page7"/>
    <w:bookmarkEnd w:id="6"/>
    <w:p>
      <w:pPr>
        <w:spacing w:after="0"/>
        <w:tabs>
          <w:tab w:leader="none" w:pos="10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080" w:right="3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65690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907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64230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jc w:val="both"/>
        <w:ind w:left="1300" w:right="160"/>
        <w:spacing w:after="0" w:line="286" w:lineRule="auto"/>
        <w:rPr>
          <w:sz w:val="20"/>
          <w:szCs w:val="20"/>
          <w:color w:val="auto"/>
        </w:rPr>
      </w:pPr>
      <w:r>
        <w:rPr>
          <w:rFonts w:ascii="Arial" w:cs="Arial" w:eastAsia="Arial" w:hAnsi="Arial"/>
          <w:sz w:val="17"/>
          <w:szCs w:val="17"/>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64230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160" w:right="28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6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656018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6018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6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691515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May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5715</wp:posOffset>
            </wp:positionV>
            <wp:extent cx="36277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May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5715</wp:posOffset>
            </wp:positionV>
            <wp:extent cx="36277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May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disclaim beneficial ownership in the shares reported herein except to the extent of their pecuniary interest therein.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undersigned agree that this Schedule 13G dated May 19, 2014 relating to the Common Stock, par value $0.01 per share of Emergent BioSolutions, Inc. shall be filed on behalf of the undersigned.</w:t>
      </w:r>
    </w:p>
    <w:p>
      <w:pPr>
        <w:spacing w:after="0" w:line="200" w:lineRule="exact"/>
        <w:rPr>
          <w:sz w:val="20"/>
          <w:szCs w:val="20"/>
          <w:color w:val="auto"/>
        </w:rPr>
      </w:pPr>
    </w:p>
    <w:p>
      <w:pPr>
        <w:spacing w:after="0" w:line="241"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May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5715</wp:posOffset>
            </wp:positionV>
            <wp:extent cx="36277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May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5715</wp:posOffset>
            </wp:positionV>
            <wp:extent cx="36277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May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SK 25125 0001 1478968</w:t>
      </w:r>
    </w:p>
    <w:sectPr>
      <w:pgSz w:w="11900" w:h="16838" w:orient="portrait"/>
      <w:cols w:equalWidth="0" w:num="1">
        <w:col w:w="11340"/>
      </w:cols>
      <w:pgMar w:left="240" w:top="1003" w:right="319" w:bottom="9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2019-12-07T12:55:32Z</dcterms:created>
  <dcterms:modified xsi:type="dcterms:W3CDTF">2019-12-07T12:55:32Z</dcterms:modified>
</cp:coreProperties>
</file>