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El-Hibri Fuad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15"/>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04/16/2020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45"/>
        <w:spacing w:after="0"/>
        <w:rPr>
          <w:sz w:val="20"/>
          <w:szCs w:val="20"/>
          <w:color w:val="auto"/>
        </w:rPr>
      </w:pPr>
      <w:r>
        <w:rPr>
          <w:rFonts w:ascii="Arial" w:cs="Arial" w:eastAsia="Arial" w:hAnsi="Arial"/>
          <w:sz w:val="17"/>
          <w:szCs w:val="17"/>
          <w:color w:val="0000FF"/>
        </w:rPr>
        <w:t>Chairman</w:t>
      </w:r>
    </w:p>
    <w:p>
      <w:pPr>
        <w:spacing w:after="0" w:line="255"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3540" w:type="dxa"/>
            <w:vAlign w:val="bottom"/>
            <w:gridSpan w:val="6"/>
            <w:vMerge w:val="continue"/>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GAITHERSBURG MD</w:t>
            </w:r>
          </w:p>
        </w:tc>
        <w:tc>
          <w:tcPr>
            <w:tcW w:w="1340" w:type="dxa"/>
            <w:vAlign w:val="bottom"/>
          </w:tcPr>
          <w:p>
            <w:pPr>
              <w:ind w:left="220"/>
              <w:spacing w:after="0"/>
              <w:rPr>
                <w:sz w:val="20"/>
                <w:szCs w:val="20"/>
                <w:color w:val="auto"/>
              </w:rPr>
            </w:pPr>
            <w:r>
              <w:rPr>
                <w:rFonts w:ascii="Arial" w:cs="Arial" w:eastAsia="Arial" w:hAnsi="Arial"/>
                <w:sz w:val="17"/>
                <w:szCs w:val="17"/>
                <w:color w:val="0000FF"/>
              </w:rPr>
              <w:t>20879</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94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04/16/2020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20,000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62.47</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1,309,523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spacing w:after="0" w:line="213" w:lineRule="exact"/>
              <w:rPr>
                <w:sz w:val="20"/>
                <w:szCs w:val="20"/>
                <w:color w:val="auto"/>
              </w:rPr>
            </w:pPr>
            <w:r>
              <w:rPr>
                <w:rFonts w:ascii="Arial" w:cs="Arial" w:eastAsia="Arial" w:hAnsi="Arial"/>
                <w:sz w:val="17"/>
                <w:szCs w:val="17"/>
                <w:color w:val="0000FF"/>
                <w:w w:val="87"/>
              </w:rPr>
              <w:t>4,344,250</w:t>
            </w:r>
            <w:r>
              <w:rPr>
                <w:rFonts w:ascii="Arial" w:cs="Arial" w:eastAsia="Arial" w:hAnsi="Arial"/>
                <w:sz w:val="22"/>
                <w:szCs w:val="22"/>
                <w:color w:val="008000"/>
                <w:w w:val="87"/>
                <w:vertAlign w:val="superscript"/>
              </w:rPr>
              <w:t>(3)</w:t>
            </w:r>
          </w:p>
        </w:tc>
        <w:tc>
          <w:tcPr>
            <w:tcW w:w="92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Intervac,</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spacing w:after="0" w:line="213" w:lineRule="exact"/>
              <w:rPr>
                <w:sz w:val="20"/>
                <w:szCs w:val="20"/>
                <w:color w:val="auto"/>
              </w:rPr>
            </w:pPr>
            <w:r>
              <w:rPr>
                <w:rFonts w:ascii="Arial" w:cs="Arial" w:eastAsia="Arial" w:hAnsi="Arial"/>
                <w:sz w:val="17"/>
                <w:szCs w:val="17"/>
                <w:color w:val="0000FF"/>
                <w:w w:val="87"/>
              </w:rPr>
              <w:t>1,524,155</w:t>
            </w:r>
            <w:r>
              <w:rPr>
                <w:rFonts w:ascii="Arial" w:cs="Arial" w:eastAsia="Arial" w:hAnsi="Arial"/>
                <w:sz w:val="22"/>
                <w:szCs w:val="22"/>
                <w:color w:val="008000"/>
                <w:w w:val="87"/>
                <w:vertAlign w:val="superscript"/>
              </w:rPr>
              <w:t>(4)</w:t>
            </w:r>
          </w:p>
        </w:tc>
        <w:tc>
          <w:tcPr>
            <w:tcW w:w="92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Biovac,</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-3855085</wp:posOffset>
            </wp:positionV>
            <wp:extent cx="7031355" cy="3900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90080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was made by the Reporting Person pursuant to a trading plan adopted by Fuad El-Hibri Nancy El-Hibri JTWROS on February 25, 2020 that is intended to comply with Rule 10b5-1(c) under the Securities Exchange Act of 1934.</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reflects a weighted average price. These shares were sold in multiple transactions at prices ranging from $61.66 to $63.83.</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El-Hibri's wife, individually, and Mr. and Mrs. El-Hibri, as tenants by the entirety, collectively hold an aggregate 40.65% equity interest in Intervac, L.L.C., which in turn is the direct owner of 4,344,250 shares of the Issuer's common stock. Mr. El-Hibri disclaims beneficial ownership of the shares of the Issuer's common stock directly owned by Intervac, L.L.C. for purposes of Section 16 of the Exchange Act or otherwise, except to the extent of his pecuniary interest therein.</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El-Hibri, individually, and Mr. and Mrs. El-Hibri, as tenants by the entirety, collectively hold an aggregate 89.2% equity interest in Biovac, L.L.C, which in turn is the direct owner of 1,524,155 shares of the Issuer's common stock. Mr. El-Hibri disclaims beneficial ownership of the shares of the Issuer's common stock directly owned by Biovac, L.L.C. for purposes of Section 16 of the Exchange Act or otherwise, except to the extent of his pecuniary interest therein.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Carl A. Valenstein,</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04/20/2020</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80185" TargetMode="External"/><Relationship Id="rId14"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2020-04-20T17:32:30Z</dcterms:created>
  <dcterms:modified xsi:type="dcterms:W3CDTF">2020-04-20T17:32:30Z</dcterms:modified>
</cp:coreProperties>
</file>