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9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El-Hibri Fuad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Emergent BioSolutions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959"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GAITHERSBURG MD</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20879</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09/16/2020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102.48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1,169,523</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09/17/2020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100.68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1,149,523</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2,140,463</w:t>
            </w:r>
            <w:r>
              <w:rPr>
                <w:rFonts w:ascii="Times New Roman" w:cs="Times New Roman" w:eastAsia="Times New Roman" w:hAnsi="Times New Roman"/>
                <w:sz w:val="22"/>
                <w:szCs w:val="22"/>
                <w:color w:val="008000"/>
                <w:w w:val="96"/>
                <w:vertAlign w:val="superscript"/>
              </w:rPr>
              <w:t>(4)</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Intervac,</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1,524,155</w:t>
            </w:r>
            <w:r>
              <w:rPr>
                <w:rFonts w:ascii="Times New Roman" w:cs="Times New Roman" w:eastAsia="Times New Roman" w:hAnsi="Times New Roman"/>
                <w:sz w:val="22"/>
                <w:szCs w:val="22"/>
                <w:color w:val="008000"/>
                <w:w w:val="96"/>
                <w:vertAlign w:val="superscript"/>
              </w:rPr>
              <w:t>(5)</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Biovac,</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-4080510</wp:posOffset>
            </wp:positionV>
            <wp:extent cx="7031355" cy="4120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2051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made by the Reporting Person pursuant to a trading plan adopted by Fuad El-Hibri Nancy El-Hibri JTWROS on February 25, 2020 that is intended to comply with Rule 10b5-1(c) under the Securities Exchange Act of 1934.</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These shares were sold in multiple transactions at prices ranging from $102.13 to $102.27. The Reporting Person will provide to the Issuer, any security holder of the Issuer or the SEC staff, upon request, information regarding the number of shares sold at each price within the range.</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These shares were sold in multiple transactions at prices ranging from $99.07 to $102.18. The Reporting Person will provide to the Issuer, any security holder of the Issuer or the SEC staff, upon request, information regarding the number of shares sold at each price within the range.</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Intervac is the direct owner of 2,140,463 shares of the Issuer's common stock. The Reporting Person serves as the managing member of Intervac and the Reporting Person or his wife serve as the trustee of each of the members of Intervac. The Reporting Person disclaims beneficial ownership of the shares of the Issuer's common stock directly owned by Intervac for purposes of Section 16 of the Exchange Act or otherwise,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individually, and the Reporting Person and his wife, as tenants by the entirety, collectively hold an aggregate 89.2% equity interest in Biovac, L.L.C, which in turn is the direct owner of 1,524,155 shares of the Issuer's common stock. The Reporting Person disclaims beneficial ownership of the shares of the Issuer's common stock directly owned by Biovac, L.L.C. for purposes of Section 16 of the Exchange Act or otherwise, except to the extent of his pecuniary interest therein.</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Carl A. Valenstein,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09/18/2020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2020-09-18T17:26:32Z</dcterms:created>
  <dcterms:modified xsi:type="dcterms:W3CDTF">2020-09-18T17:26:32Z</dcterms:modified>
</cp:coreProperties>
</file>