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WASHINGTON, D.C. 20549</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CURRENT REPORT</w:t>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Date of Report (Date of earliest event reported): April 4, 2021</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EMERGENT BIOSOLUTIONS INC.</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pacing w:after="0" w:line="269" w:lineRule="exact"/>
        <w:rPr>
          <w:sz w:val="24"/>
          <w:szCs w:val="24"/>
          <w:color w:val="auto"/>
        </w:rPr>
      </w:pPr>
    </w:p>
    <w:tbl>
      <w:tblPr>
        <w:tblLayout w:type="fixed"/>
        <w:tblInd w:w="1380" w:type="dxa"/>
        <w:tblCellMar>
          <w:top w:w="0" w:type="dxa"/>
          <w:left w:w="0" w:type="dxa"/>
          <w:bottom w:w="0" w:type="dxa"/>
          <w:right w:w="0" w:type="dxa"/>
        </w:tblCellMar>
      </w:tblPr>
      <w:tr>
        <w:trPr>
          <w:trHeight w:val="184"/>
        </w:trPr>
        <w:tc>
          <w:tcPr>
            <w:tcW w:w="2480" w:type="dxa"/>
            <w:vAlign w:val="bottom"/>
          </w:tcPr>
          <w:p>
            <w:pPr>
              <w:jc w:val="center"/>
              <w:ind w:right="909"/>
              <w:spacing w:after="0"/>
              <w:rPr>
                <w:sz w:val="20"/>
                <w:szCs w:val="20"/>
                <w:color w:val="auto"/>
              </w:rPr>
            </w:pPr>
            <w:r>
              <w:rPr>
                <w:rFonts w:ascii="Arial" w:cs="Arial" w:eastAsia="Arial" w:hAnsi="Arial"/>
                <w:sz w:val="14"/>
                <w:szCs w:val="14"/>
                <w:b w:val="1"/>
                <w:bCs w:val="1"/>
                <w:color w:val="auto"/>
                <w:w w:val="94"/>
              </w:rPr>
              <w:t>Delaware</w:t>
            </w:r>
          </w:p>
        </w:tc>
        <w:tc>
          <w:tcPr>
            <w:tcW w:w="3660" w:type="dxa"/>
            <w:vAlign w:val="bottom"/>
          </w:tcPr>
          <w:p>
            <w:pPr>
              <w:jc w:val="right"/>
              <w:ind w:right="1509"/>
              <w:spacing w:after="0"/>
              <w:rPr>
                <w:sz w:val="20"/>
                <w:szCs w:val="20"/>
                <w:color w:val="auto"/>
              </w:rPr>
            </w:pPr>
            <w:r>
              <w:rPr>
                <w:rFonts w:ascii="Arial" w:cs="Arial" w:eastAsia="Arial" w:hAnsi="Arial"/>
                <w:sz w:val="14"/>
                <w:szCs w:val="14"/>
                <w:b w:val="1"/>
                <w:bCs w:val="1"/>
                <w:color w:val="auto"/>
              </w:rPr>
              <w:t>001-33137</w:t>
            </w:r>
          </w:p>
        </w:tc>
        <w:tc>
          <w:tcPr>
            <w:tcW w:w="2140" w:type="dxa"/>
            <w:vAlign w:val="bottom"/>
          </w:tcPr>
          <w:p>
            <w:pPr>
              <w:jc w:val="center"/>
              <w:ind w:left="1029"/>
              <w:spacing w:after="0"/>
              <w:rPr>
                <w:sz w:val="20"/>
                <w:szCs w:val="20"/>
                <w:color w:val="auto"/>
              </w:rPr>
            </w:pPr>
            <w:r>
              <w:rPr>
                <w:rFonts w:ascii="Arial" w:cs="Arial" w:eastAsia="Arial" w:hAnsi="Arial"/>
                <w:sz w:val="14"/>
                <w:szCs w:val="14"/>
                <w:b w:val="1"/>
                <w:bCs w:val="1"/>
                <w:color w:val="auto"/>
                <w:w w:val="90"/>
              </w:rPr>
              <w:t>14-1902018</w:t>
            </w:r>
          </w:p>
        </w:tc>
      </w:tr>
      <w:tr>
        <w:trPr>
          <w:trHeight w:val="180"/>
        </w:trPr>
        <w:tc>
          <w:tcPr>
            <w:tcW w:w="2480" w:type="dxa"/>
            <w:vAlign w:val="bottom"/>
          </w:tcPr>
          <w:p>
            <w:pPr>
              <w:jc w:val="center"/>
              <w:ind w:right="909"/>
              <w:spacing w:after="0"/>
              <w:rPr>
                <w:sz w:val="20"/>
                <w:szCs w:val="20"/>
                <w:color w:val="auto"/>
              </w:rPr>
            </w:pPr>
            <w:r>
              <w:rPr>
                <w:rFonts w:ascii="Arial" w:cs="Arial" w:eastAsia="Arial" w:hAnsi="Arial"/>
                <w:sz w:val="14"/>
                <w:szCs w:val="14"/>
                <w:color w:val="auto"/>
                <w:w w:val="94"/>
              </w:rPr>
              <w:t>(State or other jurisdiction</w:t>
            </w:r>
          </w:p>
        </w:tc>
        <w:tc>
          <w:tcPr>
            <w:tcW w:w="3660" w:type="dxa"/>
            <w:vAlign w:val="bottom"/>
          </w:tcPr>
          <w:p>
            <w:pPr>
              <w:jc w:val="center"/>
              <w:ind w:right="69"/>
              <w:spacing w:after="0"/>
              <w:rPr>
                <w:sz w:val="20"/>
                <w:szCs w:val="20"/>
                <w:color w:val="auto"/>
              </w:rPr>
            </w:pPr>
            <w:r>
              <w:rPr>
                <w:rFonts w:ascii="Arial" w:cs="Arial" w:eastAsia="Arial" w:hAnsi="Arial"/>
                <w:sz w:val="14"/>
                <w:szCs w:val="14"/>
                <w:color w:val="auto"/>
                <w:w w:val="93"/>
              </w:rPr>
              <w:t>(Commission File Number)</w:t>
            </w:r>
          </w:p>
        </w:tc>
        <w:tc>
          <w:tcPr>
            <w:tcW w:w="2140" w:type="dxa"/>
            <w:vAlign w:val="bottom"/>
          </w:tcPr>
          <w:p>
            <w:pPr>
              <w:jc w:val="center"/>
              <w:ind w:left="1049"/>
              <w:spacing w:after="0"/>
              <w:rPr>
                <w:sz w:val="20"/>
                <w:szCs w:val="20"/>
                <w:color w:val="auto"/>
              </w:rPr>
            </w:pPr>
            <w:r>
              <w:rPr>
                <w:rFonts w:ascii="Arial" w:cs="Arial" w:eastAsia="Arial" w:hAnsi="Arial"/>
                <w:sz w:val="14"/>
                <w:szCs w:val="14"/>
                <w:color w:val="auto"/>
                <w:w w:val="94"/>
              </w:rPr>
              <w:t>(IRS Employer</w:t>
            </w:r>
          </w:p>
        </w:tc>
      </w:tr>
      <w:tr>
        <w:trPr>
          <w:trHeight w:val="180"/>
        </w:trPr>
        <w:tc>
          <w:tcPr>
            <w:tcW w:w="2480" w:type="dxa"/>
            <w:vAlign w:val="bottom"/>
          </w:tcPr>
          <w:p>
            <w:pPr>
              <w:jc w:val="center"/>
              <w:ind w:right="889"/>
              <w:spacing w:after="0"/>
              <w:rPr>
                <w:sz w:val="20"/>
                <w:szCs w:val="20"/>
                <w:color w:val="auto"/>
              </w:rPr>
            </w:pPr>
            <w:r>
              <w:rPr>
                <w:rFonts w:ascii="Arial" w:cs="Arial" w:eastAsia="Arial" w:hAnsi="Arial"/>
                <w:sz w:val="14"/>
                <w:szCs w:val="14"/>
                <w:color w:val="auto"/>
                <w:w w:val="94"/>
              </w:rPr>
              <w:t>of incorporation)</w:t>
            </w:r>
          </w:p>
        </w:tc>
        <w:tc>
          <w:tcPr>
            <w:tcW w:w="3660" w:type="dxa"/>
            <w:vAlign w:val="bottom"/>
          </w:tcPr>
          <w:p>
            <w:pPr>
              <w:spacing w:after="0"/>
              <w:rPr>
                <w:sz w:val="15"/>
                <w:szCs w:val="15"/>
                <w:color w:val="auto"/>
              </w:rPr>
            </w:pPr>
          </w:p>
        </w:tc>
        <w:tc>
          <w:tcPr>
            <w:tcW w:w="2140" w:type="dxa"/>
            <w:vAlign w:val="bottom"/>
          </w:tcPr>
          <w:p>
            <w:pPr>
              <w:jc w:val="center"/>
              <w:ind w:left="1029"/>
              <w:spacing w:after="0"/>
              <w:rPr>
                <w:sz w:val="20"/>
                <w:szCs w:val="20"/>
                <w:color w:val="auto"/>
              </w:rPr>
            </w:pPr>
            <w:r>
              <w:rPr>
                <w:rFonts w:ascii="Arial" w:cs="Arial" w:eastAsia="Arial" w:hAnsi="Arial"/>
                <w:sz w:val="14"/>
                <w:szCs w:val="14"/>
                <w:color w:val="auto"/>
                <w:w w:val="95"/>
              </w:rPr>
              <w:t>Identification No.)</w:t>
            </w:r>
          </w:p>
        </w:tc>
      </w:tr>
    </w:tbl>
    <w:p>
      <w:pPr>
        <w:spacing w:after="0" w:line="54" w:lineRule="exact"/>
        <w:rPr>
          <w:sz w:val="24"/>
          <w:szCs w:val="24"/>
          <w:color w:val="auto"/>
        </w:rPr>
      </w:pPr>
    </w:p>
    <w:p>
      <w:pPr>
        <w:ind w:left="4460"/>
        <w:spacing w:after="0"/>
        <w:rPr>
          <w:sz w:val="20"/>
          <w:szCs w:val="20"/>
          <w:color w:val="auto"/>
        </w:rPr>
      </w:pPr>
      <w:r>
        <w:rPr>
          <w:rFonts w:ascii="Arial" w:cs="Arial" w:eastAsia="Arial" w:hAnsi="Arial"/>
          <w:sz w:val="17"/>
          <w:szCs w:val="17"/>
          <w:b w:val="1"/>
          <w:bCs w:val="1"/>
          <w:color w:val="auto"/>
        </w:rPr>
        <w:t>400 Professional Drive, Suite 400,</w:t>
      </w:r>
    </w:p>
    <w:p>
      <w:pPr>
        <w:spacing w:after="0" w:line="24" w:lineRule="exact"/>
        <w:rPr>
          <w:sz w:val="24"/>
          <w:szCs w:val="24"/>
          <w:color w:val="auto"/>
        </w:rPr>
      </w:pPr>
    </w:p>
    <w:p>
      <w:pPr>
        <w:ind w:left="4520"/>
        <w:spacing w:after="0"/>
        <w:rPr>
          <w:sz w:val="20"/>
          <w:szCs w:val="20"/>
          <w:color w:val="auto"/>
        </w:rPr>
      </w:pPr>
      <w:r>
        <w:rPr>
          <w:rFonts w:ascii="Arial" w:cs="Arial" w:eastAsia="Arial" w:hAnsi="Arial"/>
          <w:sz w:val="17"/>
          <w:szCs w:val="17"/>
          <w:b w:val="1"/>
          <w:bCs w:val="1"/>
          <w:color w:val="auto"/>
        </w:rPr>
        <w:t>Gaithersburg, Maryland 20879</w:t>
      </w:r>
    </w:p>
    <w:p>
      <w:pPr>
        <w:spacing w:after="0" w:line="62"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(240) 631-3200</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68"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8"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8"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8" w:lineRule="exact"/>
        <w:rPr>
          <w:rFonts w:ascii="MS PGothic" w:cs="MS PGothic" w:eastAsia="MS PGothic" w:hAnsi="MS PGothic"/>
          <w:sz w:val="14"/>
          <w:szCs w:val="14"/>
          <w:color w:val="auto"/>
        </w:rPr>
      </w:pPr>
    </w:p>
    <w:p>
      <w:pPr>
        <w:ind w:right="4700" w:firstLine="5"/>
        <w:spacing w:after="0" w:line="506" w:lineRule="auto"/>
        <w:tabs>
          <w:tab w:leader="none" w:pos="167"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250" w:type="dxa"/>
        <w:tblCellMar>
          <w:top w:w="0" w:type="dxa"/>
          <w:left w:w="0" w:type="dxa"/>
          <w:bottom w:w="0" w:type="dxa"/>
          <w:right w:w="0" w:type="dxa"/>
        </w:tblCellMar>
      </w:tblPr>
      <w:tr>
        <w:trPr>
          <w:trHeight w:val="171"/>
        </w:trPr>
        <w:tc>
          <w:tcPr>
            <w:tcW w:w="4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22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Trading Symbol(s)</w:t>
            </w:r>
          </w:p>
        </w:tc>
        <w:tc>
          <w:tcPr>
            <w:tcW w:w="40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Name of each exchange on which registered</w:t>
            </w:r>
          </w:p>
        </w:tc>
      </w:tr>
      <w:tr>
        <w:trPr>
          <w:trHeight w:val="171"/>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 Par Value $0.001 per share</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EBS</w:t>
            </w:r>
          </w:p>
        </w:tc>
        <w:tc>
          <w:tcPr>
            <w:tcW w:w="4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New York Stock Exchange</w:t>
            </w:r>
          </w:p>
        </w:tc>
      </w:tr>
    </w:tbl>
    <w:p>
      <w:pPr>
        <w:spacing w:after="0" w:line="233" w:lineRule="exact"/>
        <w:rPr>
          <w:sz w:val="24"/>
          <w:szCs w:val="24"/>
          <w:color w:val="auto"/>
        </w:rPr>
      </w:pPr>
    </w:p>
    <w:p>
      <w:pPr>
        <w:ind w:right="48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61" w:lineRule="exact"/>
        <w:tabs>
          <w:tab w:leader="none" w:pos="170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4" w:lineRule="exact"/>
        <w:rPr>
          <w:sz w:val="24"/>
          <w:szCs w:val="24"/>
          <w:color w:val="auto"/>
        </w:rPr>
      </w:pPr>
    </w:p>
    <w:p>
      <w:pPr>
        <w:ind w:right="12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08" w:right="4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8.01. Other Events</w:t>
      </w:r>
      <w:r>
        <w:rPr>
          <w:rFonts w:ascii="Arial" w:cs="Arial" w:eastAsia="Arial" w:hAnsi="Arial"/>
          <w:sz w:val="14"/>
          <w:szCs w:val="14"/>
          <w:color w:val="auto"/>
        </w:rPr>
        <w:t>.</w:t>
      </w:r>
    </w:p>
    <w:p>
      <w:pPr>
        <w:spacing w:after="0" w:line="204"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On April 4, 2021, Emergent BioSolutions Inc. issued a press release in connection with the status of current manufacturing of COVID-19 vaccines at the company’s Baltimore Bayview Facility. A copy of that press release is attached hereto as Exhibit 99.</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r>
        <w:rPr>
          <w:rFonts w:ascii="Arial" w:cs="Arial" w:eastAsia="Arial" w:hAnsi="Arial"/>
          <w:sz w:val="14"/>
          <w:szCs w:val="14"/>
          <w:color w:val="auto"/>
        </w:rPr>
        <w:t>.</w:t>
      </w:r>
    </w:p>
    <w:p>
      <w:pPr>
        <w:spacing w:after="0" w:line="289" w:lineRule="exact"/>
        <w:rPr>
          <w:sz w:val="20"/>
          <w:szCs w:val="20"/>
          <w:color w:val="auto"/>
        </w:rPr>
      </w:pPr>
    </w:p>
    <w:p>
      <w:pPr>
        <w:ind w:left="320" w:hanging="315"/>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79"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00393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03935" cy="6985"/>
                    </a:xfrm>
                    <a:prstGeom prst="rect">
                      <a:avLst/>
                    </a:prstGeom>
                    <a:noFill/>
                  </pic:spPr>
                </pic:pic>
              </a:graphicData>
            </a:graphic>
          </wp:anchor>
        </w:drawing>
      </w:r>
    </w:p>
    <w:p>
      <w:pPr>
        <w:spacing w:after="0" w:line="14" w:lineRule="exact"/>
        <w:rPr>
          <w:sz w:val="20"/>
          <w:szCs w:val="20"/>
          <w:color w:val="auto"/>
        </w:rPr>
      </w:pPr>
    </w:p>
    <w:p>
      <w:pPr>
        <w:ind w:left="1940" w:hanging="1215"/>
        <w:spacing w:after="0"/>
        <w:tabs>
          <w:tab w:leader="none" w:pos="1940" w:val="left"/>
        </w:tabs>
        <w:numPr>
          <w:ilvl w:val="0"/>
          <w:numId w:val="3"/>
        </w:numPr>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Press Release issued on April 4, 2021.</w:t>
        </w:r>
      </w:hyperlink>
    </w:p>
    <w:p>
      <w:pPr>
        <w:spacing w:after="0" w:line="41" w:lineRule="exact"/>
        <w:rPr>
          <w:sz w:val="20"/>
          <w:szCs w:val="20"/>
          <w:color w:val="auto"/>
        </w:rPr>
      </w:pPr>
    </w:p>
    <w:p>
      <w:pPr>
        <w:jc w:val="both"/>
        <w:ind w:left="1940" w:right="1260" w:hanging="1251"/>
        <w:spacing w:after="0" w:line="251" w:lineRule="auto"/>
        <w:tabs>
          <w:tab w:leader="none" w:pos="1940" w:val="left"/>
        </w:tabs>
        <w:numPr>
          <w:ilvl w:val="0"/>
          <w:numId w:val="4"/>
        </w:numPr>
        <w:rPr>
          <w:rFonts w:ascii="Arial" w:cs="Arial" w:eastAsia="Arial" w:hAnsi="Arial"/>
          <w:sz w:val="14"/>
          <w:szCs w:val="14"/>
          <w:color w:val="auto"/>
        </w:rPr>
      </w:pPr>
      <w:r>
        <w:rPr>
          <w:rFonts w:ascii="Arial" w:cs="Arial" w:eastAsia="Arial" w:hAnsi="Arial"/>
          <w:sz w:val="14"/>
          <w:szCs w:val="14"/>
          <w:color w:val="auto"/>
        </w:rPr>
        <w:t>Emergent BioSolutions Inc. Current Report on Form 8-K, dated April 4, 2021, formatted in XBRL (Extensible Business Reporting Language): Cover Page. The instance document does not appear in the Interactive Data File because its XBRL tags are embedded within the Inline XBRL document.</w:t>
      </w:r>
    </w:p>
    <w:p>
      <w:pPr>
        <w:spacing w:after="0" w:line="4" w:lineRule="exact"/>
        <w:rPr>
          <w:sz w:val="20"/>
          <w:szCs w:val="20"/>
          <w:color w:val="auto"/>
        </w:rPr>
      </w:pPr>
    </w:p>
    <w:p>
      <w:pPr>
        <w:ind w:left="680"/>
        <w:spacing w:after="0"/>
        <w:tabs>
          <w:tab w:leader="none" w:pos="19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 and contained in Exhibit 101).</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4"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EMERGENT BIOSOLUTIONS INC.</w:t>
      </w:r>
    </w:p>
    <w:p>
      <w:pPr>
        <w:spacing w:after="0" w:line="204" w:lineRule="exact"/>
        <w:rPr>
          <w:sz w:val="20"/>
          <w:szCs w:val="20"/>
          <w:color w:val="auto"/>
        </w:rPr>
      </w:pPr>
    </w:p>
    <w:p>
      <w:pPr>
        <w:ind w:left="520"/>
        <w:spacing w:after="0"/>
        <w:tabs>
          <w:tab w:leader="none" w:pos="5780" w:val="left"/>
          <w:tab w:leader="none" w:pos="6240" w:val="left"/>
        </w:tabs>
        <w:rPr>
          <w:sz w:val="20"/>
          <w:szCs w:val="20"/>
          <w:color w:val="auto"/>
        </w:rPr>
      </w:pPr>
      <w:r>
        <w:rPr>
          <w:rFonts w:ascii="Arial" w:cs="Arial" w:eastAsia="Arial" w:hAnsi="Arial"/>
          <w:sz w:val="14"/>
          <w:szCs w:val="14"/>
          <w:color w:val="auto"/>
        </w:rPr>
        <w:t>Dated: April 5,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12065</wp:posOffset>
            </wp:positionV>
            <wp:extent cx="28765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76550" cy="6985"/>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4"/>
          <w:szCs w:val="14"/>
          <w:color w:val="auto"/>
        </w:rPr>
        <w:t>Name: Richard S. Lindahl</w:t>
      </w:r>
    </w:p>
    <w:p>
      <w:pPr>
        <w:ind w:left="6260"/>
        <w:spacing w:after="0" w:line="205" w:lineRule="auto"/>
        <w:rPr>
          <w:sz w:val="20"/>
          <w:szCs w:val="20"/>
          <w:color w:val="auto"/>
        </w:rPr>
      </w:pPr>
      <w:r>
        <w:rPr>
          <w:rFonts w:ascii="Arial" w:cs="Arial" w:eastAsia="Arial" w:hAnsi="Arial"/>
          <w:sz w:val="14"/>
          <w:szCs w:val="14"/>
          <w:color w:val="auto"/>
        </w:rPr>
        <w:t>Title: Executive Vice President, Chief Financial</w:t>
      </w:r>
    </w:p>
    <w:p>
      <w:pPr>
        <w:ind w:left="6760"/>
        <w:spacing w:after="0"/>
        <w:rPr>
          <w:sz w:val="20"/>
          <w:szCs w:val="20"/>
          <w:color w:val="auto"/>
        </w:rPr>
      </w:pPr>
      <w:r>
        <w:rPr>
          <w:rFonts w:ascii="Arial" w:cs="Arial" w:eastAsia="Arial" w:hAnsi="Arial"/>
          <w:sz w:val="14"/>
          <w:szCs w:val="14"/>
          <w:color w:val="auto"/>
        </w:rPr>
        <w:t>Officer and Treasurer</w:t>
      </w:r>
    </w:p>
    <w:p>
      <w:pPr>
        <w:sectPr>
          <w:pgSz w:w="11900" w:h="16838" w:orient="portrait"/>
          <w:cols w:equalWidth="0" w:num="1">
            <w:col w:w="11280"/>
          </w:cols>
          <w:pgMar w:left="300" w:top="921"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99"/>
    </w:lvl>
  </w:abstractNum>
  <w:abstractNum w:abstractNumId="3">
    <w:nsid w:val="625558EC"/>
    <w:multiLevelType w:val="hybridMultilevel"/>
    <w:lvl w:ilvl="0">
      <w:lvlJc w:val="left"/>
      <w:lvlText w:val="%1"/>
      <w:numFmt w:val="decimal"/>
      <w:start w:val="10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2021-04-05T06:39:50Z</dcterms:created>
  <dcterms:modified xsi:type="dcterms:W3CDTF">2021-04-05T06:39:50Z</dcterms:modified>
</cp:coreProperties>
</file>