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56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Kirk Sean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EVP, Manufacturing &amp; Tech Ops</w:t>
      </w:r>
    </w:p>
    <w:p>
      <w:pPr>
        <w:spacing w:after="0" w:line="322"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02/25/2020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3,662</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17,266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02/25/2020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3,662</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20,928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02/26/2020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382</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59.91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20,546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02/26/2020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277</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59.91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20,269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02/27/2020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608</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58.42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19,661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14,648</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61.44</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02/25/2020</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14,648</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02/24/2027</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61.44</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37,668</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62"/>
              <w:spacing w:after="0" w:line="148" w:lineRule="exact"/>
              <w:rPr>
                <w:sz w:val="20"/>
                <w:szCs w:val="20"/>
                <w:color w:val="auto"/>
              </w:rPr>
            </w:pPr>
            <w:r>
              <w:rPr>
                <w:rFonts w:ascii="Arial" w:cs="Arial" w:eastAsia="Arial" w:hAnsi="Arial"/>
                <w:sz w:val="13"/>
                <w:szCs w:val="13"/>
                <w:color w:val="0000FF"/>
                <w:w w:val="98"/>
              </w:rPr>
              <w:t>Stock</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performance stock units granted under the Emergent BioSolutions Inc. Stock Incentive Plan. Each PSU represents a right to receive one share of common stock. The PSUs vest upon achievement with respect to adjusted EBITDA as a percentage of total GAAP revenue for the 2020 - 2022 fiscal years, as certified by the Compensation Committee following the performance period.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as amended and restated.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 Scott Lieberman,</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02/27/2020</w:t>
            </w:r>
          </w:p>
        </w:tc>
        <w:tc>
          <w:tcPr>
            <w:tcW w:w="0" w:type="dxa"/>
            <w:vAlign w:val="bottom"/>
          </w:tcPr>
          <w:p>
            <w:pPr>
              <w:spacing w:after="0"/>
              <w:rPr>
                <w:sz w:val="1"/>
                <w:szCs w:val="1"/>
                <w:color w:val="auto"/>
              </w:rPr>
            </w:pPr>
          </w:p>
        </w:tc>
      </w:tr>
      <w:tr>
        <w:trPr>
          <w:trHeight w:val="92"/>
        </w:trPr>
        <w:tc>
          <w:tcPr>
            <w:tcW w:w="1140" w:type="dxa"/>
            <w:vAlign w:val="bottom"/>
            <w:vMerge w:val="restart"/>
          </w:tcPr>
          <w:p>
            <w:pPr>
              <w:spacing w:after="0"/>
              <w:rPr>
                <w:sz w:val="20"/>
                <w:szCs w:val="20"/>
                <w:color w:val="auto"/>
              </w:rPr>
            </w:pPr>
            <w:r>
              <w:rPr>
                <w:rFonts w:ascii="Arial" w:cs="Arial" w:eastAsia="Arial" w:hAnsi="Arial"/>
                <w:sz w:val="17"/>
                <w:szCs w:val="17"/>
                <w:color w:val="0000FF"/>
                <w:w w:val="97"/>
              </w:rPr>
              <w:t>Attorney-in-fact</w:t>
            </w:r>
          </w:p>
        </w:tc>
        <w:tc>
          <w:tcPr>
            <w:tcW w:w="11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8426"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2020-02-27T20:23:02Z</dcterms:created>
  <dcterms:modified xsi:type="dcterms:W3CDTF">2020-02-27T20:23:02Z</dcterms:modified>
</cp:coreProperties>
</file>