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309"/>
        </w:trPr>
        <w:tc>
          <w:tcPr>
            <w:tcW w:w="1360" w:type="dxa"/>
            <w:vAlign w:val="bottom"/>
          </w:tcPr>
          <w:p>
            <w:pPr>
              <w:spacing w:after="0"/>
              <w:rPr>
                <w:sz w:val="24"/>
                <w:szCs w:val="24"/>
                <w:color w:val="auto"/>
              </w:rPr>
            </w:pPr>
          </w:p>
        </w:tc>
        <w:tc>
          <w:tcPr>
            <w:tcW w:w="8880" w:type="dxa"/>
            <w:vAlign w:val="bottom"/>
          </w:tcPr>
          <w:p>
            <w:pPr>
              <w:jc w:val="center"/>
              <w:ind w:right="175"/>
              <w:spacing w:after="0"/>
              <w:rPr>
                <w:sz w:val="20"/>
                <w:szCs w:val="20"/>
                <w:color w:val="auto"/>
              </w:rPr>
            </w:pPr>
            <w:r>
              <w:rPr>
                <w:rFonts w:ascii="Arial" w:cs="Arial" w:eastAsia="Arial" w:hAnsi="Arial"/>
                <w:sz w:val="25"/>
                <w:szCs w:val="25"/>
                <w:b w:val="1"/>
                <w:bCs w:val="1"/>
                <w:color w:val="00497F"/>
              </w:rPr>
              <w:t>UNITED STATES SECURITIES AND EXCHANGE COMMISSION</w:t>
            </w: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8880" w:type="dxa"/>
            <w:vAlign w:val="bottom"/>
          </w:tcPr>
          <w:p>
            <w:pPr>
              <w:jc w:val="center"/>
              <w:ind w:right="175"/>
              <w:spacing w:after="0" w:line="177" w:lineRule="exact"/>
              <w:rPr>
                <w:sz w:val="20"/>
                <w:szCs w:val="20"/>
                <w:color w:val="auto"/>
              </w:rPr>
            </w:pPr>
            <w:r>
              <w:rPr>
                <w:rFonts w:ascii="Arial" w:cs="Arial" w:eastAsia="Arial" w:hAnsi="Arial"/>
                <w:sz w:val="16"/>
                <w:szCs w:val="16"/>
                <w:b w:val="1"/>
                <w:bCs w:val="1"/>
                <w:color w:val="00497F"/>
              </w:rPr>
              <w:t>Washington, D.C. 20549</w:t>
            </w:r>
          </w:p>
        </w:tc>
        <w:tc>
          <w:tcPr>
            <w:tcW w:w="0" w:type="dxa"/>
            <w:vAlign w:val="bottom"/>
          </w:tcPr>
          <w:p>
            <w:pPr>
              <w:spacing w:after="0"/>
              <w:rPr>
                <w:sz w:val="1"/>
                <w:szCs w:val="1"/>
                <w:color w:val="auto"/>
              </w:rPr>
            </w:pPr>
          </w:p>
        </w:tc>
      </w:tr>
      <w:tr>
        <w:trPr>
          <w:trHeight w:val="336"/>
        </w:trPr>
        <w:tc>
          <w:tcPr>
            <w:tcW w:w="1360" w:type="dxa"/>
            <w:vAlign w:val="bottom"/>
          </w:tcPr>
          <w:p>
            <w:pPr>
              <w:spacing w:after="0"/>
              <w:rPr>
                <w:sz w:val="24"/>
                <w:szCs w:val="24"/>
                <w:color w:val="auto"/>
              </w:rPr>
            </w:pPr>
          </w:p>
        </w:tc>
        <w:tc>
          <w:tcPr>
            <w:tcW w:w="8880" w:type="dxa"/>
            <w:vAlign w:val="bottom"/>
          </w:tcPr>
          <w:p>
            <w:pPr>
              <w:jc w:val="center"/>
              <w:ind w:right="175"/>
              <w:spacing w:after="0"/>
              <w:rPr>
                <w:sz w:val="20"/>
                <w:szCs w:val="20"/>
                <w:color w:val="auto"/>
              </w:rPr>
            </w:pPr>
            <w:r>
              <w:rPr>
                <w:rFonts w:ascii="Arial" w:cs="Arial" w:eastAsia="Arial" w:hAnsi="Arial"/>
                <w:sz w:val="25"/>
                <w:szCs w:val="25"/>
                <w:b w:val="1"/>
                <w:bCs w:val="1"/>
                <w:color w:val="00497F"/>
              </w:rPr>
              <w:t>Form 10-Q</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6"/>
                <w:szCs w:val="16"/>
                <w:color w:val="auto"/>
              </w:rPr>
              <w:t>(Mark One)</w:t>
            </w:r>
          </w:p>
        </w:tc>
        <w:tc>
          <w:tcPr>
            <w:tcW w:w="8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880" w:type="dxa"/>
            <w:vAlign w:val="bottom"/>
          </w:tcPr>
          <w:p>
            <w:pPr>
              <w:ind w:left="56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93"/>
        </w:trPr>
        <w:tc>
          <w:tcPr>
            <w:tcW w:w="1360" w:type="dxa"/>
            <w:vAlign w:val="bottom"/>
          </w:tcPr>
          <w:p>
            <w:pPr>
              <w:spacing w:after="0"/>
              <w:rPr>
                <w:sz w:val="24"/>
                <w:szCs w:val="24"/>
                <w:color w:val="auto"/>
              </w:rPr>
            </w:pPr>
          </w:p>
        </w:tc>
        <w:tc>
          <w:tcPr>
            <w:tcW w:w="8880" w:type="dxa"/>
            <w:vAlign w:val="bottom"/>
          </w:tcPr>
          <w:p>
            <w:pPr>
              <w:ind w:left="1420"/>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382"/>
        </w:trPr>
        <w:tc>
          <w:tcPr>
            <w:tcW w:w="13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880" w:type="dxa"/>
            <w:vAlign w:val="bottom"/>
          </w:tcPr>
          <w:p>
            <w:pPr>
              <w:jc w:val="center"/>
              <w:ind w:right="175"/>
              <w:spacing w:after="0"/>
              <w:rPr>
                <w:sz w:val="20"/>
                <w:szCs w:val="20"/>
                <w:color w:val="auto"/>
              </w:rPr>
            </w:pPr>
            <w:r>
              <w:rPr>
                <w:rFonts w:ascii="Arial" w:cs="Arial" w:eastAsia="Arial" w:hAnsi="Arial"/>
                <w:sz w:val="13"/>
                <w:szCs w:val="13"/>
                <w:b w:val="1"/>
                <w:bCs w:val="1"/>
                <w:color w:val="auto"/>
                <w:w w:val="92"/>
              </w:rPr>
              <w:t>OR</w:t>
            </w:r>
          </w:p>
        </w:tc>
        <w:tc>
          <w:tcPr>
            <w:tcW w:w="0" w:type="dxa"/>
            <w:vAlign w:val="bottom"/>
          </w:tcPr>
          <w:p>
            <w:pPr>
              <w:spacing w:after="0"/>
              <w:rPr>
                <w:sz w:val="1"/>
                <w:szCs w:val="1"/>
                <w:color w:val="auto"/>
              </w:rPr>
            </w:pPr>
          </w:p>
        </w:tc>
      </w:tr>
      <w:tr>
        <w:trPr>
          <w:trHeight w:val="279"/>
        </w:trPr>
        <w:tc>
          <w:tcPr>
            <w:tcW w:w="1360" w:type="dxa"/>
            <w:vAlign w:val="bottom"/>
            <w:vMerge w:val="continue"/>
          </w:tcPr>
          <w:p>
            <w:pPr>
              <w:spacing w:after="0"/>
              <w:rPr>
                <w:sz w:val="24"/>
                <w:szCs w:val="24"/>
                <w:color w:val="auto"/>
              </w:rPr>
            </w:pPr>
          </w:p>
        </w:tc>
        <w:tc>
          <w:tcPr>
            <w:tcW w:w="8880" w:type="dxa"/>
            <w:vAlign w:val="bottom"/>
          </w:tcPr>
          <w:p>
            <w:pPr>
              <w:ind w:left="5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23"/>
        </w:trPr>
        <w:tc>
          <w:tcPr>
            <w:tcW w:w="1360" w:type="dxa"/>
            <w:vAlign w:val="bottom"/>
          </w:tcPr>
          <w:p>
            <w:pPr>
              <w:spacing w:after="0"/>
              <w:rPr>
                <w:sz w:val="24"/>
                <w:szCs w:val="24"/>
                <w:color w:val="auto"/>
              </w:rPr>
            </w:pPr>
          </w:p>
        </w:tc>
        <w:tc>
          <w:tcPr>
            <w:tcW w:w="8880" w:type="dxa"/>
            <w:vAlign w:val="bottom"/>
          </w:tcPr>
          <w:p>
            <w:pPr>
              <w:ind w:left="3660"/>
              <w:spacing w:after="0"/>
              <w:rPr>
                <w:sz w:val="20"/>
                <w:szCs w:val="20"/>
                <w:color w:val="auto"/>
              </w:rPr>
            </w:pPr>
            <w:r>
              <w:rPr>
                <w:rFonts w:ascii="Arial" w:cs="Arial" w:eastAsia="Arial" w:hAnsi="Arial"/>
                <w:sz w:val="13"/>
                <w:szCs w:val="13"/>
                <w:b w:val="1"/>
                <w:bCs w:val="1"/>
                <w:color w:val="auto"/>
              </w:rPr>
              <w:t>For the transition period from to</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4"/>
                <w:szCs w:val="24"/>
                <w:color w:val="auto"/>
              </w:rPr>
            </w:pPr>
          </w:p>
        </w:tc>
        <w:tc>
          <w:tcPr>
            <w:tcW w:w="8880" w:type="dxa"/>
            <w:vAlign w:val="bottom"/>
          </w:tcPr>
          <w:p>
            <w:pPr>
              <w:ind w:left="3400"/>
              <w:spacing w:after="0"/>
              <w:rPr>
                <w:sz w:val="20"/>
                <w:szCs w:val="20"/>
                <w:color w:val="auto"/>
              </w:rPr>
            </w:pPr>
            <w:r>
              <w:rPr>
                <w:rFonts w:ascii="Arial" w:cs="Arial" w:eastAsia="Arial" w:hAnsi="Arial"/>
                <w:sz w:val="13"/>
                <w:szCs w:val="13"/>
                <w:b w:val="1"/>
                <w:bCs w:val="1"/>
                <w:color w:val="2C2C2C"/>
              </w:rPr>
              <w:t>Commission file number: 001-33137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139065</wp:posOffset>
            </wp:positionV>
            <wp:extent cx="17837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71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left="340"/>
        <w:spacing w:after="0"/>
        <w:rPr>
          <w:sz w:val="20"/>
          <w:szCs w:val="20"/>
          <w:color w:val="auto"/>
        </w:rPr>
      </w:pPr>
      <w:r>
        <w:rPr>
          <w:rFonts w:ascii="Arial" w:cs="Arial" w:eastAsia="Arial" w:hAnsi="Arial"/>
          <w:sz w:val="25"/>
          <w:szCs w:val="25"/>
          <w:b w:val="1"/>
          <w:bCs w:val="1"/>
          <w:color w:val="2C2C2C"/>
        </w:rPr>
        <w:t>EMERGENT BIOSOLUTIONS INC.</w:t>
      </w:r>
    </w:p>
    <w:p>
      <w:pPr>
        <w:spacing w:after="0" w:line="34" w:lineRule="exact"/>
        <w:rPr>
          <w:sz w:val="24"/>
          <w:szCs w:val="24"/>
          <w:color w:val="auto"/>
        </w:rPr>
      </w:pPr>
    </w:p>
    <w:p>
      <w:pPr>
        <w:ind w:left="4280"/>
        <w:spacing w:after="0"/>
        <w:rPr>
          <w:sz w:val="20"/>
          <w:szCs w:val="20"/>
          <w:color w:val="auto"/>
        </w:rPr>
      </w:pPr>
      <w:r>
        <w:rPr>
          <w:rFonts w:ascii="Arial" w:cs="Arial" w:eastAsia="Arial" w:hAnsi="Arial"/>
          <w:sz w:val="13"/>
          <w:szCs w:val="13"/>
          <w:b w:val="1"/>
          <w:bCs w:val="1"/>
          <w:i w:val="1"/>
          <w:iCs w:val="1"/>
          <w:color w:val="2C2C2C"/>
        </w:rPr>
        <w:t>(Exact Name of Registrant as Specified in Its Charter)</w:t>
      </w:r>
    </w:p>
    <w:p>
      <w:pPr>
        <w:spacing w:after="0" w:line="149" w:lineRule="exact"/>
        <w:rPr>
          <w:sz w:val="24"/>
          <w:szCs w:val="24"/>
          <w:color w:val="auto"/>
        </w:rPr>
      </w:pPr>
    </w:p>
    <w:p>
      <w:pPr>
        <w:ind w:left="1620"/>
        <w:spacing w:after="0"/>
        <w:tabs>
          <w:tab w:leader="none" w:pos="66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14-1902018</w:t>
      </w:r>
    </w:p>
    <w:p>
      <w:pPr>
        <w:spacing w:after="0" w:line="84" w:lineRule="exact"/>
        <w:rPr>
          <w:sz w:val="24"/>
          <w:szCs w:val="24"/>
          <w:color w:val="auto"/>
        </w:rPr>
      </w:pPr>
    </w:p>
    <w:p>
      <w:pPr>
        <w:ind w:left="1160"/>
        <w:spacing w:after="0"/>
        <w:tabs>
          <w:tab w:leader="none" w:pos="6560" w:val="left"/>
        </w:tabs>
        <w:rPr>
          <w:sz w:val="20"/>
          <w:szCs w:val="20"/>
          <w:color w:val="auto"/>
        </w:rPr>
      </w:pPr>
      <w:r>
        <w:rPr>
          <w:rFonts w:ascii="Arial" w:cs="Arial" w:eastAsia="Arial" w:hAnsi="Arial"/>
          <w:sz w:val="13"/>
          <w:szCs w:val="13"/>
          <w:i w:val="1"/>
          <w:iCs w:val="1"/>
          <w:color w:val="auto"/>
        </w:rPr>
        <w:t>(State or Other Jurisdiction of</w:t>
      </w:r>
      <w:r>
        <w:rPr>
          <w:sz w:val="20"/>
          <w:szCs w:val="20"/>
          <w:color w:val="auto"/>
        </w:rPr>
        <w:tab/>
      </w:r>
      <w:r>
        <w:rPr>
          <w:rFonts w:ascii="Arial" w:cs="Arial" w:eastAsia="Arial" w:hAnsi="Arial"/>
          <w:sz w:val="12"/>
          <w:szCs w:val="12"/>
          <w:i w:val="1"/>
          <w:iCs w:val="1"/>
          <w:color w:val="auto"/>
        </w:rPr>
        <w:t>(I.R.S. Employer</w:t>
      </w:r>
    </w:p>
    <w:p>
      <w:pPr>
        <w:ind w:left="1140"/>
        <w:spacing w:after="0"/>
        <w:tabs>
          <w:tab w:leader="none" w:pos="6540" w:val="left"/>
        </w:tabs>
        <w:rPr>
          <w:sz w:val="20"/>
          <w:szCs w:val="20"/>
          <w:color w:val="auto"/>
        </w:rPr>
      </w:pPr>
      <w:r>
        <w:rPr>
          <w:rFonts w:ascii="Arial" w:cs="Arial" w:eastAsia="Arial" w:hAnsi="Arial"/>
          <w:sz w:val="13"/>
          <w:szCs w:val="13"/>
          <w:i w:val="1"/>
          <w:iCs w:val="1"/>
          <w:color w:val="auto"/>
        </w:rPr>
        <w:t>Incorporation or Organization)</w:t>
      </w:r>
      <w:r>
        <w:rPr>
          <w:sz w:val="20"/>
          <w:szCs w:val="20"/>
          <w:color w:val="auto"/>
        </w:rPr>
        <w:tab/>
      </w:r>
      <w:r>
        <w:rPr>
          <w:rFonts w:ascii="Arial" w:cs="Arial" w:eastAsia="Arial" w:hAnsi="Arial"/>
          <w:sz w:val="12"/>
          <w:szCs w:val="12"/>
          <w:i w:val="1"/>
          <w:iCs w:val="1"/>
          <w:color w:val="auto"/>
        </w:rPr>
        <w:t>Identification No.)</w:t>
      </w:r>
    </w:p>
    <w:p>
      <w:pPr>
        <w:spacing w:after="0" w:line="27" w:lineRule="exact"/>
        <w:rPr>
          <w:sz w:val="24"/>
          <w:szCs w:val="24"/>
          <w:color w:val="auto"/>
        </w:rPr>
      </w:pPr>
    </w:p>
    <w:p>
      <w:pPr>
        <w:jc w:val="center"/>
        <w:ind w:right="7480"/>
        <w:spacing w:after="0"/>
        <w:rPr>
          <w:sz w:val="20"/>
          <w:szCs w:val="20"/>
          <w:color w:val="auto"/>
        </w:rPr>
      </w:pPr>
      <w:r>
        <w:rPr>
          <w:rFonts w:ascii="Arial" w:cs="Arial" w:eastAsia="Arial" w:hAnsi="Arial"/>
          <w:sz w:val="16"/>
          <w:szCs w:val="16"/>
          <w:b w:val="1"/>
          <w:bCs w:val="1"/>
          <w:color w:val="auto"/>
        </w:rPr>
        <w:t>400 Professional Drive</w:t>
      </w:r>
    </w:p>
    <w:p>
      <w:pPr>
        <w:spacing w:after="0" w:line="86" w:lineRule="exact"/>
        <w:rPr>
          <w:sz w:val="24"/>
          <w:szCs w:val="24"/>
          <w:color w:val="auto"/>
        </w:rPr>
      </w:pPr>
    </w:p>
    <w:p>
      <w:pPr>
        <w:jc w:val="center"/>
        <w:ind w:right="7480"/>
        <w:spacing w:after="0"/>
        <w:rPr>
          <w:sz w:val="20"/>
          <w:szCs w:val="20"/>
          <w:color w:val="auto"/>
        </w:rPr>
      </w:pPr>
      <w:r>
        <w:rPr>
          <w:rFonts w:ascii="Arial" w:cs="Arial" w:eastAsia="Arial" w:hAnsi="Arial"/>
          <w:sz w:val="16"/>
          <w:szCs w:val="16"/>
          <w:b w:val="1"/>
          <w:bCs w:val="1"/>
          <w:color w:val="auto"/>
        </w:rPr>
        <w:t>Suite 400</w:t>
      </w:r>
    </w:p>
    <w:p>
      <w:pPr>
        <w:spacing w:after="0" w:line="86" w:lineRule="exact"/>
        <w:rPr>
          <w:sz w:val="24"/>
          <w:szCs w:val="24"/>
          <w:color w:val="auto"/>
        </w:rPr>
      </w:pPr>
    </w:p>
    <w:p>
      <w:pPr>
        <w:ind w:left="1460"/>
        <w:spacing w:after="0"/>
        <w:tabs>
          <w:tab w:leader="none" w:pos="4180" w:val="left"/>
          <w:tab w:leader="none" w:pos="5180" w:val="left"/>
        </w:tabs>
        <w:rPr>
          <w:sz w:val="20"/>
          <w:szCs w:val="20"/>
          <w:color w:val="auto"/>
        </w:rPr>
      </w:pPr>
      <w:r>
        <w:rPr>
          <w:rFonts w:ascii="Arial" w:cs="Arial" w:eastAsia="Arial" w:hAnsi="Arial"/>
          <w:sz w:val="16"/>
          <w:szCs w:val="16"/>
          <w:b w:val="1"/>
          <w:bCs w:val="1"/>
          <w:color w:val="auto"/>
        </w:rPr>
        <w:t>Gaithersburg</w:t>
      </w:r>
      <w:r>
        <w:rPr>
          <w:sz w:val="20"/>
          <w:szCs w:val="20"/>
          <w:color w:val="auto"/>
        </w:rPr>
        <w:tab/>
      </w:r>
      <w:r>
        <w:rPr>
          <w:rFonts w:ascii="Arial" w:cs="Arial" w:eastAsia="Arial" w:hAnsi="Arial"/>
          <w:sz w:val="16"/>
          <w:szCs w:val="16"/>
          <w:b w:val="1"/>
          <w:bCs w:val="1"/>
          <w:color w:val="auto"/>
        </w:rPr>
        <w:t>Maryland</w:t>
      </w:r>
      <w:r>
        <w:rPr>
          <w:sz w:val="20"/>
          <w:szCs w:val="20"/>
          <w:color w:val="auto"/>
        </w:rPr>
        <w:tab/>
      </w:r>
      <w:r>
        <w:rPr>
          <w:rFonts w:ascii="Arial" w:cs="Arial" w:eastAsia="Arial" w:hAnsi="Arial"/>
          <w:sz w:val="16"/>
          <w:szCs w:val="16"/>
          <w:b w:val="1"/>
          <w:bCs w:val="1"/>
          <w:color w:val="auto"/>
        </w:rPr>
        <w:t>20879</w:t>
      </w:r>
    </w:p>
    <w:p>
      <w:pPr>
        <w:spacing w:after="0" w:line="59" w:lineRule="exact"/>
        <w:rPr>
          <w:sz w:val="24"/>
          <w:szCs w:val="24"/>
          <w:color w:val="auto"/>
        </w:rPr>
      </w:pPr>
    </w:p>
    <w:p>
      <w:pPr>
        <w:ind w:left="860"/>
        <w:spacing w:after="0"/>
        <w:tabs>
          <w:tab w:leader="none" w:pos="6740" w:val="left"/>
        </w:tabs>
        <w:rPr>
          <w:sz w:val="20"/>
          <w:szCs w:val="20"/>
          <w:color w:val="auto"/>
        </w:rPr>
      </w:pPr>
      <w:r>
        <w:rPr>
          <w:rFonts w:ascii="Arial" w:cs="Arial" w:eastAsia="Arial" w:hAnsi="Arial"/>
          <w:sz w:val="13"/>
          <w:szCs w:val="13"/>
          <w:i w:val="1"/>
          <w:iCs w:val="1"/>
          <w:color w:val="auto"/>
        </w:rPr>
        <w:t>(Address of Principal Executive Offices)</w:t>
      </w:r>
      <w:r>
        <w:rPr>
          <w:sz w:val="20"/>
          <w:szCs w:val="20"/>
          <w:color w:val="auto"/>
        </w:rPr>
        <w:tab/>
      </w:r>
      <w:r>
        <w:rPr>
          <w:rFonts w:ascii="Arial" w:cs="Arial" w:eastAsia="Arial" w:hAnsi="Arial"/>
          <w:sz w:val="12"/>
          <w:szCs w:val="12"/>
          <w:i w:val="1"/>
          <w:iCs w:val="1"/>
          <w:color w:val="auto"/>
        </w:rPr>
        <w:t>(Zip Code)</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C2C2C"/>
        </w:rPr>
        <w:t>(240) 631-3200</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2C2C2C"/>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3" w:lineRule="exact"/>
        <w:rPr>
          <w:sz w:val="24"/>
          <w:szCs w:val="24"/>
          <w:color w:val="auto"/>
        </w:rPr>
      </w:pPr>
    </w:p>
    <w:p>
      <w:pPr>
        <w:ind w:left="1460"/>
        <w:spacing w:after="0"/>
        <w:tabs>
          <w:tab w:leader="none" w:pos="5000" w:val="left"/>
          <w:tab w:leader="none" w:pos="7640" w:val="left"/>
        </w:tabs>
        <w:rPr>
          <w:sz w:val="20"/>
          <w:szCs w:val="20"/>
          <w:color w:val="auto"/>
        </w:rPr>
      </w:pPr>
      <w:r>
        <w:rPr>
          <w:rFonts w:ascii="Arial" w:cs="Arial" w:eastAsia="Arial" w:hAnsi="Arial"/>
          <w:sz w:val="16"/>
          <w:szCs w:val="16"/>
          <w:i w:val="1"/>
          <w:iCs w:val="1"/>
          <w:color w:val="auto"/>
        </w:rPr>
        <w:t>Title of each class</w:t>
      </w:r>
      <w:r>
        <w:rPr>
          <w:sz w:val="20"/>
          <w:szCs w:val="20"/>
          <w:color w:val="auto"/>
        </w:rPr>
        <w:tab/>
      </w:r>
      <w:r>
        <w:rPr>
          <w:rFonts w:ascii="Arial" w:cs="Arial" w:eastAsia="Arial" w:hAnsi="Arial"/>
          <w:sz w:val="16"/>
          <w:szCs w:val="16"/>
          <w:i w:val="1"/>
          <w:iCs w:val="1"/>
          <w:color w:val="auto"/>
        </w:rPr>
        <w:t>Trading Symbol(s)</w:t>
      </w:r>
      <w:r>
        <w:rPr>
          <w:sz w:val="20"/>
          <w:szCs w:val="20"/>
          <w:color w:val="auto"/>
        </w:rPr>
        <w:tab/>
      </w:r>
      <w:r>
        <w:rPr>
          <w:rFonts w:ascii="Arial" w:cs="Arial" w:eastAsia="Arial" w:hAnsi="Arial"/>
          <w:sz w:val="16"/>
          <w:szCs w:val="16"/>
          <w:i w:val="1"/>
          <w:iCs w:val="1"/>
          <w:color w:val="auto"/>
        </w:rPr>
        <w:t>Name of each exchange on which registered</w:t>
      </w:r>
    </w:p>
    <w:p>
      <w:pPr>
        <w:spacing w:after="0" w:line="75" w:lineRule="exact"/>
        <w:rPr>
          <w:sz w:val="24"/>
          <w:szCs w:val="24"/>
          <w:color w:val="auto"/>
        </w:rPr>
      </w:pPr>
    </w:p>
    <w:p>
      <w:pPr>
        <w:ind w:left="100"/>
        <w:spacing w:after="0"/>
        <w:tabs>
          <w:tab w:leader="none" w:pos="5480" w:val="left"/>
          <w:tab w:leader="none" w:pos="7200" w:val="left"/>
        </w:tabs>
        <w:rPr>
          <w:sz w:val="20"/>
          <w:szCs w:val="20"/>
          <w:color w:val="auto"/>
        </w:rPr>
      </w:pPr>
      <w:r>
        <w:rPr>
          <w:rFonts w:ascii="Arial" w:cs="Arial" w:eastAsia="Arial" w:hAnsi="Arial"/>
          <w:sz w:val="16"/>
          <w:szCs w:val="16"/>
          <w:color w:val="auto"/>
        </w:rPr>
        <w:t>Common Stock, Par Value $0.001 per share</w:t>
      </w:r>
      <w:r>
        <w:rPr>
          <w:sz w:val="20"/>
          <w:szCs w:val="20"/>
          <w:color w:val="auto"/>
        </w:rPr>
        <w:tab/>
      </w:r>
      <w:r>
        <w:rPr>
          <w:rFonts w:ascii="Arial" w:cs="Arial" w:eastAsia="Arial" w:hAnsi="Arial"/>
          <w:sz w:val="16"/>
          <w:szCs w:val="16"/>
          <w:color w:val="auto"/>
        </w:rPr>
        <w:t>EBS</w:t>
      </w:r>
      <w:r>
        <w:rPr>
          <w:sz w:val="20"/>
          <w:szCs w:val="20"/>
          <w:color w:val="auto"/>
        </w:rPr>
        <w:tab/>
      </w:r>
      <w:r>
        <w:rPr>
          <w:rFonts w:ascii="Arial" w:cs="Arial" w:eastAsia="Arial" w:hAnsi="Arial"/>
          <w:sz w:val="16"/>
          <w:szCs w:val="16"/>
          <w:color w:val="auto"/>
        </w:rPr>
        <w:t>New York Stock Exchange</w:t>
      </w:r>
    </w:p>
    <w:p>
      <w:pPr>
        <w:spacing w:after="0" w:line="194"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2C2C2C"/>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4"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2C2C2C"/>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2"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2C2C2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8" w:lineRule="exact"/>
        <w:rPr>
          <w:sz w:val="24"/>
          <w:szCs w:val="24"/>
          <w:color w:val="auto"/>
        </w:rPr>
      </w:pPr>
    </w:p>
    <w:tbl>
      <w:tblPr>
        <w:tblLayout w:type="fixed"/>
        <w:tblInd w:w="240" w:type="dxa"/>
        <w:tblCellMar>
          <w:top w:w="0" w:type="dxa"/>
          <w:left w:w="0" w:type="dxa"/>
          <w:bottom w:w="0" w:type="dxa"/>
          <w:right w:w="0" w:type="dxa"/>
        </w:tblCellMar>
      </w:tblPr>
      <w:tr>
        <w:trPr>
          <w:trHeight w:val="254"/>
        </w:trPr>
        <w:tc>
          <w:tcPr>
            <w:tcW w:w="25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6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560" w:type="dxa"/>
            <w:vAlign w:val="bottom"/>
          </w:tcPr>
          <w:p>
            <w:pPr>
              <w:spacing w:after="0"/>
              <w:rPr>
                <w:sz w:val="20"/>
                <w:szCs w:val="20"/>
                <w:color w:val="auto"/>
              </w:rPr>
            </w:pPr>
            <w:r>
              <w:rPr>
                <w:rFonts w:ascii="Arial" w:cs="Arial" w:eastAsia="Arial" w:hAnsi="Arial"/>
                <w:sz w:val="16"/>
                <w:szCs w:val="16"/>
                <w:color w:val="auto"/>
              </w:rPr>
              <w:t>Non-accelerated filer</w:t>
            </w:r>
          </w:p>
        </w:tc>
        <w:tc>
          <w:tcPr>
            <w:tcW w:w="136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ind w:right="20" w:firstLine="324"/>
        <w:spacing w:after="0" w:line="201" w:lineRule="exact"/>
        <w:rPr>
          <w:sz w:val="20"/>
          <w:szCs w:val="20"/>
          <w:color w:val="auto"/>
        </w:rPr>
      </w:pPr>
      <w:r>
        <w:rPr>
          <w:rFonts w:ascii="Arial" w:cs="Arial" w:eastAsia="Arial" w:hAnsi="Arial"/>
          <w:sz w:val="16"/>
          <w:szCs w:val="16"/>
          <w:color w:val="2C2C2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C2C2C"/>
        </w:rPr>
        <w:t>☐</w:t>
      </w:r>
    </w:p>
    <w:p>
      <w:pPr>
        <w:spacing w:after="0" w:line="138" w:lineRule="exact"/>
        <w:rPr>
          <w:sz w:val="24"/>
          <w:szCs w:val="24"/>
          <w:color w:val="auto"/>
        </w:rPr>
      </w:pPr>
    </w:p>
    <w:p>
      <w:pPr>
        <w:ind w:left="340" w:right="2260"/>
        <w:spacing w:after="0" w:line="280" w:lineRule="exact"/>
        <w:rPr>
          <w:sz w:val="20"/>
          <w:szCs w:val="20"/>
          <w:color w:val="auto"/>
        </w:rPr>
      </w:pPr>
      <w:r>
        <w:rPr>
          <w:rFonts w:ascii="Arial" w:cs="Arial" w:eastAsia="Arial" w:hAnsi="Arial"/>
          <w:sz w:val="16"/>
          <w:szCs w:val="16"/>
          <w:color w:val="2C2C2C"/>
        </w:rPr>
        <w:t xml:space="preserve">Indicate by check mark whether the registrant is a shell company (as defined in Rule 12b-2 of the Exchange Act).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As of July 26, 2019, the registrant had approximately 51.6 million shares of common stock outstanding.</w:t>
      </w:r>
    </w:p>
    <w:p>
      <w:pPr>
        <w:sectPr>
          <w:pgSz w:w="11900" w:h="16838" w:orient="portrait"/>
          <w:cols w:equalWidth="0" w:num="1">
            <w:col w:w="11420"/>
          </w:cols>
          <w:pgMar w:left="240" w:top="217" w:right="239" w:bottom="1440" w:gutter="0" w:footer="0" w:header="0"/>
        </w:sect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2C2C2C"/>
        </w:rPr>
        <w:t>1</w:t>
      </w:r>
    </w:p>
    <w:p>
      <w:pPr>
        <w:sectPr>
          <w:pgSz w:w="11900" w:h="16838" w:orient="portrait"/>
          <w:cols w:equalWidth="0" w:num="1">
            <w:col w:w="11420"/>
          </w:cols>
          <w:pgMar w:left="240" w:top="217" w:right="2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00497F"/>
        </w:rPr>
        <w:t>Emergent BioSolutions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40" w:type="dxa"/>
            <w:vAlign w:val="bottom"/>
            <w:gridSpan w:val="23"/>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1620" w:type="dxa"/>
            <w:vAlign w:val="bottom"/>
            <w:gridSpan w:val="2"/>
          </w:tcPr>
          <w:p>
            <w:pPr>
              <w:ind w:left="840"/>
              <w:spacing w:after="0"/>
              <w:rPr>
                <w:sz w:val="20"/>
                <w:szCs w:val="20"/>
                <w:color w:val="auto"/>
              </w:rPr>
            </w:pPr>
            <w:r>
              <w:rPr>
                <w:rFonts w:ascii="Arial" w:cs="Arial" w:eastAsia="Arial" w:hAnsi="Arial"/>
                <w:sz w:val="18"/>
                <w:szCs w:val="18"/>
                <w:b w:val="1"/>
                <w:bCs w:val="1"/>
                <w:color w:val="auto"/>
                <w:w w:val="98"/>
              </w:rPr>
              <w:t>Page No.</w:t>
            </w:r>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79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620" w:type="dxa"/>
            <w:vAlign w:val="bottom"/>
            <w:gridSpan w:val="2"/>
          </w:tcPr>
          <w:p>
            <w:pPr>
              <w:jc w:val="center"/>
              <w:ind w:left="7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9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620" w:type="dxa"/>
            <w:vAlign w:val="bottom"/>
            <w:gridSpan w:val="2"/>
          </w:tcPr>
          <w:p>
            <w:pPr>
              <w:jc w:val="center"/>
              <w:ind w:left="7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9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1620" w:type="dxa"/>
            <w:vAlign w:val="bottom"/>
            <w:gridSpan w:val="2"/>
          </w:tcPr>
          <w:p>
            <w:pPr>
              <w:jc w:val="center"/>
              <w:ind w:left="7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Comprehensive (Loss) Income</w:t>
              </w:r>
            </w:hyperlink>
          </w:p>
        </w:tc>
        <w:tc>
          <w:tcPr>
            <w:tcW w:w="2240" w:type="dxa"/>
            <w:vAlign w:val="bottom"/>
            <w:gridSpan w:val="3"/>
          </w:tcPr>
          <w:p>
            <w:pPr>
              <w:spacing w:after="0"/>
              <w:rPr>
                <w:sz w:val="20"/>
                <w:szCs w:val="20"/>
                <w:color w:val="auto"/>
              </w:rPr>
            </w:pPr>
          </w:p>
        </w:tc>
        <w:tc>
          <w:tcPr>
            <w:tcW w:w="1620" w:type="dxa"/>
            <w:vAlign w:val="bottom"/>
            <w:gridSpan w:val="2"/>
          </w:tcPr>
          <w:p>
            <w:pPr>
              <w:jc w:val="center"/>
              <w:ind w:left="7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9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1620" w:type="dxa"/>
            <w:vAlign w:val="bottom"/>
            <w:gridSpan w:val="2"/>
          </w:tcPr>
          <w:p>
            <w:pPr>
              <w:jc w:val="center"/>
              <w:ind w:left="7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92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Stockholders' Equity</w:t>
              </w:r>
            </w:hyperlink>
          </w:p>
        </w:tc>
        <w:tc>
          <w:tcPr>
            <w:tcW w:w="1620" w:type="dxa"/>
            <w:vAlign w:val="bottom"/>
            <w:gridSpan w:val="2"/>
          </w:tcPr>
          <w:p>
            <w:pPr>
              <w:jc w:val="center"/>
              <w:ind w:left="75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0" w:type="dxa"/>
            <w:vAlign w:val="bottom"/>
            <w:tcBorders>
              <w:top w:val="single" w:sz="8" w:color="0000EE"/>
            </w:tcBorders>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2120" w:type="dxa"/>
            <w:vAlign w:val="bottom"/>
            <w:gridSpan w:val="2"/>
          </w:tcPr>
          <w:p>
            <w:pPr>
              <w:spacing w:after="0"/>
              <w:rPr>
                <w:sz w:val="20"/>
                <w:szCs w:val="20"/>
                <w:color w:val="auto"/>
              </w:rPr>
            </w:pPr>
          </w:p>
        </w:tc>
        <w:tc>
          <w:tcPr>
            <w:tcW w:w="1620" w:type="dxa"/>
            <w:vAlign w:val="bottom"/>
            <w:gridSpan w:val="2"/>
          </w:tcPr>
          <w:p>
            <w:pPr>
              <w:jc w:val="center"/>
              <w:ind w:left="730"/>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10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79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25</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79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79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20"/>
        </w:trPr>
        <w:tc>
          <w:tcPr>
            <w:tcW w:w="2120" w:type="dxa"/>
            <w:vAlign w:val="bottom"/>
            <w:tcBorders>
              <w:bottom w:val="single" w:sz="8" w:color="auto"/>
            </w:tcBorders>
            <w:gridSpan w:val="5"/>
          </w:tcPr>
          <w:p>
            <w:pPr>
              <w:spacing w:after="0"/>
              <w:rPr>
                <w:rFonts w:ascii="Arial" w:cs="Arial" w:eastAsia="Arial" w:hAnsi="Arial"/>
                <w:sz w:val="18"/>
                <w:szCs w:val="18"/>
                <w:b w:val="1"/>
                <w:bCs w:val="1"/>
                <w:color w:val="auto"/>
                <w:w w:val="99"/>
              </w:rPr>
            </w:pPr>
            <w:hyperlink w:anchor="page36">
              <w:r>
                <w:rPr>
                  <w:rFonts w:ascii="Arial" w:cs="Arial" w:eastAsia="Arial" w:hAnsi="Arial"/>
                  <w:sz w:val="18"/>
                  <w:szCs w:val="18"/>
                  <w:b w:val="1"/>
                  <w:bCs w:val="1"/>
                  <w:color w:val="auto"/>
                  <w:w w:val="99"/>
                </w:rPr>
                <w:t>Part II. Other Information</w:t>
              </w:r>
            </w:hyperlink>
          </w:p>
        </w:tc>
        <w:tc>
          <w:tcPr>
            <w:tcW w:w="7520" w:type="dxa"/>
            <w:vAlign w:val="bottom"/>
            <w:gridSpan w:val="18"/>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1720" w:type="dxa"/>
            <w:vAlign w:val="bottom"/>
            <w:gridSpan w:val="3"/>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w:t>
              </w:r>
            </w:hyperlink>
          </w:p>
        </w:tc>
        <w:tc>
          <w:tcPr>
            <w:tcW w:w="792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36</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1A.</w:t>
              </w:r>
            </w:hyperlink>
          </w:p>
        </w:tc>
        <w:tc>
          <w:tcPr>
            <w:tcW w:w="792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37</w:t>
              </w:r>
            </w:hyperlink>
          </w:p>
        </w:tc>
      </w:tr>
      <w:tr>
        <w:trPr>
          <w:trHeight w:val="20"/>
        </w:trPr>
        <w:tc>
          <w:tcPr>
            <w:tcW w:w="66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2.</w:t>
              </w:r>
            </w:hyperlink>
          </w:p>
        </w:tc>
        <w:tc>
          <w:tcPr>
            <w:tcW w:w="1060" w:type="dxa"/>
            <w:vAlign w:val="bottom"/>
          </w:tcPr>
          <w:p>
            <w:pPr>
              <w:spacing w:after="0"/>
              <w:rPr>
                <w:sz w:val="20"/>
                <w:szCs w:val="20"/>
                <w:color w:val="auto"/>
              </w:rPr>
            </w:pPr>
          </w:p>
        </w:tc>
        <w:tc>
          <w:tcPr>
            <w:tcW w:w="79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68</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3.</w:t>
              </w:r>
            </w:hyperlink>
          </w:p>
        </w:tc>
        <w:tc>
          <w:tcPr>
            <w:tcW w:w="79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68</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4.</w:t>
              </w:r>
            </w:hyperlink>
          </w:p>
        </w:tc>
        <w:tc>
          <w:tcPr>
            <w:tcW w:w="79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68</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5.</w:t>
              </w:r>
            </w:hyperlink>
          </w:p>
        </w:tc>
        <w:tc>
          <w:tcPr>
            <w:tcW w:w="79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68</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520" w:type="dxa"/>
            <w:vAlign w:val="bottom"/>
            <w:gridSpan w:val="1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37"/>
        </w:trPr>
        <w:tc>
          <w:tcPr>
            <w:tcW w:w="1720" w:type="dxa"/>
            <w:vAlign w:val="bottom"/>
            <w:gridSpan w:val="3"/>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6.</w:t>
              </w:r>
            </w:hyperlink>
          </w:p>
        </w:tc>
        <w:tc>
          <w:tcPr>
            <w:tcW w:w="79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1620" w:type="dxa"/>
            <w:vAlign w:val="bottom"/>
            <w:gridSpan w:val="2"/>
          </w:tcPr>
          <w:p>
            <w:pPr>
              <w:jc w:val="center"/>
              <w:ind w:left="730"/>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68</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60" w:type="dxa"/>
            <w:vAlign w:val="bottom"/>
            <w:gridSpan w:val="16"/>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56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Signatures</w:t>
              </w:r>
            </w:hyperlink>
          </w:p>
        </w:tc>
        <w:tc>
          <w:tcPr>
            <w:tcW w:w="7060" w:type="dxa"/>
            <w:vAlign w:val="bottom"/>
            <w:gridSpan w:val="16"/>
          </w:tcPr>
          <w:p>
            <w:pPr>
              <w:spacing w:after="0"/>
              <w:rPr>
                <w:sz w:val="24"/>
                <w:szCs w:val="24"/>
                <w:color w:val="auto"/>
              </w:rPr>
            </w:pPr>
          </w:p>
        </w:tc>
        <w:tc>
          <w:tcPr>
            <w:tcW w:w="1620" w:type="dxa"/>
            <w:vAlign w:val="bottom"/>
            <w:gridSpan w:val="2"/>
          </w:tcPr>
          <w:p>
            <w:pPr>
              <w:jc w:val="center"/>
              <w:ind w:left="730"/>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70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C2C2C"/>
        </w:rPr>
        <w:t>2</w:t>
      </w:r>
    </w:p>
    <w:p>
      <w:pPr>
        <w:sectPr>
          <w:pgSz w:w="11900" w:h="16838" w:orient="portrait"/>
          <w:cols w:equalWidth="0" w:num="1">
            <w:col w:w="11260"/>
          </w:cols>
          <w:pgMar w:left="280" w:top="36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SPECIAL NOTE REGARDING FORWARD-LOOKING STATEMENTS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3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color w:val="2C2C2C"/>
        </w:rPr>
        <w:t>There are a number of important factors that could cause our actual results to differ materially from those indicated by such forward-looking statements, including, among others:</w:t>
      </w:r>
    </w:p>
    <w:p>
      <w:pPr>
        <w:spacing w:after="0" w:line="99" w:lineRule="exact"/>
        <w:rPr>
          <w:sz w:val="20"/>
          <w:szCs w:val="20"/>
          <w:color w:val="auto"/>
        </w:rPr>
      </w:pPr>
    </w:p>
    <w:p>
      <w:pPr>
        <w:ind w:left="660" w:right="480" w:hanging="328"/>
        <w:spacing w:after="0" w:line="287"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appropriations for the procurement of BioThrax® (Anthrax Vaccine Adsorbed) and our other products addressing public health threats (PHTs);</w:t>
      </w:r>
    </w:p>
    <w:p>
      <w:pPr>
        <w:spacing w:after="0" w:line="99" w:lineRule="exact"/>
        <w:rPr>
          <w:rFonts w:ascii="Arial" w:cs="Arial" w:eastAsia="Arial" w:hAnsi="Arial"/>
          <w:sz w:val="18"/>
          <w:szCs w:val="18"/>
          <w:b w:val="1"/>
          <w:bCs w:val="1"/>
          <w:color w:val="2C2C2C"/>
        </w:rPr>
      </w:pPr>
    </w:p>
    <w:p>
      <w:pPr>
        <w:ind w:left="660" w:right="240" w:hanging="328"/>
        <w:spacing w:after="0" w:line="269"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the exercise of discretion by the Biomedical Advanced Research and Development Authority (BARDA) to procure AV7909 (anthrax vaccine adsorbed with CPG 7909 adjuvant) in reliance on the </w:t>
      </w:r>
      <w:r>
        <w:rPr>
          <w:rFonts w:ascii="Arial" w:cs="Arial" w:eastAsia="Arial" w:hAnsi="Arial"/>
          <w:sz w:val="18"/>
          <w:szCs w:val="18"/>
          <w:b w:val="1"/>
          <w:bCs w:val="1"/>
          <w:color w:val="000000"/>
        </w:rPr>
        <w:t>U.S. Food and Drug Administration (FDA)</w:t>
      </w:r>
      <w:r>
        <w:rPr>
          <w:rFonts w:ascii="Arial" w:cs="Arial" w:eastAsia="Arial" w:hAnsi="Arial"/>
          <w:sz w:val="18"/>
          <w:szCs w:val="18"/>
          <w:b w:val="1"/>
          <w:bCs w:val="1"/>
          <w:color w:val="2C2C2C"/>
        </w:rPr>
        <w:t xml:space="preserve"> review and acceptance of the company’s pre-Emergency Use Authorization (pre-EUA) submission;</w:t>
      </w:r>
    </w:p>
    <w:p>
      <w:pPr>
        <w:spacing w:after="0" w:line="114" w:lineRule="exact"/>
        <w:rPr>
          <w:rFonts w:ascii="Arial" w:cs="Arial" w:eastAsia="Arial" w:hAnsi="Arial"/>
          <w:sz w:val="18"/>
          <w:szCs w:val="18"/>
          <w:b w:val="1"/>
          <w:bCs w:val="1"/>
          <w:color w:val="2C2C2C"/>
        </w:rPr>
      </w:pPr>
    </w:p>
    <w:p>
      <w:pPr>
        <w:ind w:left="660" w:hanging="328"/>
        <w:spacing w:after="0" w:line="287"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our ability to perform under our contracts with the U.S. government (USG) related to BioThrax, our AV7909 </w:t>
      </w:r>
      <w:r>
        <w:rPr>
          <w:rFonts w:ascii="Arial" w:cs="Arial" w:eastAsia="Arial" w:hAnsi="Arial"/>
          <w:sz w:val="18"/>
          <w:szCs w:val="18"/>
          <w:b w:val="1"/>
          <w:bCs w:val="1"/>
          <w:color w:val="000000"/>
        </w:rPr>
        <w:t>product candidate,</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and our other public health threat products, including the timing of and specifications relating to deliveries;</w:t>
      </w:r>
    </w:p>
    <w:p>
      <w:pPr>
        <w:spacing w:after="0" w:line="99" w:lineRule="exact"/>
        <w:rPr>
          <w:rFonts w:ascii="Arial" w:cs="Arial" w:eastAsia="Arial" w:hAnsi="Arial"/>
          <w:sz w:val="18"/>
          <w:szCs w:val="18"/>
          <w:b w:val="1"/>
          <w:bCs w:val="1"/>
          <w:color w:val="2C2C2C"/>
        </w:rPr>
      </w:pPr>
    </w:p>
    <w:p>
      <w:pPr>
        <w:ind w:left="660" w:right="460" w:hanging="328"/>
        <w:spacing w:after="0" w:line="28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commence deliveries based on BARDA’s procurement of AV7909 (anthrax vaccine adsorbed with CPG 7909 adjuvant) for the Strategic National Stockpile (SNS), and to receive eventual licensure of AV7909 from the FDA;</w:t>
      </w:r>
    </w:p>
    <w:p>
      <w:pPr>
        <w:spacing w:after="0" w:line="99"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auto"/>
        </w:rPr>
        <w:t>the availa</w:t>
      </w:r>
      <w:r>
        <w:rPr>
          <w:rFonts w:ascii="Arial" w:cs="Arial" w:eastAsia="Arial" w:hAnsi="Arial"/>
          <w:sz w:val="18"/>
          <w:szCs w:val="18"/>
          <w:b w:val="1"/>
          <w:bCs w:val="1"/>
          <w:color w:val="2C2C2C"/>
        </w:rPr>
        <w:t>bility of funding for our USG grants and contracts;</w:t>
      </w:r>
    </w:p>
    <w:p>
      <w:pPr>
        <w:spacing w:after="0" w:line="171" w:lineRule="exact"/>
        <w:rPr>
          <w:rFonts w:ascii="Arial" w:cs="Arial" w:eastAsia="Arial" w:hAnsi="Arial"/>
          <w:sz w:val="18"/>
          <w:szCs w:val="18"/>
          <w:b w:val="1"/>
          <w:bCs w:val="1"/>
          <w:color w:val="2C2C2C"/>
        </w:rPr>
      </w:pPr>
    </w:p>
    <w:p>
      <w:pPr>
        <w:ind w:left="660" w:right="40" w:hanging="328"/>
        <w:spacing w:after="0" w:line="287"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secure follow-on procurement contracts for our PHTs that are under procurement contracts that have expired or will be expiring;</w:t>
      </w:r>
    </w:p>
    <w:p>
      <w:pPr>
        <w:spacing w:after="0" w:line="99" w:lineRule="exact"/>
        <w:rPr>
          <w:rFonts w:ascii="Arial" w:cs="Arial" w:eastAsia="Arial" w:hAnsi="Arial"/>
          <w:sz w:val="18"/>
          <w:szCs w:val="18"/>
          <w:b w:val="1"/>
          <w:bCs w:val="1"/>
          <w:color w:val="2C2C2C"/>
        </w:rPr>
      </w:pPr>
    </w:p>
    <w:p>
      <w:pPr>
        <w:ind w:left="660" w:hanging="328"/>
        <w:spacing w:after="0"/>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our ability and the ability of our collaborators to </w:t>
      </w:r>
      <w:r>
        <w:rPr>
          <w:rFonts w:ascii="Arial" w:cs="Arial" w:eastAsia="Arial" w:hAnsi="Arial"/>
          <w:sz w:val="18"/>
          <w:szCs w:val="18"/>
          <w:b w:val="1"/>
          <w:bCs w:val="1"/>
          <w:color w:val="000000"/>
        </w:rPr>
        <w:t>defend underlying patents from infringement by generic naloxone entrants</w:t>
      </w:r>
      <w:r>
        <w:rPr>
          <w:rFonts w:ascii="Arial" w:cs="Arial" w:eastAsia="Arial" w:hAnsi="Arial"/>
          <w:sz w:val="18"/>
          <w:szCs w:val="18"/>
          <w:b w:val="1"/>
          <w:bCs w:val="1"/>
          <w:color w:val="2C2C2C"/>
        </w:rPr>
        <w:t>;</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identify and acquire companies, businesses, products or product candidates that satisfy our selection criteria;</w:t>
      </w:r>
    </w:p>
    <w:p>
      <w:pPr>
        <w:spacing w:after="0" w:line="171" w:lineRule="exact"/>
        <w:rPr>
          <w:rFonts w:ascii="Arial" w:cs="Arial" w:eastAsia="Arial" w:hAnsi="Arial"/>
          <w:sz w:val="18"/>
          <w:szCs w:val="18"/>
          <w:b w:val="1"/>
          <w:bCs w:val="1"/>
          <w:color w:val="2C2C2C"/>
        </w:rPr>
      </w:pPr>
    </w:p>
    <w:p>
      <w:pPr>
        <w:ind w:left="660" w:hanging="328"/>
        <w:spacing w:after="0" w:line="287"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successfully integrate and realize the benefits of our acquisitions of PaxVax Holding Company Ltd. (PaxVax) and Adapt Pharma Limited (Adapt), both of which were acquired in October 2018;</w:t>
      </w:r>
    </w:p>
    <w:p>
      <w:pPr>
        <w:spacing w:after="0" w:line="99" w:lineRule="exact"/>
        <w:rPr>
          <w:rFonts w:ascii="Arial" w:cs="Arial" w:eastAsia="Arial" w:hAnsi="Arial"/>
          <w:sz w:val="18"/>
          <w:szCs w:val="18"/>
          <w:b w:val="1"/>
          <w:bCs w:val="1"/>
          <w:color w:val="2C2C2C"/>
        </w:rPr>
      </w:pPr>
    </w:p>
    <w:p>
      <w:pPr>
        <w:ind w:left="660" w:right="20" w:hanging="328"/>
        <w:spacing w:after="0" w:line="287"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successfully identify and respond to new development contracts with the USG, as well as successfully maintain, through achievement of development milestones, current development contracts with the USG;</w:t>
      </w:r>
    </w:p>
    <w:p>
      <w:pPr>
        <w:spacing w:after="0" w:line="99" w:lineRule="exact"/>
        <w:rPr>
          <w:rFonts w:ascii="Arial" w:cs="Arial" w:eastAsia="Arial" w:hAnsi="Arial"/>
          <w:sz w:val="18"/>
          <w:szCs w:val="18"/>
          <w:b w:val="1"/>
          <w:bCs w:val="1"/>
          <w:color w:val="2C2C2C"/>
        </w:rPr>
      </w:pPr>
    </w:p>
    <w:p>
      <w:pPr>
        <w:ind w:left="660" w:right="60" w:hanging="328"/>
        <w:spacing w:after="0" w:line="287"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and the ability of our contractors and suppliers to maintain compliance with current good manufacturing practices and other regulatory obligations;</w:t>
      </w:r>
    </w:p>
    <w:p>
      <w:pPr>
        <w:spacing w:after="0" w:line="99" w:lineRule="exact"/>
        <w:rPr>
          <w:rFonts w:ascii="Arial" w:cs="Arial" w:eastAsia="Arial" w:hAnsi="Arial"/>
          <w:sz w:val="18"/>
          <w:szCs w:val="18"/>
          <w:b w:val="1"/>
          <w:bCs w:val="1"/>
          <w:color w:val="2C2C2C"/>
        </w:rPr>
      </w:pPr>
    </w:p>
    <w:p>
      <w:pPr>
        <w:ind w:left="660" w:hanging="328"/>
        <w:spacing w:after="0"/>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b w:val="1"/>
          <w:bCs w:val="1"/>
          <w:color w:val="2C2C2C"/>
        </w:rPr>
        <w:t>the results of regulatory inspections;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3</w:t>
      </w:r>
    </w:p>
    <w:p>
      <w:pPr>
        <w:sectPr>
          <w:pgSz w:w="11900" w:h="16838" w:orient="portrait"/>
          <w:cols w:equalWidth="0" w:num="1">
            <w:col w:w="11420"/>
          </w:cols>
          <w:pgMar w:left="240" w:top="11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2C2C2C"/>
        </w:rPr>
      </w:pPr>
      <w:r>
        <w:rPr>
          <w:rFonts w:ascii="Arial" w:cs="Arial" w:eastAsia="Arial" w:hAnsi="Arial"/>
          <w:sz w:val="18"/>
          <w:szCs w:val="18"/>
          <w:b w:val="1"/>
          <w:bCs w:val="1"/>
          <w:color w:val="2C2C2C"/>
        </w:rPr>
        <w:t>the operating and financial restrictions placed on us and our subsidiaries under our senior secured credit facilities;</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2"/>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obtain and maintain regulatory approvals for our product candidates and the timing of any such approvals;</w:t>
      </w:r>
    </w:p>
    <w:p>
      <w:pPr>
        <w:spacing w:after="0" w:line="171" w:lineRule="exact"/>
        <w:rPr>
          <w:rFonts w:ascii="Arial" w:cs="Arial" w:eastAsia="Arial" w:hAnsi="Arial"/>
          <w:sz w:val="18"/>
          <w:szCs w:val="18"/>
          <w:b w:val="1"/>
          <w:bCs w:val="1"/>
          <w:color w:val="2C2C2C"/>
        </w:rPr>
      </w:pPr>
    </w:p>
    <w:p>
      <w:pPr>
        <w:ind w:left="660" w:right="240" w:hanging="328"/>
        <w:spacing w:after="0" w:line="269" w:lineRule="auto"/>
        <w:tabs>
          <w:tab w:leader="none" w:pos="660" w:val="left"/>
        </w:tabs>
        <w:numPr>
          <w:ilvl w:val="0"/>
          <w:numId w:val="2"/>
        </w:numPr>
        <w:rPr>
          <w:rFonts w:ascii="Arial" w:cs="Arial" w:eastAsia="Arial" w:hAnsi="Arial"/>
          <w:sz w:val="18"/>
          <w:szCs w:val="18"/>
          <w:b w:val="1"/>
          <w:bCs w:val="1"/>
          <w:color w:val="2C2C2C"/>
        </w:rPr>
      </w:pPr>
      <w:r>
        <w:rPr>
          <w:rFonts w:ascii="Arial" w:cs="Arial" w:eastAsia="Arial" w:hAnsi="Arial"/>
          <w:sz w:val="18"/>
          <w:szCs w:val="18"/>
          <w:b w:val="1"/>
          <w:bCs w:val="1"/>
          <w:color w:val="2C2C2C"/>
        </w:rPr>
        <w:t>the procurement of products by USG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114" w:lineRule="exact"/>
        <w:rPr>
          <w:rFonts w:ascii="Arial" w:cs="Arial" w:eastAsia="Arial" w:hAnsi="Arial"/>
          <w:sz w:val="18"/>
          <w:szCs w:val="18"/>
          <w:b w:val="1"/>
          <w:bCs w:val="1"/>
          <w:color w:val="2C2C2C"/>
        </w:rPr>
      </w:pPr>
    </w:p>
    <w:p>
      <w:pPr>
        <w:ind w:left="660" w:hanging="328"/>
        <w:spacing w:after="0"/>
        <w:tabs>
          <w:tab w:leader="none" w:pos="660" w:val="left"/>
        </w:tabs>
        <w:numPr>
          <w:ilvl w:val="0"/>
          <w:numId w:val="2"/>
        </w:numPr>
        <w:rPr>
          <w:rFonts w:ascii="Arial" w:cs="Arial" w:eastAsia="Arial" w:hAnsi="Arial"/>
          <w:sz w:val="18"/>
          <w:szCs w:val="18"/>
          <w:b w:val="1"/>
          <w:bCs w:val="1"/>
          <w:color w:val="2C2C2C"/>
        </w:rPr>
      </w:pPr>
      <w:r>
        <w:rPr>
          <w:rFonts w:ascii="Arial" w:cs="Arial" w:eastAsia="Arial" w:hAnsi="Arial"/>
          <w:sz w:val="18"/>
          <w:szCs w:val="18"/>
          <w:b w:val="1"/>
          <w:bCs w:val="1"/>
          <w:color w:val="2C2C2C"/>
        </w:rPr>
        <w:t>the success of our commercialization, marketing and manufacturing capabilities and strategy; and</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2"/>
        </w:numPr>
        <w:rPr>
          <w:rFonts w:ascii="Arial" w:cs="Arial" w:eastAsia="Arial" w:hAnsi="Arial"/>
          <w:sz w:val="18"/>
          <w:szCs w:val="18"/>
          <w:b w:val="1"/>
          <w:bCs w:val="1"/>
          <w:color w:val="2C2C2C"/>
        </w:rPr>
      </w:pPr>
      <w:r>
        <w:rPr>
          <w:rFonts w:ascii="Arial" w:cs="Arial" w:eastAsia="Arial" w:hAnsi="Arial"/>
          <w:sz w:val="18"/>
          <w:szCs w:val="18"/>
          <w:b w:val="1"/>
          <w:bCs w:val="1"/>
          <w:color w:val="2C2C2C"/>
        </w:rPr>
        <w:t>the accuracy of our estimates regarding future revenues, expenses, capital requirements and needs for additional financing.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2C2C2C"/>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(SEC) when evaluating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COMPANY REFERENCES</w:t>
      </w:r>
    </w:p>
    <w:p>
      <w:pPr>
        <w:spacing w:after="0" w:line="171"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color w:val="2C2C2C"/>
        </w:rPr>
        <w:t>References in this report to “Emergent,” the “Company,” “we,” “us,” and “our” refer to Emergent BioSolutions Inc. and its consolidated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TRADENAMES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2C2C2C"/>
        </w:rPr>
        <w:t>BioThrax® (Anthrax Vaccine Adsorbed), RSDL® (Reactive Skin Decontamination Lotion Kit), BAT® (Botulism Antitoxin Heptavalent (A,B,C,D,E,F,G)-(Equine)), Anthrasil® (Anthrax Immune Globulin Intravenous (Human)), VIGIV (Vaccinia Immune Globulin Intravenous (Human)), Trobigard® (atropine sulfate, obidoxime chloride), ACAM2000® (Smallpox (Vaccinia) Vaccine, Live), Vivotif® (Typhoid Vaccine Live Oral Ty21a), Vaxchora® (Cholera Vaccine, Live, Oral), NARCAN® (naloxone HCI) Nasal Spray and any and all Emergent brands, products, services and feature names, logos and slogans are trademarks or registered trademarks of Emergent or its subsidiaries in the United States or other countries. All other brands, products, services and feature names or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4</w:t>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497F"/>
        </w:rPr>
        <w:t>ITEM 1.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960" w:type="dxa"/>
            <w:vAlign w:val="bottom"/>
            <w:tcBorders>
              <w:bottom w:val="single" w:sz="8" w:color="0094FF"/>
            </w:tcBorders>
            <w:shd w:val="clear" w:color="auto" w:fill="0094FF"/>
          </w:tcPr>
          <w:p>
            <w:pPr>
              <w:spacing w:after="0"/>
              <w:rPr>
                <w:sz w:val="21"/>
                <w:szCs w:val="21"/>
                <w:color w:val="auto"/>
              </w:rPr>
            </w:pPr>
          </w:p>
        </w:tc>
        <w:tc>
          <w:tcPr>
            <w:tcW w:w="320" w:type="dxa"/>
            <w:vAlign w:val="bottom"/>
            <w:tcBorders>
              <w:bottom w:val="single" w:sz="8" w:color="0094FF"/>
            </w:tcBorders>
            <w:shd w:val="clear" w:color="auto" w:fill="0094FF"/>
          </w:tcPr>
          <w:p>
            <w:pPr>
              <w:spacing w:after="0"/>
              <w:rPr>
                <w:sz w:val="21"/>
                <w:szCs w:val="21"/>
                <w:color w:val="auto"/>
              </w:rPr>
            </w:pPr>
          </w:p>
        </w:tc>
        <w:tc>
          <w:tcPr>
            <w:tcW w:w="1860" w:type="dxa"/>
            <w:vAlign w:val="bottom"/>
            <w:tcBorders>
              <w:bottom w:val="single" w:sz="8" w:color="0094FF"/>
            </w:tcBorders>
            <w:shd w:val="clear" w:color="auto" w:fill="0094FF"/>
          </w:tcPr>
          <w:p>
            <w:pPr>
              <w:jc w:val="right"/>
              <w:ind w:right="430"/>
              <w:spacing w:after="0"/>
              <w:rPr>
                <w:sz w:val="20"/>
                <w:szCs w:val="20"/>
                <w:color w:val="auto"/>
              </w:rPr>
            </w:pPr>
            <w:r>
              <w:rPr>
                <w:rFonts w:ascii="Arial" w:cs="Arial" w:eastAsia="Arial" w:hAnsi="Arial"/>
                <w:sz w:val="18"/>
                <w:szCs w:val="18"/>
                <w:color w:val="FFFFFF"/>
              </w:rPr>
              <w:t>June 30, 2019</w:t>
            </w:r>
          </w:p>
        </w:tc>
        <w:tc>
          <w:tcPr>
            <w:tcW w:w="100" w:type="dxa"/>
            <w:vAlign w:val="bottom"/>
            <w:tcBorders>
              <w:bottom w:val="single" w:sz="8" w:color="0094FF"/>
            </w:tcBorders>
            <w:shd w:val="clear" w:color="auto" w:fill="0094FF"/>
          </w:tcPr>
          <w:p>
            <w:pPr>
              <w:spacing w:after="0"/>
              <w:rPr>
                <w:sz w:val="21"/>
                <w:szCs w:val="21"/>
                <w:color w:val="auto"/>
              </w:rPr>
            </w:pPr>
          </w:p>
        </w:tc>
        <w:tc>
          <w:tcPr>
            <w:tcW w:w="220" w:type="dxa"/>
            <w:vAlign w:val="bottom"/>
            <w:tcBorders>
              <w:bottom w:val="single" w:sz="8" w:color="0094FF"/>
            </w:tcBorders>
            <w:shd w:val="clear" w:color="auto" w:fill="0094FF"/>
          </w:tcPr>
          <w:p>
            <w:pPr>
              <w:spacing w:after="0"/>
              <w:rPr>
                <w:sz w:val="21"/>
                <w:szCs w:val="21"/>
                <w:color w:val="auto"/>
              </w:rPr>
            </w:pPr>
          </w:p>
        </w:tc>
        <w:tc>
          <w:tcPr>
            <w:tcW w:w="1960" w:type="dxa"/>
            <w:vAlign w:val="bottom"/>
            <w:tcBorders>
              <w:bottom w:val="single" w:sz="8" w:color="0094FF"/>
            </w:tcBorders>
            <w:shd w:val="clear" w:color="auto" w:fill="0094FF"/>
          </w:tcPr>
          <w:p>
            <w:pPr>
              <w:jc w:val="right"/>
              <w:ind w:right="210"/>
              <w:spacing w:after="0"/>
              <w:rPr>
                <w:sz w:val="20"/>
                <w:szCs w:val="20"/>
                <w:color w:val="auto"/>
              </w:rPr>
            </w:pPr>
            <w:r>
              <w:rPr>
                <w:rFonts w:ascii="Arial" w:cs="Arial" w:eastAsia="Arial" w:hAnsi="Arial"/>
                <w:sz w:val="18"/>
                <w:szCs w:val="18"/>
                <w:color w:val="FFFFFF"/>
              </w:rPr>
              <w:t>December 31, 2018</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84"/>
        </w:trPr>
        <w:tc>
          <w:tcPr>
            <w:tcW w:w="6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EDEDED"/>
          </w:tcPr>
          <w:p>
            <w:pPr>
              <w:spacing w:after="0"/>
              <w:rPr>
                <w:sz w:val="24"/>
                <w:szCs w:val="24"/>
                <w:color w:val="auto"/>
              </w:rPr>
            </w:pPr>
          </w:p>
        </w:tc>
        <w:tc>
          <w:tcPr>
            <w:tcW w:w="18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177.4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112.2</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218.1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262.5</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232.0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7"/>
        </w:trPr>
        <w:tc>
          <w:tcPr>
            <w:tcW w:w="69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EDEDED"/>
          </w:tcPr>
          <w:p>
            <w:pPr>
              <w:spacing w:after="0"/>
              <w:rPr>
                <w:sz w:val="24"/>
                <w:szCs w:val="24"/>
                <w:color w:val="auto"/>
              </w:rPr>
            </w:pPr>
          </w:p>
        </w:tc>
        <w:tc>
          <w:tcPr>
            <w:tcW w:w="18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1B51BF"/>
              </w:rPr>
              <w:t>65.0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DEDED"/>
          </w:tcPr>
          <w:p>
            <w:pPr>
              <w:spacing w:after="0"/>
              <w:rPr>
                <w:sz w:val="21"/>
                <w:szCs w:val="21"/>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692.7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620.8</w:t>
            </w:r>
          </w:p>
        </w:tc>
      </w:tr>
      <w:tr>
        <w:trPr>
          <w:trHeight w:val="540"/>
        </w:trPr>
        <w:tc>
          <w:tcPr>
            <w:tcW w:w="69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EDEDED"/>
          </w:tcPr>
          <w:p>
            <w:pPr>
              <w:spacing w:after="0"/>
              <w:rPr>
                <w:sz w:val="24"/>
                <w:szCs w:val="24"/>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520.5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510.2</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742.4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761.6</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41.0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268.3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259.7</w:t>
            </w:r>
          </w:p>
        </w:tc>
      </w:tr>
      <w:tr>
        <w:trPr>
          <w:trHeight w:val="277"/>
        </w:trPr>
        <w:tc>
          <w:tcPr>
            <w:tcW w:w="69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EDEDED"/>
          </w:tcPr>
          <w:p>
            <w:pPr>
              <w:spacing w:after="0"/>
              <w:rPr>
                <w:sz w:val="24"/>
                <w:szCs w:val="24"/>
                <w:color w:val="auto"/>
              </w:rPr>
            </w:pPr>
          </w:p>
        </w:tc>
        <w:tc>
          <w:tcPr>
            <w:tcW w:w="18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1B51BF"/>
              </w:rPr>
              <w:t>56.4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2,321.3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2,229.4</w:t>
            </w:r>
          </w:p>
        </w:tc>
      </w:tr>
      <w:tr>
        <w:trPr>
          <w:trHeight w:val="527"/>
        </w:trPr>
        <w:tc>
          <w:tcPr>
            <w:tcW w:w="69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top w:val="single" w:sz="8" w:color="auto"/>
            </w:tcBorders>
            <w:shd w:val="clear" w:color="auto" w:fill="EDEDED"/>
          </w:tcPr>
          <w:p>
            <w:pPr>
              <w:spacing w:after="0"/>
              <w:rPr>
                <w:sz w:val="24"/>
                <w:szCs w:val="24"/>
                <w:color w:val="auto"/>
              </w:rPr>
            </w:pPr>
          </w:p>
        </w:tc>
        <w:tc>
          <w:tcPr>
            <w:tcW w:w="1860" w:type="dxa"/>
            <w:vAlign w:val="bottom"/>
            <w:tcBorders>
              <w:top w:val="single" w:sz="8" w:color="auto"/>
            </w:tcBorders>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124.5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54.8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Contingent consideration, current portion</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54.6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44.7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Debt, current portion</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10.1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7"/>
        </w:trPr>
        <w:tc>
          <w:tcPr>
            <w:tcW w:w="6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EDEDED"/>
          </w:tcPr>
          <w:p>
            <w:pPr>
              <w:spacing w:after="0"/>
              <w:rPr>
                <w:sz w:val="24"/>
                <w:szCs w:val="24"/>
                <w:color w:val="auto"/>
              </w:rPr>
            </w:pPr>
          </w:p>
        </w:tc>
        <w:tc>
          <w:tcPr>
            <w:tcW w:w="18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1B51BF"/>
              </w:rPr>
              <w:t>12.5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DEDED"/>
          </w:tcPr>
          <w:p>
            <w:pPr>
              <w:spacing w:after="0"/>
              <w:rPr>
                <w:sz w:val="21"/>
                <w:szCs w:val="21"/>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301.2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200.4</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Debt</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830.4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784.5</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65.6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77.0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7"/>
        </w:trPr>
        <w:tc>
          <w:tcPr>
            <w:tcW w:w="69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EDEDED"/>
          </w:tcPr>
          <w:p>
            <w:pPr>
              <w:spacing w:after="0"/>
              <w:rPr>
                <w:sz w:val="24"/>
                <w:szCs w:val="24"/>
                <w:color w:val="auto"/>
              </w:rPr>
            </w:pPr>
          </w:p>
        </w:tc>
        <w:tc>
          <w:tcPr>
            <w:tcW w:w="18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1B51BF"/>
              </w:rPr>
              <w:t>47.8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1,332.4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1,218.5</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Commitments and contingencies (Notes 8 &amp; 16)</w:t>
            </w:r>
          </w:p>
        </w:tc>
        <w:tc>
          <w:tcPr>
            <w:tcW w:w="320" w:type="dxa"/>
            <w:vAlign w:val="bottom"/>
            <w:tcBorders>
              <w:top w:val="single" w:sz="8" w:color="auto"/>
            </w:tcBorders>
            <w:shd w:val="clear" w:color="auto" w:fill="EDEDED"/>
          </w:tcPr>
          <w:p>
            <w:pPr>
              <w:spacing w:after="0"/>
              <w:rPr>
                <w:sz w:val="21"/>
                <w:szCs w:val="21"/>
                <w:color w:val="auto"/>
              </w:rPr>
            </w:pPr>
          </w:p>
        </w:tc>
        <w:tc>
          <w:tcPr>
            <w:tcW w:w="1860" w:type="dxa"/>
            <w:vAlign w:val="bottom"/>
            <w:tcBorders>
              <w:top w:val="single" w:sz="8" w:color="auto"/>
            </w:tcBorders>
            <w:shd w:val="clear" w:color="auto" w:fill="EDEDED"/>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EDEDED"/>
          </w:tcPr>
          <w:p>
            <w:pPr>
              <w:spacing w:after="0"/>
              <w:rPr>
                <w:sz w:val="23"/>
                <w:szCs w:val="23"/>
                <w:color w:val="auto"/>
              </w:rPr>
            </w:pPr>
          </w:p>
        </w:tc>
        <w:tc>
          <w:tcPr>
            <w:tcW w:w="1860" w:type="dxa"/>
            <w:vAlign w:val="bottom"/>
            <w:shd w:val="clear" w:color="auto" w:fill="EDEDED"/>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42"/>
        </w:trPr>
        <w:tc>
          <w:tcPr>
            <w:tcW w:w="6960" w:type="dxa"/>
            <w:vAlign w:val="bottom"/>
          </w:tcPr>
          <w:p>
            <w:pPr>
              <w:ind w:left="180"/>
              <w:spacing w:after="0"/>
              <w:rPr>
                <w:sz w:val="20"/>
                <w:szCs w:val="20"/>
                <w:color w:val="auto"/>
              </w:rPr>
            </w:pPr>
            <w:r>
              <w:rPr>
                <w:rFonts w:ascii="Arial" w:cs="Arial" w:eastAsia="Arial" w:hAnsi="Arial"/>
                <w:sz w:val="18"/>
                <w:szCs w:val="18"/>
                <w:color w:val="auto"/>
              </w:rPr>
              <w:t>Preferred stock, $0.001 par value; 15.0 shares authorized, no shares issued or</w:t>
            </w:r>
          </w:p>
        </w:tc>
        <w:tc>
          <w:tcPr>
            <w:tcW w:w="320" w:type="dxa"/>
            <w:vAlign w:val="bottom"/>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outstanding at both 2019 and 2018</w:t>
            </w:r>
          </w:p>
        </w:tc>
        <w:tc>
          <w:tcPr>
            <w:tcW w:w="320" w:type="dxa"/>
            <w:vAlign w:val="bottom"/>
            <w:shd w:val="clear" w:color="auto" w:fill="EDEDED"/>
          </w:tcPr>
          <w:p>
            <w:pPr>
              <w:spacing w:after="0"/>
              <w:rPr>
                <w:sz w:val="20"/>
                <w:szCs w:val="20"/>
                <w:color w:val="auto"/>
              </w:rPr>
            </w:pPr>
          </w:p>
        </w:tc>
        <w:tc>
          <w:tcPr>
            <w:tcW w:w="1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tcPr>
          <w:p>
            <w:pPr>
              <w:ind w:left="180"/>
              <w:spacing w:after="0"/>
              <w:rPr>
                <w:sz w:val="20"/>
                <w:szCs w:val="20"/>
                <w:color w:val="auto"/>
              </w:rPr>
            </w:pPr>
            <w:r>
              <w:rPr>
                <w:rFonts w:ascii="Arial" w:cs="Arial" w:eastAsia="Arial" w:hAnsi="Arial"/>
                <w:sz w:val="18"/>
                <w:szCs w:val="18"/>
                <w:color w:val="auto"/>
              </w:rPr>
              <w:t>Common stock, $0.001 par value; 200.0 shares authorized, 52.7 shares issued and</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03"/>
        </w:trPr>
        <w:tc>
          <w:tcPr>
            <w:tcW w:w="6960" w:type="dxa"/>
            <w:vAlign w:val="bottom"/>
          </w:tcPr>
          <w:p>
            <w:pPr>
              <w:ind w:left="180"/>
              <w:spacing w:after="0" w:line="202" w:lineRule="exact"/>
              <w:rPr>
                <w:sz w:val="20"/>
                <w:szCs w:val="20"/>
                <w:color w:val="auto"/>
              </w:rPr>
            </w:pPr>
            <w:r>
              <w:rPr>
                <w:rFonts w:ascii="Arial" w:cs="Arial" w:eastAsia="Arial" w:hAnsi="Arial"/>
                <w:sz w:val="18"/>
                <w:szCs w:val="18"/>
                <w:color w:val="auto"/>
              </w:rPr>
              <w:t>51.6 shares outstanding at 2019; 52.4 shares issued and 51.2 shares outstanding at</w:t>
            </w: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6960" w:type="dxa"/>
            <w:vAlign w:val="bottom"/>
          </w:tcPr>
          <w:p>
            <w:pPr>
              <w:ind w:left="18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Treasury stock, at cost, 1.2 common shares at both 2019 and 2018</w:t>
            </w:r>
          </w:p>
        </w:tc>
        <w:tc>
          <w:tcPr>
            <w:tcW w:w="3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B51BF"/>
              </w:rPr>
              <w:t>(39.7)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701.8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688.6</w:t>
            </w: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B51BF"/>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69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331.7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367.3</w:t>
            </w:r>
          </w:p>
        </w:tc>
      </w:tr>
      <w:tr>
        <w:trPr>
          <w:trHeight w:val="250"/>
        </w:trPr>
        <w:tc>
          <w:tcPr>
            <w:tcW w:w="696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988.9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1,010.9</w:t>
            </w:r>
          </w:p>
        </w:tc>
      </w:tr>
      <w:tr>
        <w:trPr>
          <w:trHeight w:val="257"/>
        </w:trPr>
        <w:tc>
          <w:tcPr>
            <w:tcW w:w="69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2,321.3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2,229.4</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-1765935</wp:posOffset>
            </wp:positionV>
            <wp:extent cx="1380490" cy="1749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174942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See accompanying notes.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C2C2C"/>
        </w:rPr>
        <w:t>5</w:t>
      </w:r>
    </w:p>
    <w:p>
      <w:pPr>
        <w:sectPr>
          <w:pgSz w:w="11900" w:h="16838" w:orient="portrait"/>
          <w:cols w:equalWidth="0" w:num="1">
            <w:col w:w="11420"/>
          </w:cols>
          <w:pgMar w:left="240" w:top="36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Condensed Consolidated Statements of Operations</w:t>
      </w:r>
    </w:p>
    <w:p>
      <w:pPr>
        <w:ind w:left="3340"/>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shd w:val="clear" w:color="auto" w:fill="0094FF"/>
          </w:tcPr>
          <w:p>
            <w:pPr>
              <w:spacing w:after="0"/>
              <w:rPr>
                <w:sz w:val="22"/>
                <w:szCs w:val="22"/>
                <w:color w:val="auto"/>
              </w:rPr>
            </w:pPr>
          </w:p>
        </w:tc>
        <w:tc>
          <w:tcPr>
            <w:tcW w:w="120" w:type="dxa"/>
            <w:vAlign w:val="bottom"/>
            <w:shd w:val="clear" w:color="auto" w:fill="0094FF"/>
          </w:tcPr>
          <w:p>
            <w:pPr>
              <w:spacing w:after="0"/>
              <w:rPr>
                <w:sz w:val="22"/>
                <w:szCs w:val="22"/>
                <w:color w:val="auto"/>
              </w:rPr>
            </w:pPr>
          </w:p>
        </w:tc>
        <w:tc>
          <w:tcPr>
            <w:tcW w:w="3060" w:type="dxa"/>
            <w:vAlign w:val="bottom"/>
            <w:gridSpan w:val="5"/>
            <w:shd w:val="clear" w:color="auto" w:fill="0094FF"/>
          </w:tcPr>
          <w:p>
            <w:pPr>
              <w:ind w:left="220"/>
              <w:spacing w:after="0"/>
              <w:rPr>
                <w:sz w:val="20"/>
                <w:szCs w:val="20"/>
                <w:color w:val="auto"/>
              </w:rPr>
            </w:pPr>
            <w:r>
              <w:rPr>
                <w:rFonts w:ascii="Arial" w:cs="Arial" w:eastAsia="Arial" w:hAnsi="Arial"/>
                <w:sz w:val="18"/>
                <w:szCs w:val="18"/>
                <w:color w:val="FFFFFF"/>
              </w:rPr>
              <w:t>Three Months Ended June 30,</w:t>
            </w:r>
          </w:p>
        </w:tc>
        <w:tc>
          <w:tcPr>
            <w:tcW w:w="140" w:type="dxa"/>
            <w:vAlign w:val="bottom"/>
            <w:shd w:val="clear" w:color="auto" w:fill="0094FF"/>
          </w:tcPr>
          <w:p>
            <w:pPr>
              <w:spacing w:after="0"/>
              <w:rPr>
                <w:sz w:val="22"/>
                <w:szCs w:val="22"/>
                <w:color w:val="auto"/>
              </w:rPr>
            </w:pPr>
          </w:p>
        </w:tc>
        <w:tc>
          <w:tcPr>
            <w:tcW w:w="2940" w:type="dxa"/>
            <w:vAlign w:val="bottom"/>
            <w:gridSpan w:val="4"/>
            <w:shd w:val="clear" w:color="auto" w:fill="0094FF"/>
          </w:tcPr>
          <w:p>
            <w:pPr>
              <w:jc w:val="right"/>
              <w:ind w:right="330"/>
              <w:spacing w:after="0"/>
              <w:rPr>
                <w:sz w:val="20"/>
                <w:szCs w:val="20"/>
                <w:color w:val="auto"/>
              </w:rPr>
            </w:pPr>
            <w:r>
              <w:rPr>
                <w:rFonts w:ascii="Arial" w:cs="Arial" w:eastAsia="Arial" w:hAnsi="Arial"/>
                <w:sz w:val="18"/>
                <w:szCs w:val="18"/>
                <w:color w:val="FFFFFF"/>
              </w:rPr>
              <w:t>Six Months Ended June 30,</w:t>
            </w:r>
          </w:p>
        </w:tc>
      </w:tr>
      <w:tr>
        <w:trPr>
          <w:trHeight w:val="264"/>
        </w:trPr>
        <w:tc>
          <w:tcPr>
            <w:tcW w:w="5160" w:type="dxa"/>
            <w:vAlign w:val="bottom"/>
            <w:tcBorders>
              <w:bottom w:val="single" w:sz="8" w:color="0094FF"/>
            </w:tcBorders>
            <w:shd w:val="clear" w:color="auto" w:fill="0094FF"/>
          </w:tcPr>
          <w:p>
            <w:pPr>
              <w:spacing w:after="0"/>
              <w:rPr>
                <w:sz w:val="22"/>
                <w:szCs w:val="22"/>
                <w:color w:val="auto"/>
              </w:rPr>
            </w:pPr>
          </w:p>
        </w:tc>
        <w:tc>
          <w:tcPr>
            <w:tcW w:w="120" w:type="dxa"/>
            <w:vAlign w:val="bottom"/>
            <w:tcBorders>
              <w:bottom w:val="single" w:sz="8" w:color="0094FF"/>
            </w:tcBorders>
            <w:shd w:val="clear" w:color="auto" w:fill="0094FF"/>
          </w:tcPr>
          <w:p>
            <w:pPr>
              <w:spacing w:after="0"/>
              <w:rPr>
                <w:sz w:val="22"/>
                <w:szCs w:val="22"/>
                <w:color w:val="auto"/>
              </w:rPr>
            </w:pPr>
          </w:p>
        </w:tc>
        <w:tc>
          <w:tcPr>
            <w:tcW w:w="1360" w:type="dxa"/>
            <w:vAlign w:val="bottom"/>
            <w:tcBorders>
              <w:bottom w:val="single" w:sz="8" w:color="0094FF"/>
            </w:tcBorders>
            <w:shd w:val="clear" w:color="auto" w:fill="0094FF"/>
          </w:tcPr>
          <w:p>
            <w:pPr>
              <w:jc w:val="right"/>
              <w:ind w:right="450"/>
              <w:spacing w:after="0"/>
              <w:rPr>
                <w:sz w:val="20"/>
                <w:szCs w:val="20"/>
                <w:color w:val="auto"/>
              </w:rPr>
            </w:pPr>
            <w:r>
              <w:rPr>
                <w:rFonts w:ascii="Arial" w:cs="Arial" w:eastAsia="Arial" w:hAnsi="Arial"/>
                <w:sz w:val="18"/>
                <w:szCs w:val="18"/>
                <w:color w:val="FFFFFF"/>
              </w:rPr>
              <w:t>2019</w:t>
            </w:r>
          </w:p>
        </w:tc>
        <w:tc>
          <w:tcPr>
            <w:tcW w:w="100" w:type="dxa"/>
            <w:vAlign w:val="bottom"/>
            <w:tcBorders>
              <w:bottom w:val="single" w:sz="8" w:color="0094FF"/>
            </w:tcBorders>
            <w:shd w:val="clear" w:color="auto" w:fill="0094FF"/>
          </w:tcPr>
          <w:p>
            <w:pPr>
              <w:spacing w:after="0"/>
              <w:rPr>
                <w:sz w:val="22"/>
                <w:szCs w:val="22"/>
                <w:color w:val="auto"/>
              </w:rPr>
            </w:pPr>
          </w:p>
        </w:tc>
        <w:tc>
          <w:tcPr>
            <w:tcW w:w="340" w:type="dxa"/>
            <w:vAlign w:val="bottom"/>
            <w:tcBorders>
              <w:bottom w:val="single" w:sz="8" w:color="0094FF"/>
            </w:tcBorders>
            <w:shd w:val="clear" w:color="auto" w:fill="0094FF"/>
          </w:tcPr>
          <w:p>
            <w:pPr>
              <w:spacing w:after="0"/>
              <w:rPr>
                <w:sz w:val="22"/>
                <w:szCs w:val="22"/>
                <w:color w:val="auto"/>
              </w:rPr>
            </w:pPr>
          </w:p>
        </w:tc>
        <w:tc>
          <w:tcPr>
            <w:tcW w:w="1160" w:type="dxa"/>
            <w:vAlign w:val="bottom"/>
            <w:tcBorders>
              <w:bottom w:val="single" w:sz="8" w:color="0094FF"/>
            </w:tcBorders>
            <w:shd w:val="clear" w:color="auto" w:fill="0094FF"/>
          </w:tcPr>
          <w:p>
            <w:pPr>
              <w:jc w:val="right"/>
              <w:ind w:right="450"/>
              <w:spacing w:after="0"/>
              <w:rPr>
                <w:sz w:val="20"/>
                <w:szCs w:val="20"/>
                <w:color w:val="auto"/>
              </w:rPr>
            </w:pPr>
            <w:r>
              <w:rPr>
                <w:rFonts w:ascii="Arial" w:cs="Arial" w:eastAsia="Arial" w:hAnsi="Arial"/>
                <w:sz w:val="18"/>
                <w:szCs w:val="18"/>
                <w:color w:val="FFFFFF"/>
              </w:rPr>
              <w:t>2018</w:t>
            </w:r>
          </w:p>
        </w:tc>
        <w:tc>
          <w:tcPr>
            <w:tcW w:w="100" w:type="dxa"/>
            <w:vAlign w:val="bottom"/>
            <w:tcBorders>
              <w:bottom w:val="single" w:sz="8" w:color="0094FF"/>
            </w:tcBorders>
            <w:shd w:val="clear" w:color="auto" w:fill="0094FF"/>
          </w:tcPr>
          <w:p>
            <w:pPr>
              <w:spacing w:after="0"/>
              <w:rPr>
                <w:sz w:val="22"/>
                <w:szCs w:val="22"/>
                <w:color w:val="auto"/>
              </w:rPr>
            </w:pPr>
          </w:p>
        </w:tc>
        <w:tc>
          <w:tcPr>
            <w:tcW w:w="140" w:type="dxa"/>
            <w:vAlign w:val="bottom"/>
            <w:tcBorders>
              <w:bottom w:val="single" w:sz="8" w:color="0094FF"/>
            </w:tcBorders>
            <w:shd w:val="clear" w:color="auto" w:fill="0094FF"/>
          </w:tcPr>
          <w:p>
            <w:pPr>
              <w:spacing w:after="0"/>
              <w:rPr>
                <w:sz w:val="22"/>
                <w:szCs w:val="22"/>
                <w:color w:val="auto"/>
              </w:rPr>
            </w:pPr>
          </w:p>
        </w:tc>
        <w:tc>
          <w:tcPr>
            <w:tcW w:w="1340" w:type="dxa"/>
            <w:vAlign w:val="bottom"/>
            <w:tcBorders>
              <w:bottom w:val="single" w:sz="8" w:color="0094FF"/>
            </w:tcBorders>
            <w:shd w:val="clear" w:color="auto" w:fill="0094FF"/>
          </w:tcPr>
          <w:p>
            <w:pPr>
              <w:jc w:val="right"/>
              <w:ind w:right="450"/>
              <w:spacing w:after="0"/>
              <w:rPr>
                <w:sz w:val="20"/>
                <w:szCs w:val="20"/>
                <w:color w:val="auto"/>
              </w:rPr>
            </w:pPr>
            <w:r>
              <w:rPr>
                <w:rFonts w:ascii="Arial" w:cs="Arial" w:eastAsia="Arial" w:hAnsi="Arial"/>
                <w:sz w:val="18"/>
                <w:szCs w:val="18"/>
                <w:color w:val="FFFFFF"/>
              </w:rPr>
              <w:t>2019</w:t>
            </w:r>
          </w:p>
        </w:tc>
        <w:tc>
          <w:tcPr>
            <w:tcW w:w="120" w:type="dxa"/>
            <w:vAlign w:val="bottom"/>
            <w:tcBorders>
              <w:bottom w:val="single" w:sz="8" w:color="0094FF"/>
            </w:tcBorders>
            <w:shd w:val="clear" w:color="auto" w:fill="0094FF"/>
          </w:tcPr>
          <w:p>
            <w:pPr>
              <w:spacing w:after="0"/>
              <w:rPr>
                <w:sz w:val="22"/>
                <w:szCs w:val="22"/>
                <w:color w:val="auto"/>
              </w:rPr>
            </w:pPr>
          </w:p>
        </w:tc>
        <w:tc>
          <w:tcPr>
            <w:tcW w:w="320" w:type="dxa"/>
            <w:vAlign w:val="bottom"/>
            <w:tcBorders>
              <w:bottom w:val="single" w:sz="8" w:color="0094FF"/>
            </w:tcBorders>
            <w:shd w:val="clear" w:color="auto" w:fill="0094FF"/>
          </w:tcPr>
          <w:p>
            <w:pPr>
              <w:spacing w:after="0"/>
              <w:rPr>
                <w:sz w:val="22"/>
                <w:szCs w:val="22"/>
                <w:color w:val="auto"/>
              </w:rPr>
            </w:pPr>
          </w:p>
        </w:tc>
        <w:tc>
          <w:tcPr>
            <w:tcW w:w="1160" w:type="dxa"/>
            <w:vAlign w:val="bottom"/>
            <w:tcBorders>
              <w:bottom w:val="single" w:sz="8" w:color="0094FF"/>
            </w:tcBorders>
            <w:shd w:val="clear" w:color="auto" w:fill="0094FF"/>
          </w:tcPr>
          <w:p>
            <w:pPr>
              <w:jc w:val="right"/>
              <w:ind w:right="450"/>
              <w:spacing w:after="0"/>
              <w:rPr>
                <w:sz w:val="20"/>
                <w:szCs w:val="20"/>
                <w:color w:val="auto"/>
              </w:rPr>
            </w:pPr>
            <w:r>
              <w:rPr>
                <w:rFonts w:ascii="Arial" w:cs="Arial" w:eastAsia="Arial" w:hAnsi="Arial"/>
                <w:sz w:val="18"/>
                <w:szCs w:val="18"/>
                <w:color w:val="FFFFFF"/>
              </w:rPr>
              <w:t>2018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E5E5E5"/>
          </w:tcPr>
          <w:p>
            <w:pPr>
              <w:spacing w:after="0"/>
              <w:rPr>
                <w:sz w:val="22"/>
                <w:szCs w:val="22"/>
                <w:color w:val="auto"/>
              </w:rPr>
            </w:pPr>
          </w:p>
        </w:tc>
        <w:tc>
          <w:tcPr>
            <w:tcW w:w="136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183.5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3"/>
                <w:szCs w:val="2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336.5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255.8</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Contract manufacturing</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7"/>
        </w:trPr>
        <w:tc>
          <w:tcPr>
            <w:tcW w:w="5160" w:type="dxa"/>
            <w:vAlign w:val="bottom"/>
          </w:tcPr>
          <w:p>
            <w:pPr>
              <w:ind w:left="180"/>
              <w:spacing w:after="0"/>
              <w:rPr>
                <w:sz w:val="20"/>
                <w:szCs w:val="20"/>
                <w:color w:val="auto"/>
              </w:rPr>
            </w:pPr>
            <w:r>
              <w:rPr>
                <w:rFonts w:ascii="Arial" w:cs="Arial" w:eastAsia="Arial" w:hAnsi="Arial"/>
                <w:sz w:val="18"/>
                <w:szCs w:val="18"/>
                <w:color w:val="auto"/>
              </w:rPr>
              <w:t>Contracts and grants</w:t>
            </w:r>
          </w:p>
        </w:tc>
        <w:tc>
          <w:tcPr>
            <w:tcW w:w="120" w:type="dxa"/>
            <w:vAlign w:val="bottom"/>
            <w:tcBorders>
              <w:bottom w:val="single" w:sz="8" w:color="auto"/>
            </w:tcBorders>
            <w:shd w:val="clear" w:color="auto" w:fill="E5E5E5"/>
          </w:tcPr>
          <w:p>
            <w:pPr>
              <w:spacing w:after="0"/>
              <w:rPr>
                <w:sz w:val="24"/>
                <w:szCs w:val="24"/>
                <w:color w:val="auto"/>
              </w:rPr>
            </w:pPr>
          </w:p>
        </w:tc>
        <w:tc>
          <w:tcPr>
            <w:tcW w:w="136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41.0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4"/>
                <w:szCs w:val="24"/>
                <w:color w:val="auto"/>
              </w:rPr>
            </w:pPr>
          </w:p>
        </w:tc>
        <w:tc>
          <w:tcPr>
            <w:tcW w:w="140" w:type="dxa"/>
            <w:vAlign w:val="bottom"/>
            <w:tcBorders>
              <w:bottom w:val="single" w:sz="8" w:color="auto"/>
            </w:tcBorders>
            <w:shd w:val="clear" w:color="auto" w:fill="E5E5E5"/>
          </w:tcPr>
          <w:p>
            <w:pPr>
              <w:spacing w:after="0"/>
              <w:rPr>
                <w:sz w:val="24"/>
                <w:szCs w:val="24"/>
                <w:color w:val="auto"/>
              </w:rPr>
            </w:pPr>
          </w:p>
        </w:tc>
        <w:tc>
          <w:tcPr>
            <w:tcW w:w="13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62.8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E5E5E5"/>
          </w:tcPr>
          <w:p>
            <w:pPr>
              <w:spacing w:after="0"/>
              <w:rPr>
                <w:sz w:val="21"/>
                <w:szCs w:val="21"/>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433.9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338.0</w:t>
            </w:r>
          </w:p>
        </w:tc>
      </w:tr>
      <w:tr>
        <w:trPr>
          <w:trHeight w:val="56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 and contract manufacturing</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192.7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139.4</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63.9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70.8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136.4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7"/>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acquisition-related intangible assets</w:t>
            </w:r>
          </w:p>
        </w:tc>
        <w:tc>
          <w:tcPr>
            <w:tcW w:w="120" w:type="dxa"/>
            <w:vAlign w:val="bottom"/>
            <w:tcBorders>
              <w:bottom w:val="single" w:sz="8" w:color="auto"/>
            </w:tcBorders>
            <w:shd w:val="clear" w:color="auto" w:fill="E5E5E5"/>
          </w:tcPr>
          <w:p>
            <w:pPr>
              <w:spacing w:after="0"/>
              <w:rPr>
                <w:sz w:val="24"/>
                <w:szCs w:val="24"/>
                <w:color w:val="auto"/>
              </w:rPr>
            </w:pPr>
          </w:p>
        </w:tc>
        <w:tc>
          <w:tcPr>
            <w:tcW w:w="136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14.7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40" w:type="dxa"/>
            <w:vAlign w:val="bottom"/>
            <w:tcBorders>
              <w:bottom w:val="single" w:sz="8" w:color="auto"/>
            </w:tcBorders>
            <w:shd w:val="clear" w:color="auto" w:fill="E5E5E5"/>
          </w:tcPr>
          <w:p>
            <w:pPr>
              <w:spacing w:after="0"/>
              <w:rPr>
                <w:sz w:val="24"/>
                <w:szCs w:val="24"/>
                <w:color w:val="auto"/>
              </w:rPr>
            </w:pPr>
          </w:p>
        </w:tc>
        <w:tc>
          <w:tcPr>
            <w:tcW w:w="13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29.2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E5E5E5"/>
          </w:tcPr>
          <w:p>
            <w:pPr>
              <w:spacing w:after="0"/>
              <w:rPr>
                <w:sz w:val="21"/>
                <w:szCs w:val="21"/>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280.7</w:t>
            </w:r>
          </w:p>
        </w:tc>
      </w:tr>
      <w:tr>
        <w:trPr>
          <w:trHeight w:val="567"/>
        </w:trPr>
        <w:tc>
          <w:tcPr>
            <w:tcW w:w="51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57.3</w:t>
            </w:r>
          </w:p>
        </w:tc>
      </w:tr>
      <w:tr>
        <w:trPr>
          <w:trHeight w:val="567"/>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(19.0)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5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1B51BF"/>
              </w:rPr>
              <w:t>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1B51BF"/>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B51BF"/>
              </w:rPr>
              <w:t>(8.1)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B51BF"/>
              </w:rPr>
              <w:t>(18.6)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574"/>
        </w:trPr>
        <w:tc>
          <w:tcPr>
            <w:tcW w:w="51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56.4</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(5.6)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(17.4)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97"/>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1B51BF"/>
              </w:rPr>
              <w:t>(9.5)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1B51BF"/>
              </w:rPr>
              <w:t>(35.6)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534"/>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 per common share</w:t>
            </w:r>
          </w:p>
        </w:tc>
        <w:tc>
          <w:tcPr>
            <w:tcW w:w="120" w:type="dxa"/>
            <w:vAlign w:val="bottom"/>
            <w:tcBorders>
              <w:top w:val="single" w:sz="8" w:color="auto"/>
            </w:tcBorders>
            <w:shd w:val="clear" w:color="auto" w:fill="E5E5E5"/>
          </w:tcPr>
          <w:p>
            <w:pPr>
              <w:spacing w:after="0"/>
              <w:rPr>
                <w:sz w:val="24"/>
                <w:szCs w:val="24"/>
                <w:color w:val="auto"/>
              </w:rPr>
            </w:pPr>
          </w:p>
        </w:tc>
        <w:tc>
          <w:tcPr>
            <w:tcW w:w="1360" w:type="dxa"/>
            <w:vAlign w:val="bottom"/>
            <w:tcBorders>
              <w:top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shd w:val="clear" w:color="auto" w:fill="E5E5E5"/>
          </w:tcPr>
          <w:p>
            <w:pPr>
              <w:spacing w:after="0"/>
              <w:rPr>
                <w:sz w:val="24"/>
                <w:szCs w:val="24"/>
                <w:color w:val="auto"/>
              </w:rPr>
            </w:pPr>
          </w:p>
        </w:tc>
        <w:tc>
          <w:tcPr>
            <w:tcW w:w="1340" w:type="dxa"/>
            <w:vAlign w:val="bottom"/>
            <w:tcBorders>
              <w:top w:val="single" w:sz="8" w:color="auto"/>
            </w:tcBorders>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(0.18)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0.91</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(0.18)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3"/>
                <w:szCs w:val="2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0.89</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(loss) income per share</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84"/>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-2460625</wp:posOffset>
            </wp:positionV>
            <wp:extent cx="94361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51435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-2460625</wp:posOffset>
            </wp:positionV>
            <wp:extent cx="94361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3610" cy="51435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-1757680</wp:posOffset>
            </wp:positionV>
            <wp:extent cx="2967355" cy="523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523240"/>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6</w:t>
      </w:r>
    </w:p>
    <w:p>
      <w:pPr>
        <w:sectPr>
          <w:pgSz w:w="11900" w:h="16838" w:orient="portrait"/>
          <w:cols w:equalWidth="0" w:num="1">
            <w:col w:w="11420"/>
          </w:cols>
          <w:pgMar w:left="240" w:top="35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(Loss) Income</w:t>
      </w:r>
    </w:p>
    <w:p>
      <w:pPr>
        <w:jc w:val="center"/>
        <w:spacing w:after="0"/>
        <w:rPr>
          <w:sz w:val="20"/>
          <w:szCs w:val="20"/>
          <w:color w:val="auto"/>
        </w:rPr>
      </w:pPr>
      <w:r>
        <w:rPr>
          <w:rFonts w:ascii="Arial" w:cs="Arial" w:eastAsia="Arial" w:hAnsi="Arial"/>
          <w:sz w:val="20"/>
          <w:szCs w:val="20"/>
          <w:b w:val="1"/>
          <w:bCs w:val="1"/>
          <w:color w:val="auto"/>
        </w:rPr>
        <w:t>(unaudited,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60" w:type="dxa"/>
            <w:vAlign w:val="bottom"/>
            <w:shd w:val="clear" w:color="auto" w:fill="0094FF"/>
          </w:tcPr>
          <w:p>
            <w:pPr>
              <w:spacing w:after="0"/>
              <w:rPr>
                <w:sz w:val="22"/>
                <w:szCs w:val="22"/>
                <w:color w:val="auto"/>
              </w:rPr>
            </w:pPr>
          </w:p>
        </w:tc>
        <w:tc>
          <w:tcPr>
            <w:tcW w:w="3440" w:type="dxa"/>
            <w:vAlign w:val="bottom"/>
            <w:gridSpan w:val="6"/>
            <w:shd w:val="clear" w:color="auto" w:fill="0094FF"/>
          </w:tcPr>
          <w:p>
            <w:pPr>
              <w:ind w:left="480"/>
              <w:spacing w:after="0"/>
              <w:rPr>
                <w:sz w:val="20"/>
                <w:szCs w:val="20"/>
                <w:color w:val="auto"/>
              </w:rPr>
            </w:pPr>
            <w:r>
              <w:rPr>
                <w:rFonts w:ascii="Arial" w:cs="Arial" w:eastAsia="Arial" w:hAnsi="Arial"/>
                <w:sz w:val="18"/>
                <w:szCs w:val="18"/>
                <w:color w:val="FFFFFF"/>
              </w:rPr>
              <w:t>Three Months Ended June 30,</w:t>
            </w:r>
          </w:p>
        </w:tc>
        <w:tc>
          <w:tcPr>
            <w:tcW w:w="340" w:type="dxa"/>
            <w:vAlign w:val="bottom"/>
            <w:shd w:val="clear" w:color="auto" w:fill="0094FF"/>
          </w:tcPr>
          <w:p>
            <w:pPr>
              <w:spacing w:after="0"/>
              <w:rPr>
                <w:sz w:val="22"/>
                <w:szCs w:val="22"/>
                <w:color w:val="auto"/>
              </w:rPr>
            </w:pPr>
          </w:p>
        </w:tc>
        <w:tc>
          <w:tcPr>
            <w:tcW w:w="2980" w:type="dxa"/>
            <w:vAlign w:val="bottom"/>
            <w:gridSpan w:val="4"/>
            <w:shd w:val="clear" w:color="auto" w:fill="0094FF"/>
          </w:tcPr>
          <w:p>
            <w:pPr>
              <w:jc w:val="right"/>
              <w:ind w:right="450"/>
              <w:spacing w:after="0"/>
              <w:rPr>
                <w:sz w:val="20"/>
                <w:szCs w:val="20"/>
                <w:color w:val="auto"/>
              </w:rPr>
            </w:pPr>
            <w:r>
              <w:rPr>
                <w:rFonts w:ascii="Arial" w:cs="Arial" w:eastAsia="Arial" w:hAnsi="Arial"/>
                <w:sz w:val="18"/>
                <w:szCs w:val="18"/>
                <w:color w:val="FFFFFF"/>
              </w:rPr>
              <w:t>Six Months Ended June 30,</w:t>
            </w:r>
          </w:p>
        </w:tc>
      </w:tr>
      <w:tr>
        <w:trPr>
          <w:trHeight w:val="264"/>
        </w:trPr>
        <w:tc>
          <w:tcPr>
            <w:tcW w:w="4660" w:type="dxa"/>
            <w:vAlign w:val="bottom"/>
            <w:tcBorders>
              <w:bottom w:val="single" w:sz="8" w:color="0094FF"/>
            </w:tcBorders>
            <w:shd w:val="clear" w:color="auto" w:fill="0094FF"/>
          </w:tcPr>
          <w:p>
            <w:pPr>
              <w:spacing w:after="0"/>
              <w:rPr>
                <w:sz w:val="22"/>
                <w:szCs w:val="22"/>
                <w:color w:val="auto"/>
              </w:rPr>
            </w:pPr>
          </w:p>
        </w:tc>
        <w:tc>
          <w:tcPr>
            <w:tcW w:w="1060" w:type="dxa"/>
            <w:vAlign w:val="bottom"/>
            <w:tcBorders>
              <w:bottom w:val="single" w:sz="8" w:color="0094FF"/>
            </w:tcBorders>
            <w:shd w:val="clear" w:color="auto" w:fill="0094FF"/>
          </w:tcPr>
          <w:p>
            <w:pPr>
              <w:jc w:val="right"/>
              <w:spacing w:after="0"/>
              <w:rPr>
                <w:sz w:val="20"/>
                <w:szCs w:val="20"/>
                <w:color w:val="auto"/>
              </w:rPr>
            </w:pPr>
            <w:r>
              <w:rPr>
                <w:rFonts w:ascii="Arial" w:cs="Arial" w:eastAsia="Arial" w:hAnsi="Arial"/>
                <w:sz w:val="18"/>
                <w:szCs w:val="18"/>
                <w:color w:val="FFFFFF"/>
              </w:rPr>
              <w:t>2019</w:t>
            </w:r>
          </w:p>
        </w:tc>
        <w:tc>
          <w:tcPr>
            <w:tcW w:w="560" w:type="dxa"/>
            <w:vAlign w:val="bottom"/>
            <w:tcBorders>
              <w:bottom w:val="single" w:sz="8" w:color="0094FF"/>
            </w:tcBorders>
            <w:shd w:val="clear" w:color="auto" w:fill="0094FF"/>
          </w:tcPr>
          <w:p>
            <w:pPr>
              <w:spacing w:after="0"/>
              <w:rPr>
                <w:sz w:val="22"/>
                <w:szCs w:val="22"/>
                <w:color w:val="auto"/>
              </w:rPr>
            </w:pPr>
          </w:p>
        </w:tc>
        <w:tc>
          <w:tcPr>
            <w:tcW w:w="100" w:type="dxa"/>
            <w:vAlign w:val="bottom"/>
            <w:tcBorders>
              <w:bottom w:val="single" w:sz="8" w:color="0094FF"/>
            </w:tcBorders>
            <w:shd w:val="clear" w:color="auto" w:fill="0094FF"/>
          </w:tcPr>
          <w:p>
            <w:pPr>
              <w:spacing w:after="0"/>
              <w:rPr>
                <w:sz w:val="22"/>
                <w:szCs w:val="22"/>
                <w:color w:val="auto"/>
              </w:rPr>
            </w:pPr>
          </w:p>
        </w:tc>
        <w:tc>
          <w:tcPr>
            <w:tcW w:w="360" w:type="dxa"/>
            <w:vAlign w:val="bottom"/>
            <w:tcBorders>
              <w:bottom w:val="single" w:sz="8" w:color="0094FF"/>
            </w:tcBorders>
            <w:shd w:val="clear" w:color="auto" w:fill="0094FF"/>
          </w:tcPr>
          <w:p>
            <w:pPr>
              <w:spacing w:after="0"/>
              <w:rPr>
                <w:sz w:val="22"/>
                <w:szCs w:val="22"/>
                <w:color w:val="auto"/>
              </w:rPr>
            </w:pPr>
          </w:p>
        </w:tc>
        <w:tc>
          <w:tcPr>
            <w:tcW w:w="1240" w:type="dxa"/>
            <w:vAlign w:val="bottom"/>
            <w:tcBorders>
              <w:bottom w:val="single" w:sz="8" w:color="0094FF"/>
            </w:tcBorders>
            <w:shd w:val="clear" w:color="auto" w:fill="0094FF"/>
          </w:tcPr>
          <w:p>
            <w:pPr>
              <w:jc w:val="right"/>
              <w:ind w:right="510"/>
              <w:spacing w:after="0"/>
              <w:rPr>
                <w:sz w:val="20"/>
                <w:szCs w:val="20"/>
                <w:color w:val="auto"/>
              </w:rPr>
            </w:pPr>
            <w:r>
              <w:rPr>
                <w:rFonts w:ascii="Arial" w:cs="Arial" w:eastAsia="Arial" w:hAnsi="Arial"/>
                <w:sz w:val="18"/>
                <w:szCs w:val="18"/>
                <w:color w:val="FFFFFF"/>
              </w:rPr>
              <w:t>2018</w:t>
            </w:r>
          </w:p>
        </w:tc>
        <w:tc>
          <w:tcPr>
            <w:tcW w:w="120" w:type="dxa"/>
            <w:vAlign w:val="bottom"/>
            <w:tcBorders>
              <w:bottom w:val="single" w:sz="8" w:color="0094FF"/>
            </w:tcBorders>
            <w:shd w:val="clear" w:color="auto" w:fill="0094FF"/>
          </w:tcPr>
          <w:p>
            <w:pPr>
              <w:spacing w:after="0"/>
              <w:rPr>
                <w:sz w:val="22"/>
                <w:szCs w:val="22"/>
                <w:color w:val="auto"/>
              </w:rPr>
            </w:pPr>
          </w:p>
        </w:tc>
        <w:tc>
          <w:tcPr>
            <w:tcW w:w="340" w:type="dxa"/>
            <w:vAlign w:val="bottom"/>
            <w:tcBorders>
              <w:bottom w:val="single" w:sz="8" w:color="0094FF"/>
            </w:tcBorders>
            <w:shd w:val="clear" w:color="auto" w:fill="0094FF"/>
          </w:tcPr>
          <w:p>
            <w:pPr>
              <w:spacing w:after="0"/>
              <w:rPr>
                <w:sz w:val="22"/>
                <w:szCs w:val="22"/>
                <w:color w:val="auto"/>
              </w:rPr>
            </w:pPr>
          </w:p>
        </w:tc>
        <w:tc>
          <w:tcPr>
            <w:tcW w:w="1260" w:type="dxa"/>
            <w:vAlign w:val="bottom"/>
            <w:tcBorders>
              <w:bottom w:val="single" w:sz="8" w:color="0094FF"/>
            </w:tcBorders>
            <w:shd w:val="clear" w:color="auto" w:fill="0094FF"/>
          </w:tcPr>
          <w:p>
            <w:pPr>
              <w:jc w:val="right"/>
              <w:ind w:right="510"/>
              <w:spacing w:after="0"/>
              <w:rPr>
                <w:sz w:val="20"/>
                <w:szCs w:val="20"/>
                <w:color w:val="auto"/>
              </w:rPr>
            </w:pPr>
            <w:r>
              <w:rPr>
                <w:rFonts w:ascii="Arial" w:cs="Arial" w:eastAsia="Arial" w:hAnsi="Arial"/>
                <w:sz w:val="18"/>
                <w:szCs w:val="18"/>
                <w:color w:val="FFFFFF"/>
              </w:rPr>
              <w:t>2019</w:t>
            </w:r>
          </w:p>
        </w:tc>
        <w:tc>
          <w:tcPr>
            <w:tcW w:w="120" w:type="dxa"/>
            <w:vAlign w:val="bottom"/>
            <w:tcBorders>
              <w:bottom w:val="single" w:sz="8" w:color="0094FF"/>
            </w:tcBorders>
            <w:shd w:val="clear" w:color="auto" w:fill="0094FF"/>
          </w:tcPr>
          <w:p>
            <w:pPr>
              <w:spacing w:after="0"/>
              <w:rPr>
                <w:sz w:val="22"/>
                <w:szCs w:val="22"/>
                <w:color w:val="auto"/>
              </w:rPr>
            </w:pPr>
          </w:p>
        </w:tc>
        <w:tc>
          <w:tcPr>
            <w:tcW w:w="360" w:type="dxa"/>
            <w:vAlign w:val="bottom"/>
            <w:tcBorders>
              <w:bottom w:val="single" w:sz="8" w:color="0094FF"/>
            </w:tcBorders>
            <w:shd w:val="clear" w:color="auto" w:fill="0094FF"/>
          </w:tcPr>
          <w:p>
            <w:pPr>
              <w:spacing w:after="0"/>
              <w:rPr>
                <w:sz w:val="22"/>
                <w:szCs w:val="22"/>
                <w:color w:val="auto"/>
              </w:rPr>
            </w:pPr>
          </w:p>
        </w:tc>
        <w:tc>
          <w:tcPr>
            <w:tcW w:w="1240" w:type="dxa"/>
            <w:vAlign w:val="bottom"/>
            <w:tcBorders>
              <w:bottom w:val="single" w:sz="8" w:color="0094FF"/>
            </w:tcBorders>
            <w:shd w:val="clear" w:color="auto" w:fill="0094FF"/>
          </w:tcPr>
          <w:p>
            <w:pPr>
              <w:jc w:val="right"/>
              <w:ind w:right="510"/>
              <w:spacing w:after="0"/>
              <w:rPr>
                <w:sz w:val="20"/>
                <w:szCs w:val="20"/>
                <w:color w:val="auto"/>
              </w:rPr>
            </w:pPr>
            <w:r>
              <w:rPr>
                <w:rFonts w:ascii="Arial" w:cs="Arial" w:eastAsia="Arial" w:hAnsi="Arial"/>
                <w:sz w:val="18"/>
                <w:szCs w:val="18"/>
                <w:color w:val="FFFFFF"/>
              </w:rPr>
              <w:t>2018</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060" w:type="dxa"/>
            <w:vAlign w:val="bottom"/>
            <w:shd w:val="clear" w:color="auto" w:fill="E5E5E5"/>
          </w:tcPr>
          <w:p>
            <w:pPr>
              <w:jc w:val="right"/>
              <w:ind w:right="830"/>
              <w:spacing w:after="0"/>
              <w:rPr>
                <w:sz w:val="20"/>
                <w:szCs w:val="20"/>
                <w:color w:val="auto"/>
              </w:rPr>
            </w:pPr>
            <w:r>
              <w:rPr>
                <w:rFonts w:ascii="Arial" w:cs="Arial" w:eastAsia="Arial" w:hAnsi="Arial"/>
                <w:sz w:val="18"/>
                <w:szCs w:val="18"/>
                <w:color w:val="1B51BF"/>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3"/>
                <w:szCs w:val="23"/>
                <w:color w:val="auto"/>
              </w:rPr>
            </w:pP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w w:val="99"/>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26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4"/>
        </w:trPr>
        <w:tc>
          <w:tcPr>
            <w:tcW w:w="4660" w:type="dxa"/>
            <w:vAlign w:val="bottom"/>
          </w:tcPr>
          <w:p>
            <w:pPr>
              <w:ind w:left="180"/>
              <w:spacing w:after="0"/>
              <w:rPr>
                <w:sz w:val="20"/>
                <w:szCs w:val="20"/>
                <w:color w:val="auto"/>
              </w:rPr>
            </w:pPr>
            <w:r>
              <w:rPr>
                <w:rFonts w:ascii="Arial" w:cs="Arial" w:eastAsia="Arial" w:hAnsi="Arial"/>
                <w:sz w:val="18"/>
                <w:szCs w:val="18"/>
                <w:color w:val="auto"/>
              </w:rPr>
              <w:t>Foreign currency translations, net of tax</w:t>
            </w:r>
          </w:p>
        </w:tc>
        <w:tc>
          <w:tcPr>
            <w:tcW w:w="106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1B51BF"/>
              </w:rPr>
              <w:t>0.7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2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64"/>
        </w:trPr>
        <w:tc>
          <w:tcPr>
            <w:tcW w:w="4660" w:type="dxa"/>
            <w:vAlign w:val="bottom"/>
          </w:tcPr>
          <w:p>
            <w:pPr>
              <w:ind w:left="180"/>
              <w:spacing w:after="0"/>
              <w:rPr>
                <w:sz w:val="20"/>
                <w:szCs w:val="20"/>
                <w:color w:val="auto"/>
              </w:rPr>
            </w:pPr>
            <w:r>
              <w:rPr>
                <w:rFonts w:ascii="Arial" w:cs="Arial" w:eastAsia="Arial" w:hAnsi="Arial"/>
                <w:sz w:val="18"/>
                <w:szCs w:val="18"/>
                <w:color w:val="auto"/>
              </w:rPr>
              <w:t>Derivatives</w:t>
            </w:r>
          </w:p>
        </w:tc>
        <w:tc>
          <w:tcPr>
            <w:tcW w:w="10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B51BF"/>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B51BF"/>
              </w:rPr>
              <w:t>(1.2)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Total other comprehensive (loss) income, net of tax</w:t>
            </w:r>
          </w:p>
        </w:tc>
        <w:tc>
          <w:tcPr>
            <w:tcW w:w="10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B51BF"/>
              </w:rPr>
              <w:t>(0.5)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1B51BF"/>
              </w:rPr>
              <w:t>0.5</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060" w:type="dxa"/>
            <w:vAlign w:val="bottom"/>
          </w:tcPr>
          <w:p>
            <w:pPr>
              <w:jc w:val="right"/>
              <w:ind w:right="830"/>
              <w:spacing w:after="0"/>
              <w:rPr>
                <w:sz w:val="20"/>
                <w:szCs w:val="20"/>
                <w:color w:val="auto"/>
              </w:rPr>
            </w:pPr>
            <w:r>
              <w:rPr>
                <w:rFonts w:ascii="Arial" w:cs="Arial" w:eastAsia="Arial" w:hAnsi="Arial"/>
                <w:sz w:val="18"/>
                <w:szCs w:val="18"/>
                <w:color w:val="1B51BF"/>
              </w:rPr>
              <w:t>$</w:t>
            </w:r>
          </w:p>
        </w:tc>
        <w:tc>
          <w:tcPr>
            <w:tcW w:w="560" w:type="dxa"/>
            <w:vAlign w:val="bottom"/>
          </w:tcPr>
          <w:p>
            <w:pPr>
              <w:jc w:val="right"/>
              <w:spacing w:after="0"/>
              <w:rPr>
                <w:sz w:val="20"/>
                <w:szCs w:val="20"/>
                <w:color w:val="auto"/>
              </w:rPr>
            </w:pPr>
            <w:r>
              <w:rPr>
                <w:rFonts w:ascii="Arial" w:cs="Arial" w:eastAsia="Arial" w:hAnsi="Arial"/>
                <w:sz w:val="18"/>
                <w:szCs w:val="18"/>
                <w:color w:val="1B51BF"/>
              </w:rPr>
              <w:t>(10.0)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1B51BF"/>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1B51BF"/>
              </w:rPr>
              <w:t>(35.1)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0"/>
        </w:trPr>
        <w:tc>
          <w:tcPr>
            <w:tcW w:w="4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-1054100</wp:posOffset>
            </wp:positionV>
            <wp:extent cx="3198495" cy="103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8495" cy="1037590"/>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See accompanying notes.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7</w:t>
      </w:r>
    </w:p>
    <w:p>
      <w:pPr>
        <w:sectPr>
          <w:pgSz w:w="11900" w:h="16838" w:orient="portrait"/>
          <w:cols w:equalWidth="0" w:num="1">
            <w:col w:w="11420"/>
          </w:cols>
          <w:pgMar w:left="240" w:top="355"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20"/>
          <w:szCs w:val="20"/>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24662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144" w:lineRule="exact"/>
        <w:rPr>
          <w:sz w:val="20"/>
          <w:szCs w:val="20"/>
          <w:color w:val="auto"/>
        </w:rPr>
      </w:pPr>
    </w:p>
    <w:p>
      <w:pPr>
        <w:ind w:left="8520"/>
        <w:spacing w:after="0"/>
        <w:rPr>
          <w:sz w:val="20"/>
          <w:szCs w:val="20"/>
          <w:color w:val="auto"/>
        </w:rPr>
      </w:pPr>
      <w:r>
        <w:rPr>
          <w:rFonts w:ascii="Arial" w:cs="Arial" w:eastAsia="Arial" w:hAnsi="Arial"/>
          <w:sz w:val="18"/>
          <w:szCs w:val="18"/>
          <w:color w:val="FFFFFF"/>
        </w:rPr>
        <w:t>Six Months Ended June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840" w:type="dxa"/>
            <w:vAlign w:val="bottom"/>
          </w:tcPr>
          <w:p>
            <w:pPr>
              <w:spacing w:after="0"/>
              <w:rPr>
                <w:sz w:val="21"/>
                <w:szCs w:val="21"/>
                <w:color w:val="auto"/>
              </w:rPr>
            </w:pPr>
          </w:p>
        </w:tc>
        <w:tc>
          <w:tcPr>
            <w:tcW w:w="1100" w:type="dxa"/>
            <w:vAlign w:val="bottom"/>
            <w:tcBorders>
              <w:bottom w:val="single" w:sz="8" w:color="0094FF"/>
            </w:tcBorders>
            <w:shd w:val="clear" w:color="auto" w:fill="0094FF"/>
          </w:tcPr>
          <w:p>
            <w:pPr>
              <w:jc w:val="right"/>
              <w:spacing w:after="0"/>
              <w:rPr>
                <w:sz w:val="20"/>
                <w:szCs w:val="20"/>
                <w:color w:val="auto"/>
              </w:rPr>
            </w:pPr>
            <w:r>
              <w:rPr>
                <w:rFonts w:ascii="Arial" w:cs="Arial" w:eastAsia="Arial" w:hAnsi="Arial"/>
                <w:sz w:val="18"/>
                <w:szCs w:val="18"/>
                <w:color w:val="FFFFFF"/>
              </w:rPr>
              <w:t>2019</w:t>
            </w:r>
          </w:p>
        </w:tc>
        <w:tc>
          <w:tcPr>
            <w:tcW w:w="620" w:type="dxa"/>
            <w:vAlign w:val="bottom"/>
            <w:tcBorders>
              <w:bottom w:val="single" w:sz="8" w:color="0094FF"/>
            </w:tcBorders>
            <w:shd w:val="clear" w:color="auto" w:fill="0094FF"/>
          </w:tcPr>
          <w:p>
            <w:pPr>
              <w:spacing w:after="0"/>
              <w:rPr>
                <w:sz w:val="21"/>
                <w:szCs w:val="21"/>
                <w:color w:val="auto"/>
              </w:rPr>
            </w:pPr>
          </w:p>
        </w:tc>
        <w:tc>
          <w:tcPr>
            <w:tcW w:w="100" w:type="dxa"/>
            <w:vAlign w:val="bottom"/>
            <w:tcBorders>
              <w:bottom w:val="single" w:sz="8" w:color="0094FF"/>
            </w:tcBorders>
            <w:shd w:val="clear" w:color="auto" w:fill="0094FF"/>
          </w:tcPr>
          <w:p>
            <w:pPr>
              <w:spacing w:after="0"/>
              <w:rPr>
                <w:sz w:val="21"/>
                <w:szCs w:val="21"/>
                <w:color w:val="auto"/>
              </w:rPr>
            </w:pPr>
          </w:p>
        </w:tc>
        <w:tc>
          <w:tcPr>
            <w:tcW w:w="400" w:type="dxa"/>
            <w:vAlign w:val="bottom"/>
            <w:tcBorders>
              <w:bottom w:val="single" w:sz="8" w:color="0094FF"/>
            </w:tcBorders>
            <w:shd w:val="clear" w:color="auto" w:fill="0094FF"/>
          </w:tcPr>
          <w:p>
            <w:pPr>
              <w:spacing w:after="0"/>
              <w:rPr>
                <w:sz w:val="21"/>
                <w:szCs w:val="21"/>
                <w:color w:val="auto"/>
              </w:rPr>
            </w:pPr>
          </w:p>
        </w:tc>
        <w:tc>
          <w:tcPr>
            <w:tcW w:w="1320" w:type="dxa"/>
            <w:vAlign w:val="bottom"/>
            <w:tcBorders>
              <w:bottom w:val="single" w:sz="8" w:color="0094FF"/>
            </w:tcBorders>
            <w:shd w:val="clear" w:color="auto" w:fill="0094FF"/>
          </w:tcPr>
          <w:p>
            <w:pPr>
              <w:jc w:val="right"/>
              <w:ind w:right="570"/>
              <w:spacing w:after="0"/>
              <w:rPr>
                <w:sz w:val="20"/>
                <w:szCs w:val="20"/>
                <w:color w:val="auto"/>
              </w:rPr>
            </w:pPr>
            <w:r>
              <w:rPr>
                <w:rFonts w:ascii="Arial" w:cs="Arial" w:eastAsia="Arial" w:hAnsi="Arial"/>
                <w:sz w:val="18"/>
                <w:szCs w:val="18"/>
                <w:color w:val="FFFFFF"/>
              </w:rPr>
              <w:t>2018</w:t>
            </w:r>
          </w:p>
        </w:tc>
      </w:tr>
      <w:tr>
        <w:trPr>
          <w:trHeight w:val="257"/>
        </w:trPr>
        <w:tc>
          <w:tcPr>
            <w:tcW w:w="7840" w:type="dxa"/>
            <w:vAlign w:val="bottom"/>
          </w:tcPr>
          <w:p>
            <w:pPr>
              <w:spacing w:after="0"/>
              <w:rPr>
                <w:sz w:val="20"/>
                <w:szCs w:val="20"/>
                <w:color w:val="auto"/>
              </w:rPr>
            </w:pPr>
            <w:r>
              <w:rPr>
                <w:rFonts w:ascii="Arial" w:cs="Arial" w:eastAsia="Arial" w:hAnsi="Arial"/>
                <w:sz w:val="18"/>
                <w:szCs w:val="18"/>
                <w:color w:val="auto"/>
              </w:rPr>
              <w:t>Cash flows provided by (used in) operating activities:</w:t>
            </w:r>
          </w:p>
        </w:tc>
        <w:tc>
          <w:tcPr>
            <w:tcW w:w="1100" w:type="dxa"/>
            <w:vAlign w:val="bottom"/>
            <w:shd w:val="clear" w:color="auto" w:fill="E5E5E5"/>
          </w:tcPr>
          <w:p>
            <w:pPr>
              <w:spacing w:after="0"/>
              <w:rPr>
                <w:sz w:val="22"/>
                <w:szCs w:val="22"/>
                <w:color w:val="auto"/>
              </w:rPr>
            </w:pPr>
          </w:p>
        </w:tc>
        <w:tc>
          <w:tcPr>
            <w:tcW w:w="62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84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100" w:type="dxa"/>
            <w:vAlign w:val="bottom"/>
            <w:shd w:val="clear" w:color="auto" w:fill="E5E5E5"/>
          </w:tcPr>
          <w:p>
            <w:pPr>
              <w:jc w:val="right"/>
              <w:ind w:right="890"/>
              <w:spacing w:after="0"/>
              <w:rPr>
                <w:sz w:val="20"/>
                <w:szCs w:val="20"/>
                <w:color w:val="auto"/>
              </w:rPr>
            </w:pPr>
            <w:r>
              <w:rPr>
                <w:rFonts w:ascii="Arial" w:cs="Arial" w:eastAsia="Arial" w:hAnsi="Arial"/>
                <w:sz w:val="18"/>
                <w:szCs w:val="18"/>
                <w:color w:val="1B51BF"/>
                <w:w w:val="99"/>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0"/>
        </w:trPr>
        <w:tc>
          <w:tcPr>
            <w:tcW w:w="7840" w:type="dxa"/>
            <w:vAlign w:val="bottom"/>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100" w:type="dxa"/>
            <w:vAlign w:val="bottom"/>
            <w:shd w:val="clear" w:color="auto" w:fill="E5E5E5"/>
          </w:tcPr>
          <w:p>
            <w:pPr>
              <w:spacing w:after="0"/>
              <w:rPr>
                <w:sz w:val="23"/>
                <w:szCs w:val="23"/>
                <w:color w:val="auto"/>
              </w:rPr>
            </w:pPr>
          </w:p>
        </w:tc>
        <w:tc>
          <w:tcPr>
            <w:tcW w:w="6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84"/>
        </w:trPr>
        <w:tc>
          <w:tcPr>
            <w:tcW w:w="7840" w:type="dxa"/>
            <w:vAlign w:val="bottom"/>
          </w:tcPr>
          <w:p>
            <w:pPr>
              <w:ind w:left="46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E5E5E5"/>
          </w:tcPr>
          <w:p>
            <w:pPr>
              <w:spacing w:after="0"/>
              <w:rPr>
                <w:sz w:val="24"/>
                <w:szCs w:val="24"/>
                <w:color w:val="auto"/>
              </w:rPr>
            </w:pPr>
          </w:p>
        </w:tc>
        <w:tc>
          <w:tcPr>
            <w:tcW w:w="6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14.9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57"/>
        </w:trPr>
        <w:tc>
          <w:tcPr>
            <w:tcW w:w="78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55.1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Change in fair value of contingent consideration, net</w:t>
            </w: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5.5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2.9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78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E5E5E5"/>
          </w:tcPr>
          <w:p>
            <w:pPr>
              <w:spacing w:after="0"/>
              <w:rPr>
                <w:sz w:val="23"/>
                <w:szCs w:val="23"/>
                <w:color w:val="auto"/>
              </w:rPr>
            </w:pPr>
          </w:p>
        </w:tc>
        <w:tc>
          <w:tcPr>
            <w:tcW w:w="6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84"/>
        </w:trPr>
        <w:tc>
          <w:tcPr>
            <w:tcW w:w="784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E5E5E5"/>
          </w:tcPr>
          <w:p>
            <w:pPr>
              <w:spacing w:after="0"/>
              <w:rPr>
                <w:sz w:val="24"/>
                <w:szCs w:val="24"/>
                <w:color w:val="auto"/>
              </w:rPr>
            </w:pPr>
          </w:p>
        </w:tc>
        <w:tc>
          <w:tcPr>
            <w:tcW w:w="6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44.6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57"/>
        </w:trPr>
        <w:tc>
          <w:tcPr>
            <w:tcW w:w="78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(26.1)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(44.9)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42.6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Accrued expenses</w:t>
            </w: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6.9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7840" w:type="dxa"/>
            <w:vAlign w:val="bottom"/>
          </w:tcPr>
          <w:p>
            <w:pPr>
              <w:ind w:left="460"/>
              <w:spacing w:after="0"/>
              <w:rPr>
                <w:sz w:val="20"/>
                <w:szCs w:val="20"/>
                <w:color w:val="auto"/>
              </w:rPr>
            </w:pPr>
            <w:r>
              <w:rPr>
                <w:rFonts w:ascii="Arial" w:cs="Arial" w:eastAsia="Arial" w:hAnsi="Arial"/>
                <w:sz w:val="18"/>
                <w:szCs w:val="18"/>
                <w:color w:val="auto"/>
              </w:rPr>
              <w:t>Accrued compensation</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(13.5)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7"/>
        </w:trPr>
        <w:tc>
          <w:tcPr>
            <w:tcW w:w="784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16.4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840" w:type="dxa"/>
            <w:vAlign w:val="bottom"/>
          </w:tcPr>
          <w:p>
            <w:pPr>
              <w:ind w:left="680"/>
              <w:spacing w:after="0"/>
              <w:rPr>
                <w:sz w:val="20"/>
                <w:szCs w:val="20"/>
                <w:color w:val="auto"/>
              </w:rPr>
            </w:pPr>
            <w:r>
              <w:rPr>
                <w:rFonts w:ascii="Arial" w:cs="Arial" w:eastAsia="Arial" w:hAnsi="Arial"/>
                <w:sz w:val="18"/>
                <w:szCs w:val="18"/>
                <w:b w:val="1"/>
                <w:bCs w:val="1"/>
                <w:color w:val="auto"/>
              </w:rPr>
              <w:t>Net cash provided by operating activities: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1B51BF"/>
              </w:rPr>
              <w:t>69.0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0"/>
        </w:trPr>
        <w:tc>
          <w:tcPr>
            <w:tcW w:w="78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100" w:type="dxa"/>
            <w:vAlign w:val="bottom"/>
            <w:shd w:val="clear" w:color="auto" w:fill="E5E5E5"/>
          </w:tcPr>
          <w:p>
            <w:pPr>
              <w:spacing w:after="0"/>
              <w:rPr>
                <w:sz w:val="23"/>
                <w:szCs w:val="23"/>
                <w:color w:val="auto"/>
              </w:rPr>
            </w:pPr>
          </w:p>
        </w:tc>
        <w:tc>
          <w:tcPr>
            <w:tcW w:w="6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84"/>
        </w:trPr>
        <w:tc>
          <w:tcPr>
            <w:tcW w:w="7840" w:type="dxa"/>
            <w:vAlign w:val="bottom"/>
          </w:tcPr>
          <w:p>
            <w:pPr>
              <w:ind w:left="240"/>
              <w:spacing w:after="0"/>
              <w:rPr>
                <w:sz w:val="20"/>
                <w:szCs w:val="20"/>
                <w:color w:val="auto"/>
              </w:rPr>
            </w:pPr>
            <w:r>
              <w:rPr>
                <w:rFonts w:ascii="Arial" w:cs="Arial" w:eastAsia="Arial" w:hAnsi="Arial"/>
                <w:sz w:val="18"/>
                <w:szCs w:val="18"/>
                <w:color w:val="auto"/>
              </w:rPr>
              <w:t>Purchases of property, plant and equipment and other</w:t>
            </w:r>
          </w:p>
        </w:tc>
        <w:tc>
          <w:tcPr>
            <w:tcW w:w="1100" w:type="dxa"/>
            <w:vAlign w:val="bottom"/>
            <w:shd w:val="clear" w:color="auto" w:fill="E5E5E5"/>
          </w:tcPr>
          <w:p>
            <w:pPr>
              <w:spacing w:after="0"/>
              <w:rPr>
                <w:sz w:val="24"/>
                <w:szCs w:val="24"/>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57"/>
        </w:trPr>
        <w:tc>
          <w:tcPr>
            <w:tcW w:w="7840" w:type="dxa"/>
            <w:vAlign w:val="bottom"/>
          </w:tcPr>
          <w:p>
            <w:pPr>
              <w:ind w:left="240"/>
              <w:spacing w:after="0"/>
              <w:rPr>
                <w:sz w:val="20"/>
                <w:szCs w:val="20"/>
                <w:color w:val="auto"/>
              </w:rPr>
            </w:pPr>
            <w:r>
              <w:rPr>
                <w:rFonts w:ascii="Arial" w:cs="Arial" w:eastAsia="Arial" w:hAnsi="Arial"/>
                <w:sz w:val="18"/>
                <w:szCs w:val="18"/>
                <w:color w:val="auto"/>
              </w:rPr>
              <w:t>Milestone payment from prior asset acquisition</w:t>
            </w:r>
          </w:p>
        </w:tc>
        <w:tc>
          <w:tcPr>
            <w:tcW w:w="1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(10.0)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40" w:type="dxa"/>
            <w:vAlign w:val="bottom"/>
          </w:tcPr>
          <w:p>
            <w:pPr>
              <w:ind w:left="240"/>
              <w:spacing w:after="0"/>
              <w:rPr>
                <w:sz w:val="20"/>
                <w:szCs w:val="20"/>
                <w:color w:val="auto"/>
              </w:rPr>
            </w:pPr>
            <w:r>
              <w:rPr>
                <w:rFonts w:ascii="Arial" w:cs="Arial" w:eastAsia="Arial" w:hAnsi="Arial"/>
                <w:sz w:val="18"/>
                <w:szCs w:val="18"/>
                <w:color w:val="auto"/>
              </w:rPr>
              <w:t>Proceeds from sale of assets</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84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(45.5)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7840" w:type="dxa"/>
            <w:vAlign w:val="bottom"/>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100" w:type="dxa"/>
            <w:vAlign w:val="bottom"/>
            <w:shd w:val="clear" w:color="auto" w:fill="E5E5E5"/>
          </w:tcPr>
          <w:p>
            <w:pPr>
              <w:spacing w:after="0"/>
              <w:rPr>
                <w:sz w:val="23"/>
                <w:szCs w:val="23"/>
                <w:color w:val="auto"/>
              </w:rPr>
            </w:pPr>
          </w:p>
        </w:tc>
        <w:tc>
          <w:tcPr>
            <w:tcW w:w="6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84"/>
        </w:trPr>
        <w:tc>
          <w:tcPr>
            <w:tcW w:w="784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1100" w:type="dxa"/>
            <w:vAlign w:val="bottom"/>
            <w:shd w:val="clear" w:color="auto" w:fill="E5E5E5"/>
          </w:tcPr>
          <w:p>
            <w:pPr>
              <w:spacing w:after="0"/>
              <w:rPr>
                <w:sz w:val="24"/>
                <w:szCs w:val="24"/>
                <w:color w:val="auto"/>
              </w:rPr>
            </w:pPr>
          </w:p>
        </w:tc>
        <w:tc>
          <w:tcPr>
            <w:tcW w:w="6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130.0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840" w:type="dxa"/>
            <w:vAlign w:val="bottom"/>
          </w:tcPr>
          <w:p>
            <w:pPr>
              <w:ind w:left="140"/>
              <w:spacing w:after="0"/>
              <w:rPr>
                <w:sz w:val="20"/>
                <w:szCs w:val="20"/>
                <w:color w:val="auto"/>
              </w:rPr>
            </w:pPr>
            <w:r>
              <w:rPr>
                <w:rFonts w:ascii="Arial" w:cs="Arial" w:eastAsia="Arial" w:hAnsi="Arial"/>
                <w:sz w:val="18"/>
                <w:szCs w:val="18"/>
                <w:color w:val="auto"/>
              </w:rPr>
              <w:t>Principal payments on revolving credit facility</w:t>
            </w:r>
          </w:p>
        </w:tc>
        <w:tc>
          <w:tcPr>
            <w:tcW w:w="1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(80.0)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Pr>
          <w:p>
            <w:pPr>
              <w:ind w:left="140"/>
              <w:spacing w:after="0"/>
              <w:rPr>
                <w:sz w:val="20"/>
                <w:szCs w:val="20"/>
                <w:color w:val="auto"/>
              </w:rPr>
            </w:pPr>
            <w:r>
              <w:rPr>
                <w:rFonts w:ascii="Arial" w:cs="Arial" w:eastAsia="Arial" w:hAnsi="Arial"/>
                <w:sz w:val="18"/>
                <w:szCs w:val="18"/>
                <w:color w:val="auto"/>
              </w:rPr>
              <w:t>Principal payments on term loan facility</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Pr>
          <w:p>
            <w:pPr>
              <w:ind w:left="140"/>
              <w:spacing w:after="0"/>
              <w:rPr>
                <w:sz w:val="20"/>
                <w:szCs w:val="20"/>
                <w:color w:val="auto"/>
              </w:rPr>
            </w:pPr>
            <w:r>
              <w:rPr>
                <w:rFonts w:ascii="Arial" w:cs="Arial" w:eastAsia="Arial" w:hAnsi="Arial"/>
                <w:sz w:val="18"/>
                <w:szCs w:val="18"/>
                <w:color w:val="auto"/>
              </w:rPr>
              <w:t>Issuances of stock under share-based benefit plans</w:t>
            </w: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0"/>
        </w:trPr>
        <w:tc>
          <w:tcPr>
            <w:tcW w:w="7840" w:type="dxa"/>
            <w:vAlign w:val="bottom"/>
          </w:tcPr>
          <w:p>
            <w:pPr>
              <w:ind w:left="140"/>
              <w:spacing w:after="0"/>
              <w:rPr>
                <w:sz w:val="20"/>
                <w:szCs w:val="20"/>
                <w:color w:val="auto"/>
              </w:rPr>
            </w:pPr>
            <w:r>
              <w:rPr>
                <w:rFonts w:ascii="Arial" w:cs="Arial" w:eastAsia="Arial" w:hAnsi="Arial"/>
                <w:sz w:val="18"/>
                <w:szCs w:val="18"/>
                <w:color w:val="auto"/>
              </w:rPr>
              <w:t>Taxes paid on behalf of employees for equity activity</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840" w:type="dxa"/>
            <w:vAlign w:val="bottom"/>
          </w:tcPr>
          <w:p>
            <w:pPr>
              <w:ind w:left="140"/>
              <w:spacing w:after="0"/>
              <w:rPr>
                <w:sz w:val="20"/>
                <w:szCs w:val="20"/>
                <w:color w:val="auto"/>
              </w:rPr>
            </w:pPr>
            <w:r>
              <w:rPr>
                <w:rFonts w:ascii="Arial" w:cs="Arial" w:eastAsia="Arial" w:hAnsi="Arial"/>
                <w:sz w:val="18"/>
                <w:szCs w:val="18"/>
                <w:color w:val="auto"/>
              </w:rPr>
              <w:t>Contingent consideration payments</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784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840" w:type="dxa"/>
            <w:vAlign w:val="bottom"/>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7"/>
        </w:trPr>
        <w:tc>
          <w:tcPr>
            <w:tcW w:w="784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840" w:type="dxa"/>
            <w:vAlign w:val="bottom"/>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65.2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7"/>
        </w:trPr>
        <w:tc>
          <w:tcPr>
            <w:tcW w:w="784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112.4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179.3</w:t>
            </w:r>
          </w:p>
        </w:tc>
      </w:tr>
      <w:tr>
        <w:trPr>
          <w:trHeight w:val="257"/>
        </w:trPr>
        <w:tc>
          <w:tcPr>
            <w:tcW w:w="7840" w:type="dxa"/>
            <w:vAlign w:val="bottom"/>
          </w:tcPr>
          <w:p>
            <w:pPr>
              <w:ind w:left="1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100" w:type="dxa"/>
            <w:vAlign w:val="bottom"/>
          </w:tcPr>
          <w:p>
            <w:pPr>
              <w:jc w:val="right"/>
              <w:ind w:right="890"/>
              <w:spacing w:after="0"/>
              <w:rPr>
                <w:sz w:val="20"/>
                <w:szCs w:val="20"/>
                <w:color w:val="auto"/>
              </w:rPr>
            </w:pPr>
            <w:r>
              <w:rPr>
                <w:rFonts w:ascii="Arial" w:cs="Arial" w:eastAsia="Arial" w:hAnsi="Arial"/>
                <w:sz w:val="18"/>
                <w:szCs w:val="18"/>
                <w:color w:val="1B51BF"/>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177.6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191.3</w:t>
            </w:r>
          </w:p>
        </w:tc>
      </w:tr>
      <w:tr>
        <w:trPr>
          <w:trHeight w:val="20"/>
        </w:trPr>
        <w:tc>
          <w:tcPr>
            <w:tcW w:w="7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-5685155</wp:posOffset>
            </wp:positionV>
            <wp:extent cx="1089025" cy="5668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566864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2C2C2C"/>
        </w:rPr>
        <w:t>See accompanying notes.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C2C2C"/>
        </w:rPr>
        <w:t>8</w:t>
      </w:r>
    </w:p>
    <w:p>
      <w:pPr>
        <w:sectPr>
          <w:pgSz w:w="11900" w:h="16838" w:orient="portrait"/>
          <w:cols w:equalWidth="0" w:num="1">
            <w:col w:w="11380"/>
          </w:cols>
          <w:pgMar w:left="280" w:top="35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0"/>
          <w:szCs w:val="20"/>
          <w:b w:val="1"/>
          <w:bCs w:val="1"/>
          <w:color w:val="auto"/>
        </w:rPr>
        <w:t>(unaudited,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1780" w:type="dxa"/>
            <w:vAlign w:val="bottom"/>
            <w:gridSpan w:val="2"/>
            <w:vMerge w:val="restart"/>
            <w:shd w:val="clear" w:color="auto" w:fill="0094FF"/>
          </w:tcPr>
          <w:p>
            <w:pPr>
              <w:jc w:val="right"/>
              <w:spacing w:after="0"/>
              <w:rPr>
                <w:sz w:val="20"/>
                <w:szCs w:val="20"/>
                <w:color w:val="auto"/>
              </w:rPr>
            </w:pPr>
            <w:r>
              <w:rPr>
                <w:rFonts w:ascii="Arial" w:cs="Arial" w:eastAsia="Arial" w:hAnsi="Arial"/>
                <w:sz w:val="18"/>
                <w:szCs w:val="18"/>
                <w:color w:val="FFFFFF"/>
              </w:rPr>
              <w:t>$0.001 Par Value</w:t>
            </w:r>
          </w:p>
        </w:tc>
        <w:tc>
          <w:tcPr>
            <w:tcW w:w="480" w:type="dxa"/>
            <w:vAlign w:val="bottom"/>
            <w:shd w:val="clear" w:color="auto" w:fill="0094FF"/>
          </w:tcPr>
          <w:p>
            <w:pPr>
              <w:spacing w:after="0"/>
              <w:rPr>
                <w:sz w:val="19"/>
                <w:szCs w:val="19"/>
                <w:color w:val="auto"/>
              </w:rPr>
            </w:pPr>
          </w:p>
        </w:tc>
        <w:tc>
          <w:tcPr>
            <w:tcW w:w="180" w:type="dxa"/>
            <w:vAlign w:val="bottom"/>
            <w:shd w:val="clear" w:color="auto" w:fill="0094FF"/>
          </w:tcPr>
          <w:p>
            <w:pPr>
              <w:spacing w:after="0"/>
              <w:rPr>
                <w:sz w:val="19"/>
                <w:szCs w:val="19"/>
                <w:color w:val="auto"/>
              </w:rPr>
            </w:pPr>
          </w:p>
        </w:tc>
        <w:tc>
          <w:tcPr>
            <w:tcW w:w="86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1060" w:type="dxa"/>
            <w:vAlign w:val="bottom"/>
            <w:shd w:val="clear" w:color="auto" w:fill="0094FF"/>
          </w:tcPr>
          <w:p>
            <w:pPr>
              <w:spacing w:after="0"/>
              <w:rPr>
                <w:sz w:val="19"/>
                <w:szCs w:val="19"/>
                <w:color w:val="auto"/>
              </w:rPr>
            </w:pPr>
          </w:p>
        </w:tc>
        <w:tc>
          <w:tcPr>
            <w:tcW w:w="380" w:type="dxa"/>
            <w:vAlign w:val="bottom"/>
            <w:shd w:val="clear" w:color="auto" w:fill="0094FF"/>
          </w:tcPr>
          <w:p>
            <w:pPr>
              <w:spacing w:after="0"/>
              <w:rPr>
                <w:sz w:val="19"/>
                <w:szCs w:val="19"/>
                <w:color w:val="auto"/>
              </w:rPr>
            </w:pPr>
          </w:p>
        </w:tc>
        <w:tc>
          <w:tcPr>
            <w:tcW w:w="840" w:type="dxa"/>
            <w:vAlign w:val="bottom"/>
            <w:shd w:val="clear" w:color="auto" w:fill="0094FF"/>
          </w:tcPr>
          <w:p>
            <w:pPr>
              <w:spacing w:after="0"/>
              <w:rPr>
                <w:sz w:val="19"/>
                <w:szCs w:val="19"/>
                <w:color w:val="auto"/>
              </w:rPr>
            </w:pPr>
          </w:p>
        </w:tc>
        <w:tc>
          <w:tcPr>
            <w:tcW w:w="120" w:type="dxa"/>
            <w:vAlign w:val="bottom"/>
            <w:shd w:val="clear" w:color="auto" w:fill="0094FF"/>
          </w:tcPr>
          <w:p>
            <w:pPr>
              <w:spacing w:after="0"/>
              <w:rPr>
                <w:sz w:val="19"/>
                <w:szCs w:val="19"/>
                <w:color w:val="auto"/>
              </w:rPr>
            </w:pPr>
          </w:p>
        </w:tc>
        <w:tc>
          <w:tcPr>
            <w:tcW w:w="124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9"/>
              </w:rPr>
              <w:t>Accumulated</w:t>
            </w:r>
          </w:p>
        </w:tc>
        <w:tc>
          <w:tcPr>
            <w:tcW w:w="200" w:type="dxa"/>
            <w:vAlign w:val="bottom"/>
            <w:shd w:val="clear" w:color="auto" w:fill="0094FF"/>
          </w:tcPr>
          <w:p>
            <w:pPr>
              <w:spacing w:after="0"/>
              <w:rPr>
                <w:sz w:val="19"/>
                <w:szCs w:val="19"/>
                <w:color w:val="auto"/>
              </w:rPr>
            </w:pPr>
          </w:p>
        </w:tc>
        <w:tc>
          <w:tcPr>
            <w:tcW w:w="940" w:type="dxa"/>
            <w:vAlign w:val="bottom"/>
            <w:shd w:val="clear" w:color="auto" w:fill="0094FF"/>
          </w:tcPr>
          <w:p>
            <w:pPr>
              <w:spacing w:after="0"/>
              <w:rPr>
                <w:sz w:val="19"/>
                <w:szCs w:val="19"/>
                <w:color w:val="auto"/>
              </w:rPr>
            </w:pPr>
          </w:p>
        </w:tc>
        <w:tc>
          <w:tcPr>
            <w:tcW w:w="300" w:type="dxa"/>
            <w:vAlign w:val="bottom"/>
            <w:shd w:val="clear" w:color="auto" w:fill="0094FF"/>
          </w:tcPr>
          <w:p>
            <w:pPr>
              <w:spacing w:after="0"/>
              <w:rPr>
                <w:sz w:val="19"/>
                <w:szCs w:val="19"/>
                <w:color w:val="auto"/>
              </w:rPr>
            </w:pPr>
          </w:p>
        </w:tc>
        <w:tc>
          <w:tcPr>
            <w:tcW w:w="920" w:type="dxa"/>
            <w:vAlign w:val="bottom"/>
            <w:shd w:val="clear" w:color="auto" w:fill="0094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92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1780" w:type="dxa"/>
            <w:vAlign w:val="bottom"/>
            <w:gridSpan w:val="2"/>
            <w:vMerge w:val="continue"/>
            <w:shd w:val="clear" w:color="auto" w:fill="0094FF"/>
          </w:tcPr>
          <w:p>
            <w:pPr>
              <w:spacing w:after="0"/>
              <w:rPr>
                <w:sz w:val="7"/>
                <w:szCs w:val="7"/>
                <w:color w:val="auto"/>
              </w:rPr>
            </w:pPr>
          </w:p>
        </w:tc>
        <w:tc>
          <w:tcPr>
            <w:tcW w:w="480" w:type="dxa"/>
            <w:vAlign w:val="bottom"/>
            <w:shd w:val="clear" w:color="auto" w:fill="0094FF"/>
          </w:tcPr>
          <w:p>
            <w:pPr>
              <w:spacing w:after="0"/>
              <w:rPr>
                <w:sz w:val="7"/>
                <w:szCs w:val="7"/>
                <w:color w:val="auto"/>
              </w:rPr>
            </w:pPr>
          </w:p>
        </w:tc>
        <w:tc>
          <w:tcPr>
            <w:tcW w:w="1040" w:type="dxa"/>
            <w:vAlign w:val="bottom"/>
            <w:gridSpan w:val="2"/>
            <w:vMerge w:val="restart"/>
            <w:shd w:val="clear" w:color="auto" w:fill="0094FF"/>
          </w:tcPr>
          <w:p>
            <w:pPr>
              <w:jc w:val="right"/>
              <w:ind w:right="30"/>
              <w:spacing w:after="0" w:line="202" w:lineRule="exact"/>
              <w:rPr>
                <w:sz w:val="20"/>
                <w:szCs w:val="20"/>
                <w:color w:val="auto"/>
              </w:rPr>
            </w:pPr>
            <w:r>
              <w:rPr>
                <w:rFonts w:ascii="Arial" w:cs="Arial" w:eastAsia="Arial" w:hAnsi="Arial"/>
                <w:sz w:val="18"/>
                <w:szCs w:val="18"/>
                <w:color w:val="FFFFFF"/>
              </w:rPr>
              <w:t>Additional</w:t>
            </w:r>
          </w:p>
        </w:tc>
        <w:tc>
          <w:tcPr>
            <w:tcW w:w="100" w:type="dxa"/>
            <w:vAlign w:val="bottom"/>
            <w:shd w:val="clear" w:color="auto" w:fill="0094FF"/>
          </w:tcPr>
          <w:p>
            <w:pPr>
              <w:spacing w:after="0"/>
              <w:rPr>
                <w:sz w:val="7"/>
                <w:szCs w:val="7"/>
                <w:color w:val="auto"/>
              </w:rPr>
            </w:pPr>
          </w:p>
        </w:tc>
        <w:tc>
          <w:tcPr>
            <w:tcW w:w="1060" w:type="dxa"/>
            <w:vAlign w:val="bottom"/>
            <w:shd w:val="clear" w:color="auto" w:fill="0094FF"/>
          </w:tcPr>
          <w:p>
            <w:pPr>
              <w:spacing w:after="0"/>
              <w:rPr>
                <w:sz w:val="7"/>
                <w:szCs w:val="7"/>
                <w:color w:val="auto"/>
              </w:rPr>
            </w:pPr>
          </w:p>
        </w:tc>
        <w:tc>
          <w:tcPr>
            <w:tcW w:w="380" w:type="dxa"/>
            <w:vAlign w:val="bottom"/>
            <w:shd w:val="clear" w:color="auto" w:fill="0094FF"/>
          </w:tcPr>
          <w:p>
            <w:pPr>
              <w:spacing w:after="0"/>
              <w:rPr>
                <w:sz w:val="7"/>
                <w:szCs w:val="7"/>
                <w:color w:val="auto"/>
              </w:rPr>
            </w:pPr>
          </w:p>
        </w:tc>
        <w:tc>
          <w:tcPr>
            <w:tcW w:w="84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1240" w:type="dxa"/>
            <w:vAlign w:val="bottom"/>
            <w:vMerge w:val="restart"/>
            <w:shd w:val="clear" w:color="auto" w:fill="0094FF"/>
          </w:tcPr>
          <w:p>
            <w:pPr>
              <w:jc w:val="center"/>
              <w:ind w:right="90"/>
              <w:spacing w:after="0" w:line="202" w:lineRule="exact"/>
              <w:rPr>
                <w:sz w:val="20"/>
                <w:szCs w:val="20"/>
                <w:color w:val="auto"/>
              </w:rPr>
            </w:pPr>
            <w:r>
              <w:rPr>
                <w:rFonts w:ascii="Arial" w:cs="Arial" w:eastAsia="Arial" w:hAnsi="Arial"/>
                <w:sz w:val="18"/>
                <w:szCs w:val="18"/>
                <w:color w:val="FFFFFF"/>
              </w:rPr>
              <w:t>Other</w:t>
            </w:r>
          </w:p>
        </w:tc>
        <w:tc>
          <w:tcPr>
            <w:tcW w:w="200" w:type="dxa"/>
            <w:vAlign w:val="bottom"/>
            <w:shd w:val="clear" w:color="auto" w:fill="0094FF"/>
          </w:tcPr>
          <w:p>
            <w:pPr>
              <w:spacing w:after="0"/>
              <w:rPr>
                <w:sz w:val="7"/>
                <w:szCs w:val="7"/>
                <w:color w:val="auto"/>
              </w:rPr>
            </w:pPr>
          </w:p>
        </w:tc>
        <w:tc>
          <w:tcPr>
            <w:tcW w:w="940" w:type="dxa"/>
            <w:vAlign w:val="bottom"/>
            <w:shd w:val="clear" w:color="auto" w:fill="0094FF"/>
          </w:tcPr>
          <w:p>
            <w:pPr>
              <w:spacing w:after="0"/>
              <w:rPr>
                <w:sz w:val="7"/>
                <w:szCs w:val="7"/>
                <w:color w:val="auto"/>
              </w:rPr>
            </w:pPr>
          </w:p>
        </w:tc>
        <w:tc>
          <w:tcPr>
            <w:tcW w:w="300" w:type="dxa"/>
            <w:vAlign w:val="bottom"/>
            <w:shd w:val="clear" w:color="auto" w:fill="0094FF"/>
          </w:tcPr>
          <w:p>
            <w:pPr>
              <w:spacing w:after="0"/>
              <w:rPr>
                <w:sz w:val="7"/>
                <w:szCs w:val="7"/>
                <w:color w:val="auto"/>
              </w:rPr>
            </w:pPr>
          </w:p>
        </w:tc>
        <w:tc>
          <w:tcPr>
            <w:tcW w:w="920" w:type="dxa"/>
            <w:vAlign w:val="bottom"/>
            <w:vMerge w:val="restart"/>
            <w:shd w:val="clear" w:color="auto" w:fill="0094FF"/>
          </w:tcPr>
          <w:p>
            <w:pPr>
              <w:jc w:val="right"/>
              <w:ind w:right="290"/>
              <w:spacing w:after="0" w:line="202" w:lineRule="exact"/>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122"/>
        </w:trPr>
        <w:tc>
          <w:tcPr>
            <w:tcW w:w="1920" w:type="dxa"/>
            <w:vAlign w:val="bottom"/>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1780" w:type="dxa"/>
            <w:vAlign w:val="bottom"/>
            <w:gridSpan w:val="2"/>
            <w:vMerge w:val="restart"/>
            <w:shd w:val="clear" w:color="auto" w:fill="0094FF"/>
          </w:tcPr>
          <w:p>
            <w:pPr>
              <w:jc w:val="right"/>
              <w:spacing w:after="0"/>
              <w:rPr>
                <w:sz w:val="20"/>
                <w:szCs w:val="20"/>
                <w:color w:val="auto"/>
              </w:rPr>
            </w:pPr>
            <w:r>
              <w:rPr>
                <w:rFonts w:ascii="Arial" w:cs="Arial" w:eastAsia="Arial" w:hAnsi="Arial"/>
                <w:sz w:val="18"/>
                <w:szCs w:val="18"/>
                <w:color w:val="FFFFFF"/>
              </w:rPr>
              <w:t>Common Stock</w:t>
            </w:r>
          </w:p>
        </w:tc>
        <w:tc>
          <w:tcPr>
            <w:tcW w:w="480" w:type="dxa"/>
            <w:vAlign w:val="bottom"/>
            <w:shd w:val="clear" w:color="auto" w:fill="0094FF"/>
          </w:tcPr>
          <w:p>
            <w:pPr>
              <w:spacing w:after="0"/>
              <w:rPr>
                <w:sz w:val="10"/>
                <w:szCs w:val="10"/>
                <w:color w:val="auto"/>
              </w:rPr>
            </w:pPr>
          </w:p>
        </w:tc>
        <w:tc>
          <w:tcPr>
            <w:tcW w:w="1040" w:type="dxa"/>
            <w:vAlign w:val="bottom"/>
            <w:gridSpan w:val="2"/>
            <w:vMerge w:val="continue"/>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2280" w:type="dxa"/>
            <w:vAlign w:val="bottom"/>
            <w:gridSpan w:val="3"/>
            <w:vMerge w:val="restart"/>
            <w:shd w:val="clear" w:color="auto" w:fill="0094FF"/>
          </w:tcPr>
          <w:p>
            <w:pPr>
              <w:jc w:val="right"/>
              <w:ind w:right="490"/>
              <w:spacing w:after="0"/>
              <w:rPr>
                <w:sz w:val="20"/>
                <w:szCs w:val="20"/>
                <w:color w:val="auto"/>
              </w:rPr>
            </w:pPr>
            <w:r>
              <w:rPr>
                <w:rFonts w:ascii="Arial" w:cs="Arial" w:eastAsia="Arial" w:hAnsi="Arial"/>
                <w:sz w:val="18"/>
                <w:szCs w:val="18"/>
                <w:color w:val="FFFFFF"/>
              </w:rPr>
              <w:t>Treasury Stock</w:t>
            </w:r>
          </w:p>
        </w:tc>
        <w:tc>
          <w:tcPr>
            <w:tcW w:w="120" w:type="dxa"/>
            <w:vAlign w:val="bottom"/>
            <w:shd w:val="clear" w:color="auto" w:fill="0094FF"/>
          </w:tcPr>
          <w:p>
            <w:pPr>
              <w:spacing w:after="0"/>
              <w:rPr>
                <w:sz w:val="10"/>
                <w:szCs w:val="10"/>
                <w:color w:val="auto"/>
              </w:rPr>
            </w:pPr>
          </w:p>
        </w:tc>
        <w:tc>
          <w:tcPr>
            <w:tcW w:w="1240" w:type="dxa"/>
            <w:vAlign w:val="bottom"/>
            <w:vMerge w:val="continue"/>
            <w:shd w:val="clear" w:color="auto" w:fill="0094FF"/>
          </w:tcPr>
          <w:p>
            <w:pPr>
              <w:spacing w:after="0"/>
              <w:rPr>
                <w:sz w:val="10"/>
                <w:szCs w:val="10"/>
                <w:color w:val="auto"/>
              </w:rPr>
            </w:pPr>
          </w:p>
        </w:tc>
        <w:tc>
          <w:tcPr>
            <w:tcW w:w="200" w:type="dxa"/>
            <w:vAlign w:val="bottom"/>
            <w:shd w:val="clear" w:color="auto" w:fill="0094FF"/>
          </w:tcPr>
          <w:p>
            <w:pPr>
              <w:spacing w:after="0"/>
              <w:rPr>
                <w:sz w:val="10"/>
                <w:szCs w:val="10"/>
                <w:color w:val="auto"/>
              </w:rPr>
            </w:pPr>
          </w:p>
        </w:tc>
        <w:tc>
          <w:tcPr>
            <w:tcW w:w="940" w:type="dxa"/>
            <w:vAlign w:val="bottom"/>
            <w:shd w:val="clear" w:color="auto" w:fill="0094FF"/>
          </w:tcPr>
          <w:p>
            <w:pPr>
              <w:spacing w:after="0"/>
              <w:rPr>
                <w:sz w:val="10"/>
                <w:szCs w:val="10"/>
                <w:color w:val="auto"/>
              </w:rPr>
            </w:pPr>
          </w:p>
        </w:tc>
        <w:tc>
          <w:tcPr>
            <w:tcW w:w="300" w:type="dxa"/>
            <w:vAlign w:val="bottom"/>
            <w:shd w:val="clear" w:color="auto" w:fill="0094FF"/>
          </w:tcPr>
          <w:p>
            <w:pPr>
              <w:spacing w:after="0"/>
              <w:rPr>
                <w:sz w:val="10"/>
                <w:szCs w:val="10"/>
                <w:color w:val="auto"/>
              </w:rPr>
            </w:pPr>
          </w:p>
        </w:tc>
        <w:tc>
          <w:tcPr>
            <w:tcW w:w="920" w:type="dxa"/>
            <w:vAlign w:val="bottom"/>
            <w:vMerge w:val="continue"/>
            <w:shd w:val="clear" w:color="auto" w:fill="0094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20" w:type="dxa"/>
            <w:vAlign w:val="bottom"/>
            <w:shd w:val="clear" w:color="auto" w:fill="0094FF"/>
          </w:tcPr>
          <w:p>
            <w:pPr>
              <w:spacing w:after="0"/>
              <w:rPr>
                <w:sz w:val="8"/>
                <w:szCs w:val="8"/>
                <w:color w:val="auto"/>
              </w:rPr>
            </w:pPr>
          </w:p>
        </w:tc>
        <w:tc>
          <w:tcPr>
            <w:tcW w:w="100" w:type="dxa"/>
            <w:vAlign w:val="bottom"/>
            <w:shd w:val="clear" w:color="auto" w:fill="0094FF"/>
          </w:tcPr>
          <w:p>
            <w:pPr>
              <w:spacing w:after="0"/>
              <w:rPr>
                <w:sz w:val="8"/>
                <w:szCs w:val="8"/>
                <w:color w:val="auto"/>
              </w:rPr>
            </w:pPr>
          </w:p>
        </w:tc>
        <w:tc>
          <w:tcPr>
            <w:tcW w:w="1780" w:type="dxa"/>
            <w:vAlign w:val="bottom"/>
            <w:gridSpan w:val="2"/>
            <w:vMerge w:val="continue"/>
            <w:shd w:val="clear" w:color="auto" w:fill="0094FF"/>
          </w:tcPr>
          <w:p>
            <w:pPr>
              <w:spacing w:after="0"/>
              <w:rPr>
                <w:sz w:val="8"/>
                <w:szCs w:val="8"/>
                <w:color w:val="auto"/>
              </w:rPr>
            </w:pPr>
          </w:p>
        </w:tc>
        <w:tc>
          <w:tcPr>
            <w:tcW w:w="480" w:type="dxa"/>
            <w:vAlign w:val="bottom"/>
            <w:shd w:val="clear" w:color="auto" w:fill="0094FF"/>
          </w:tcPr>
          <w:p>
            <w:pPr>
              <w:spacing w:after="0"/>
              <w:rPr>
                <w:sz w:val="8"/>
                <w:szCs w:val="8"/>
                <w:color w:val="auto"/>
              </w:rPr>
            </w:pPr>
          </w:p>
        </w:tc>
        <w:tc>
          <w:tcPr>
            <w:tcW w:w="180" w:type="dxa"/>
            <w:vAlign w:val="bottom"/>
            <w:shd w:val="clear" w:color="auto" w:fill="0094FF"/>
          </w:tcPr>
          <w:p>
            <w:pPr>
              <w:spacing w:after="0"/>
              <w:rPr>
                <w:sz w:val="8"/>
                <w:szCs w:val="8"/>
                <w:color w:val="auto"/>
              </w:rPr>
            </w:pPr>
          </w:p>
        </w:tc>
        <w:tc>
          <w:tcPr>
            <w:tcW w:w="860" w:type="dxa"/>
            <w:vAlign w:val="bottom"/>
            <w:vMerge w:val="restart"/>
            <w:shd w:val="clear" w:color="auto" w:fill="0094FF"/>
          </w:tcPr>
          <w:p>
            <w:pPr>
              <w:jc w:val="right"/>
              <w:ind w:right="150"/>
              <w:spacing w:after="0" w:line="202" w:lineRule="exact"/>
              <w:rPr>
                <w:sz w:val="20"/>
                <w:szCs w:val="20"/>
                <w:color w:val="auto"/>
              </w:rPr>
            </w:pPr>
            <w:r>
              <w:rPr>
                <w:rFonts w:ascii="Arial" w:cs="Arial" w:eastAsia="Arial" w:hAnsi="Arial"/>
                <w:sz w:val="18"/>
                <w:szCs w:val="18"/>
                <w:color w:val="FFFFFF"/>
              </w:rPr>
              <w:t>Paid-In</w:t>
            </w:r>
          </w:p>
        </w:tc>
        <w:tc>
          <w:tcPr>
            <w:tcW w:w="100" w:type="dxa"/>
            <w:vAlign w:val="bottom"/>
            <w:shd w:val="clear" w:color="auto" w:fill="0094FF"/>
          </w:tcPr>
          <w:p>
            <w:pPr>
              <w:spacing w:after="0"/>
              <w:rPr>
                <w:sz w:val="8"/>
                <w:szCs w:val="8"/>
                <w:color w:val="auto"/>
              </w:rPr>
            </w:pPr>
          </w:p>
        </w:tc>
        <w:tc>
          <w:tcPr>
            <w:tcW w:w="2280" w:type="dxa"/>
            <w:vAlign w:val="bottom"/>
            <w:gridSpan w:val="3"/>
            <w:vMerge w:val="continue"/>
            <w:shd w:val="clear" w:color="auto" w:fill="0094FF"/>
          </w:tcPr>
          <w:p>
            <w:pPr>
              <w:spacing w:after="0"/>
              <w:rPr>
                <w:sz w:val="8"/>
                <w:szCs w:val="8"/>
                <w:color w:val="auto"/>
              </w:rPr>
            </w:pPr>
          </w:p>
        </w:tc>
        <w:tc>
          <w:tcPr>
            <w:tcW w:w="1360" w:type="dxa"/>
            <w:vAlign w:val="bottom"/>
            <w:gridSpan w:val="2"/>
            <w:vMerge w:val="restart"/>
            <w:shd w:val="clear" w:color="auto" w:fill="0094FF"/>
          </w:tcPr>
          <w:p>
            <w:pPr>
              <w:ind w:left="20"/>
              <w:spacing w:after="0" w:line="202" w:lineRule="exact"/>
              <w:rPr>
                <w:sz w:val="20"/>
                <w:szCs w:val="20"/>
                <w:color w:val="auto"/>
              </w:rPr>
            </w:pPr>
            <w:r>
              <w:rPr>
                <w:rFonts w:ascii="Arial" w:cs="Arial" w:eastAsia="Arial" w:hAnsi="Arial"/>
                <w:sz w:val="18"/>
                <w:szCs w:val="18"/>
                <w:color w:val="FFFFFF"/>
              </w:rPr>
              <w:t>Comprehensive</w:t>
            </w:r>
          </w:p>
        </w:tc>
        <w:tc>
          <w:tcPr>
            <w:tcW w:w="200" w:type="dxa"/>
            <w:vAlign w:val="bottom"/>
            <w:shd w:val="clear" w:color="auto" w:fill="0094FF"/>
          </w:tcPr>
          <w:p>
            <w:pPr>
              <w:spacing w:after="0"/>
              <w:rPr>
                <w:sz w:val="8"/>
                <w:szCs w:val="8"/>
                <w:color w:val="auto"/>
              </w:rPr>
            </w:pPr>
          </w:p>
        </w:tc>
        <w:tc>
          <w:tcPr>
            <w:tcW w:w="940" w:type="dxa"/>
            <w:vAlign w:val="bottom"/>
            <w:vMerge w:val="restart"/>
            <w:shd w:val="clear" w:color="auto" w:fill="0094FF"/>
          </w:tcPr>
          <w:p>
            <w:pPr>
              <w:jc w:val="right"/>
              <w:ind w:right="110"/>
              <w:spacing w:after="0" w:line="202" w:lineRule="exact"/>
              <w:rPr>
                <w:sz w:val="20"/>
                <w:szCs w:val="20"/>
                <w:color w:val="auto"/>
              </w:rPr>
            </w:pPr>
            <w:r>
              <w:rPr>
                <w:rFonts w:ascii="Arial" w:cs="Arial" w:eastAsia="Arial" w:hAnsi="Arial"/>
                <w:sz w:val="18"/>
                <w:szCs w:val="18"/>
                <w:color w:val="FFFFFF"/>
                <w:w w:val="99"/>
              </w:rPr>
              <w:t>Retained</w:t>
            </w:r>
          </w:p>
        </w:tc>
        <w:tc>
          <w:tcPr>
            <w:tcW w:w="1220" w:type="dxa"/>
            <w:vAlign w:val="bottom"/>
            <w:gridSpan w:val="2"/>
            <w:vMerge w:val="restart"/>
            <w:shd w:val="clear" w:color="auto" w:fill="0094FF"/>
          </w:tcPr>
          <w:p>
            <w:pPr>
              <w:ind w:left="100"/>
              <w:spacing w:after="0" w:line="202" w:lineRule="exact"/>
              <w:rPr>
                <w:sz w:val="20"/>
                <w:szCs w:val="20"/>
                <w:color w:val="auto"/>
              </w:rPr>
            </w:pPr>
            <w:r>
              <w:rPr>
                <w:rFonts w:ascii="Arial" w:cs="Arial" w:eastAsia="Arial" w:hAnsi="Arial"/>
                <w:sz w:val="18"/>
                <w:szCs w:val="18"/>
                <w:color w:val="FFFFFF"/>
              </w:rPr>
              <w:t>Stockholders'</w:t>
            </w:r>
          </w:p>
        </w:tc>
        <w:tc>
          <w:tcPr>
            <w:tcW w:w="0" w:type="dxa"/>
            <w:vAlign w:val="bottom"/>
          </w:tcPr>
          <w:p>
            <w:pPr>
              <w:spacing w:after="0"/>
              <w:rPr>
                <w:sz w:val="1"/>
                <w:szCs w:val="1"/>
                <w:color w:val="auto"/>
              </w:rPr>
            </w:pPr>
          </w:p>
        </w:tc>
      </w:tr>
      <w:tr>
        <w:trPr>
          <w:trHeight w:val="107"/>
        </w:trPr>
        <w:tc>
          <w:tcPr>
            <w:tcW w:w="192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000" w:type="dxa"/>
            <w:vAlign w:val="bottom"/>
            <w:shd w:val="clear" w:color="auto" w:fill="0094FF"/>
          </w:tcPr>
          <w:p>
            <w:pPr>
              <w:spacing w:after="0"/>
              <w:rPr>
                <w:sz w:val="9"/>
                <w:szCs w:val="9"/>
                <w:color w:val="auto"/>
              </w:rPr>
            </w:pPr>
          </w:p>
        </w:tc>
        <w:tc>
          <w:tcPr>
            <w:tcW w:w="780" w:type="dxa"/>
            <w:vAlign w:val="bottom"/>
            <w:shd w:val="clear" w:color="auto" w:fill="0094FF"/>
          </w:tcPr>
          <w:p>
            <w:pPr>
              <w:spacing w:after="0"/>
              <w:rPr>
                <w:sz w:val="9"/>
                <w:szCs w:val="9"/>
                <w:color w:val="auto"/>
              </w:rPr>
            </w:pPr>
          </w:p>
        </w:tc>
        <w:tc>
          <w:tcPr>
            <w:tcW w:w="480" w:type="dxa"/>
            <w:vAlign w:val="bottom"/>
            <w:shd w:val="clear" w:color="auto" w:fill="0094FF"/>
          </w:tcPr>
          <w:p>
            <w:pPr>
              <w:spacing w:after="0"/>
              <w:rPr>
                <w:sz w:val="9"/>
                <w:szCs w:val="9"/>
                <w:color w:val="auto"/>
              </w:rPr>
            </w:pPr>
          </w:p>
        </w:tc>
        <w:tc>
          <w:tcPr>
            <w:tcW w:w="180" w:type="dxa"/>
            <w:vAlign w:val="bottom"/>
            <w:shd w:val="clear" w:color="auto" w:fill="0094FF"/>
          </w:tcPr>
          <w:p>
            <w:pPr>
              <w:spacing w:after="0"/>
              <w:rPr>
                <w:sz w:val="9"/>
                <w:szCs w:val="9"/>
                <w:color w:val="auto"/>
              </w:rPr>
            </w:pPr>
          </w:p>
        </w:tc>
        <w:tc>
          <w:tcPr>
            <w:tcW w:w="860" w:type="dxa"/>
            <w:vAlign w:val="bottom"/>
            <w:vMerge w:val="continue"/>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060" w:type="dxa"/>
            <w:vAlign w:val="bottom"/>
            <w:shd w:val="clear" w:color="auto" w:fill="0094FF"/>
          </w:tcPr>
          <w:p>
            <w:pPr>
              <w:spacing w:after="0"/>
              <w:rPr>
                <w:sz w:val="9"/>
                <w:szCs w:val="9"/>
                <w:color w:val="auto"/>
              </w:rPr>
            </w:pPr>
          </w:p>
        </w:tc>
        <w:tc>
          <w:tcPr>
            <w:tcW w:w="380" w:type="dxa"/>
            <w:vAlign w:val="bottom"/>
            <w:shd w:val="clear" w:color="auto" w:fill="0094FF"/>
          </w:tcPr>
          <w:p>
            <w:pPr>
              <w:spacing w:after="0"/>
              <w:rPr>
                <w:sz w:val="9"/>
                <w:szCs w:val="9"/>
                <w:color w:val="auto"/>
              </w:rPr>
            </w:pPr>
          </w:p>
        </w:tc>
        <w:tc>
          <w:tcPr>
            <w:tcW w:w="840" w:type="dxa"/>
            <w:vAlign w:val="bottom"/>
            <w:shd w:val="clear" w:color="auto" w:fill="0094FF"/>
          </w:tcPr>
          <w:p>
            <w:pPr>
              <w:spacing w:after="0"/>
              <w:rPr>
                <w:sz w:val="9"/>
                <w:szCs w:val="9"/>
                <w:color w:val="auto"/>
              </w:rPr>
            </w:pPr>
          </w:p>
        </w:tc>
        <w:tc>
          <w:tcPr>
            <w:tcW w:w="1360" w:type="dxa"/>
            <w:vAlign w:val="bottom"/>
            <w:gridSpan w:val="2"/>
            <w:vMerge w:val="continue"/>
            <w:shd w:val="clear" w:color="auto" w:fill="0094FF"/>
          </w:tcPr>
          <w:p>
            <w:pPr>
              <w:spacing w:after="0"/>
              <w:rPr>
                <w:sz w:val="9"/>
                <w:szCs w:val="9"/>
                <w:color w:val="auto"/>
              </w:rPr>
            </w:pPr>
          </w:p>
        </w:tc>
        <w:tc>
          <w:tcPr>
            <w:tcW w:w="200" w:type="dxa"/>
            <w:vAlign w:val="bottom"/>
            <w:shd w:val="clear" w:color="auto" w:fill="0094FF"/>
          </w:tcPr>
          <w:p>
            <w:pPr>
              <w:spacing w:after="0"/>
              <w:rPr>
                <w:sz w:val="9"/>
                <w:szCs w:val="9"/>
                <w:color w:val="auto"/>
              </w:rPr>
            </w:pPr>
          </w:p>
        </w:tc>
        <w:tc>
          <w:tcPr>
            <w:tcW w:w="940" w:type="dxa"/>
            <w:vAlign w:val="bottom"/>
            <w:vMerge w:val="continue"/>
            <w:shd w:val="clear" w:color="auto" w:fill="0094FF"/>
          </w:tcPr>
          <w:p>
            <w:pPr>
              <w:spacing w:after="0"/>
              <w:rPr>
                <w:sz w:val="9"/>
                <w:szCs w:val="9"/>
                <w:color w:val="auto"/>
              </w:rPr>
            </w:pPr>
          </w:p>
        </w:tc>
        <w:tc>
          <w:tcPr>
            <w:tcW w:w="1220" w:type="dxa"/>
            <w:vAlign w:val="bottom"/>
            <w:gridSpan w:val="2"/>
            <w:vMerge w:val="continue"/>
            <w:shd w:val="clear" w:color="auto" w:fill="0094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0094FF"/>
          </w:tcPr>
          <w:p>
            <w:pPr>
              <w:spacing w:after="0"/>
              <w:rPr>
                <w:sz w:val="20"/>
                <w:szCs w:val="20"/>
                <w:color w:val="auto"/>
              </w:rPr>
            </w:pPr>
          </w:p>
        </w:tc>
        <w:tc>
          <w:tcPr>
            <w:tcW w:w="100" w:type="dxa"/>
            <w:vAlign w:val="bottom"/>
            <w:shd w:val="clear" w:color="auto" w:fill="0094FF"/>
          </w:tcPr>
          <w:p>
            <w:pPr>
              <w:spacing w:after="0"/>
              <w:rPr>
                <w:sz w:val="20"/>
                <w:szCs w:val="20"/>
                <w:color w:val="auto"/>
              </w:rPr>
            </w:pPr>
          </w:p>
        </w:tc>
        <w:tc>
          <w:tcPr>
            <w:tcW w:w="100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Shares</w:t>
            </w:r>
          </w:p>
        </w:tc>
        <w:tc>
          <w:tcPr>
            <w:tcW w:w="1260" w:type="dxa"/>
            <w:vAlign w:val="bottom"/>
            <w:gridSpan w:val="2"/>
            <w:shd w:val="clear" w:color="auto" w:fill="0094FF"/>
          </w:tcPr>
          <w:p>
            <w:pPr>
              <w:jc w:val="right"/>
              <w:ind w:right="230"/>
              <w:spacing w:after="0"/>
              <w:rPr>
                <w:sz w:val="20"/>
                <w:szCs w:val="20"/>
                <w:color w:val="auto"/>
              </w:rPr>
            </w:pPr>
            <w:r>
              <w:rPr>
                <w:rFonts w:ascii="Arial" w:cs="Arial" w:eastAsia="Arial" w:hAnsi="Arial"/>
                <w:sz w:val="18"/>
                <w:szCs w:val="18"/>
                <w:color w:val="FFFFFF"/>
              </w:rPr>
              <w:t>Amount</w:t>
            </w:r>
          </w:p>
        </w:tc>
        <w:tc>
          <w:tcPr>
            <w:tcW w:w="180" w:type="dxa"/>
            <w:vAlign w:val="bottom"/>
            <w:shd w:val="clear" w:color="auto" w:fill="0094FF"/>
          </w:tcPr>
          <w:p>
            <w:pPr>
              <w:spacing w:after="0"/>
              <w:rPr>
                <w:sz w:val="20"/>
                <w:szCs w:val="20"/>
                <w:color w:val="auto"/>
              </w:rPr>
            </w:pPr>
          </w:p>
        </w:tc>
        <w:tc>
          <w:tcPr>
            <w:tcW w:w="86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Capital</w:t>
            </w:r>
          </w:p>
        </w:tc>
        <w:tc>
          <w:tcPr>
            <w:tcW w:w="10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170"/>
              <w:spacing w:after="0"/>
              <w:rPr>
                <w:sz w:val="20"/>
                <w:szCs w:val="20"/>
                <w:color w:val="auto"/>
              </w:rPr>
            </w:pPr>
            <w:r>
              <w:rPr>
                <w:rFonts w:ascii="Arial" w:cs="Arial" w:eastAsia="Arial" w:hAnsi="Arial"/>
                <w:sz w:val="18"/>
                <w:szCs w:val="18"/>
                <w:color w:val="FFFFFF"/>
              </w:rPr>
              <w:t>Shares</w:t>
            </w:r>
          </w:p>
        </w:tc>
        <w:tc>
          <w:tcPr>
            <w:tcW w:w="1220" w:type="dxa"/>
            <w:vAlign w:val="bottom"/>
            <w:gridSpan w:val="2"/>
            <w:shd w:val="clear" w:color="auto" w:fill="0094FF"/>
          </w:tcPr>
          <w:p>
            <w:pPr>
              <w:ind w:left="100"/>
              <w:spacing w:after="0"/>
              <w:rPr>
                <w:sz w:val="20"/>
                <w:szCs w:val="20"/>
                <w:color w:val="auto"/>
              </w:rPr>
            </w:pPr>
            <w:r>
              <w:rPr>
                <w:rFonts w:ascii="Arial" w:cs="Arial" w:eastAsia="Arial" w:hAnsi="Arial"/>
                <w:sz w:val="18"/>
                <w:szCs w:val="18"/>
                <w:color w:val="FFFFFF"/>
              </w:rPr>
              <w:t>Amount</w:t>
            </w:r>
          </w:p>
        </w:tc>
        <w:tc>
          <w:tcPr>
            <w:tcW w:w="120" w:type="dxa"/>
            <w:vAlign w:val="bottom"/>
            <w:shd w:val="clear" w:color="auto" w:fill="0094FF"/>
          </w:tcPr>
          <w:p>
            <w:pPr>
              <w:spacing w:after="0"/>
              <w:rPr>
                <w:sz w:val="20"/>
                <w:szCs w:val="20"/>
                <w:color w:val="auto"/>
              </w:rPr>
            </w:pPr>
          </w:p>
        </w:tc>
        <w:tc>
          <w:tcPr>
            <w:tcW w:w="124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Loss</w:t>
            </w:r>
          </w:p>
        </w:tc>
        <w:tc>
          <w:tcPr>
            <w:tcW w:w="200" w:type="dxa"/>
            <w:vAlign w:val="bottom"/>
            <w:shd w:val="clear" w:color="auto" w:fill="0094FF"/>
          </w:tcPr>
          <w:p>
            <w:pPr>
              <w:spacing w:after="0"/>
              <w:rPr>
                <w:sz w:val="20"/>
                <w:szCs w:val="20"/>
                <w:color w:val="auto"/>
              </w:rPr>
            </w:pPr>
          </w:p>
        </w:tc>
        <w:tc>
          <w:tcPr>
            <w:tcW w:w="94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Earnings</w:t>
            </w:r>
          </w:p>
        </w:tc>
        <w:tc>
          <w:tcPr>
            <w:tcW w:w="300" w:type="dxa"/>
            <w:vAlign w:val="bottom"/>
            <w:shd w:val="clear" w:color="auto" w:fill="0094FF"/>
          </w:tcPr>
          <w:p>
            <w:pPr>
              <w:spacing w:after="0"/>
              <w:rPr>
                <w:sz w:val="20"/>
                <w:szCs w:val="20"/>
                <w:color w:val="auto"/>
              </w:rPr>
            </w:pPr>
          </w:p>
        </w:tc>
        <w:tc>
          <w:tcPr>
            <w:tcW w:w="92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Equity</w:t>
            </w:r>
          </w:p>
        </w:tc>
        <w:tc>
          <w:tcPr>
            <w:tcW w:w="0" w:type="dxa"/>
            <w:vAlign w:val="bottom"/>
          </w:tcPr>
          <w:p>
            <w:pPr>
              <w:spacing w:after="0"/>
              <w:rPr>
                <w:sz w:val="1"/>
                <w:szCs w:val="1"/>
                <w:color w:val="auto"/>
              </w:rPr>
            </w:pPr>
          </w:p>
        </w:tc>
      </w:tr>
      <w:tr>
        <w:trPr>
          <w:trHeight w:val="490"/>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Balance at</w:t>
            </w:r>
          </w:p>
        </w:tc>
        <w:tc>
          <w:tcPr>
            <w:tcW w:w="100" w:type="dxa"/>
            <w:vAlign w:val="bottom"/>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78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060" w:type="dxa"/>
            <w:vAlign w:val="bottom"/>
            <w:shd w:val="clear" w:color="auto" w:fill="E5E5E5"/>
          </w:tcPr>
          <w:p>
            <w:pPr>
              <w:spacing w:after="0"/>
              <w:rPr>
                <w:sz w:val="24"/>
                <w:szCs w:val="24"/>
                <w:color w:val="auto"/>
              </w:rPr>
            </w:pPr>
          </w:p>
        </w:tc>
        <w:tc>
          <w:tcPr>
            <w:tcW w:w="38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24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20"/>
                <w:szCs w:val="20"/>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52.4</w:t>
            </w:r>
          </w:p>
        </w:tc>
        <w:tc>
          <w:tcPr>
            <w:tcW w:w="780" w:type="dxa"/>
            <w:vAlign w:val="bottom"/>
            <w:shd w:val="clear" w:color="auto" w:fill="E5E5E5"/>
          </w:tcPr>
          <w:p>
            <w:pPr>
              <w:jc w:val="right"/>
              <w:ind w:right="450"/>
              <w:spacing w:after="0"/>
              <w:rPr>
                <w:sz w:val="20"/>
                <w:szCs w:val="20"/>
                <w:color w:val="auto"/>
              </w:rPr>
            </w:pPr>
            <w:r>
              <w:rPr>
                <w:rFonts w:ascii="Arial" w:cs="Arial" w:eastAsia="Arial" w:hAnsi="Arial"/>
                <w:sz w:val="18"/>
                <w:szCs w:val="18"/>
                <w:color w:val="1B51BF"/>
              </w:rPr>
              <w:t>$</w:t>
            </w:r>
          </w:p>
        </w:tc>
        <w:tc>
          <w:tcPr>
            <w:tcW w:w="48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w w:val="95"/>
              </w:rPr>
              <w:t>0.1</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688.6</w:t>
            </w:r>
          </w:p>
        </w:tc>
        <w:tc>
          <w:tcPr>
            <w:tcW w:w="116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color w:val="1B51BF"/>
              </w:rPr>
              <w:t>(1.2)</w:t>
            </w:r>
          </w:p>
        </w:tc>
        <w:tc>
          <w:tcPr>
            <w:tcW w:w="380" w:type="dxa"/>
            <w:vAlign w:val="bottom"/>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8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(39.6)</w:t>
            </w:r>
          </w:p>
        </w:tc>
        <w:tc>
          <w:tcPr>
            <w:tcW w:w="120" w:type="dxa"/>
            <w:vAlign w:val="bottom"/>
            <w:shd w:val="clear" w:color="auto" w:fill="E5E5E5"/>
          </w:tcPr>
          <w:p>
            <w:pPr>
              <w:ind w:left="20"/>
              <w:spacing w:after="0"/>
              <w:rPr>
                <w:sz w:val="20"/>
                <w:szCs w:val="20"/>
                <w:color w:val="auto"/>
              </w:rPr>
            </w:pPr>
            <w:r>
              <w:rPr>
                <w:rFonts w:ascii="Arial" w:cs="Arial" w:eastAsia="Arial" w:hAnsi="Arial"/>
                <w:sz w:val="18"/>
                <w:szCs w:val="18"/>
                <w:color w:val="1B51BF"/>
                <w:w w:val="79"/>
              </w:rPr>
              <w:t>$</w:t>
            </w:r>
          </w:p>
        </w:tc>
        <w:tc>
          <w:tcPr>
            <w:tcW w:w="12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(5.5)</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367.3</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1,010.9</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Employee equity plans</w:t>
            </w:r>
          </w:p>
        </w:tc>
        <w:tc>
          <w:tcPr>
            <w:tcW w:w="100" w:type="dxa"/>
            <w:vAlign w:val="bottom"/>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20" w:type="dxa"/>
            <w:vAlign w:val="bottom"/>
          </w:tcPr>
          <w:p>
            <w:pPr>
              <w:ind w:left="40"/>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8"/>
                <w:szCs w:val="18"/>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0.3</w:t>
            </w:r>
          </w:p>
        </w:tc>
        <w:tc>
          <w:tcPr>
            <w:tcW w:w="7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13.2</w:t>
            </w: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(0.1)</w:t>
            </w:r>
          </w:p>
        </w:tc>
        <w:tc>
          <w:tcPr>
            <w:tcW w:w="12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13.1</w:t>
            </w:r>
          </w:p>
        </w:tc>
        <w:tc>
          <w:tcPr>
            <w:tcW w:w="0" w:type="dxa"/>
            <w:vAlign w:val="bottom"/>
          </w:tcPr>
          <w:p>
            <w:pPr>
              <w:spacing w:after="0"/>
              <w:rPr>
                <w:sz w:val="1"/>
                <w:szCs w:val="1"/>
                <w:color w:val="auto"/>
              </w:rPr>
            </w:pP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3"/>
                <w:szCs w:val="23"/>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780" w:type="dxa"/>
            <w:vAlign w:val="bottom"/>
            <w:shd w:val="clear" w:color="auto" w:fill="E5E5E5"/>
          </w:tcPr>
          <w:p>
            <w:pPr>
              <w:spacing w:after="0"/>
              <w:rPr>
                <w:sz w:val="23"/>
                <w:szCs w:val="23"/>
                <w:color w:val="auto"/>
              </w:rPr>
            </w:pPr>
          </w:p>
        </w:tc>
        <w:tc>
          <w:tcPr>
            <w:tcW w:w="48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23"/>
                <w:szCs w:val="23"/>
                <w:color w:val="auto"/>
              </w:rPr>
            </w:pPr>
          </w:p>
        </w:tc>
        <w:tc>
          <w:tcPr>
            <w:tcW w:w="10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3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2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23"/>
                <w:szCs w:val="23"/>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(35.6)</w:t>
            </w:r>
          </w:p>
        </w:tc>
        <w:tc>
          <w:tcPr>
            <w:tcW w:w="300" w:type="dxa"/>
            <w:vAlign w:val="bottom"/>
            <w:shd w:val="clear" w:color="auto" w:fill="E5E5E5"/>
          </w:tcPr>
          <w:p>
            <w:pPr>
              <w:spacing w:after="0"/>
              <w:rPr>
                <w:sz w:val="23"/>
                <w:szCs w:val="23"/>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(35.6)</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10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78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Borders>
              <w:bottom w:val="single" w:sz="8" w:color="auto"/>
            </w:tcBorders>
            <w:shd w:val="clear" w:color="auto" w:fill="E5E5E5"/>
          </w:tcPr>
          <w:p>
            <w:pPr>
              <w:spacing w:after="0"/>
              <w:rPr>
                <w:sz w:val="19"/>
                <w:szCs w:val="19"/>
                <w:color w:val="auto"/>
              </w:rPr>
            </w:pPr>
          </w:p>
        </w:tc>
        <w:tc>
          <w:tcPr>
            <w:tcW w:w="106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38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auto"/>
            </w:tcBorders>
            <w:shd w:val="clear" w:color="auto" w:fill="E5E5E5"/>
          </w:tcPr>
          <w:p>
            <w:pPr>
              <w:spacing w:after="0"/>
              <w:rPr>
                <w:sz w:val="19"/>
                <w:szCs w:val="19"/>
                <w:color w:val="auto"/>
              </w:rPr>
            </w:pPr>
          </w:p>
        </w:tc>
        <w:tc>
          <w:tcPr>
            <w:tcW w:w="124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1B51BF"/>
              </w:rPr>
              <w:t>0.5</w:t>
            </w:r>
          </w:p>
        </w:tc>
        <w:tc>
          <w:tcPr>
            <w:tcW w:w="200" w:type="dxa"/>
            <w:vAlign w:val="bottom"/>
            <w:tcBorders>
              <w:bottom w:val="single" w:sz="8" w:color="auto"/>
            </w:tcBorders>
            <w:shd w:val="clear" w:color="auto" w:fill="E5E5E5"/>
          </w:tcPr>
          <w:p>
            <w:pPr>
              <w:spacing w:after="0"/>
              <w:rPr>
                <w:sz w:val="19"/>
                <w:szCs w:val="19"/>
                <w:color w:val="auto"/>
              </w:rPr>
            </w:pPr>
          </w:p>
        </w:tc>
        <w:tc>
          <w:tcPr>
            <w:tcW w:w="94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0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0.5</w:t>
            </w:r>
          </w:p>
        </w:tc>
        <w:tc>
          <w:tcPr>
            <w:tcW w:w="0" w:type="dxa"/>
            <w:vAlign w:val="bottom"/>
          </w:tcPr>
          <w:p>
            <w:pPr>
              <w:spacing w:after="0"/>
              <w:rPr>
                <w:sz w:val="1"/>
                <w:szCs w:val="1"/>
                <w:color w:val="auto"/>
              </w:rPr>
            </w:pPr>
          </w:p>
        </w:tc>
      </w:tr>
      <w:tr>
        <w:trPr>
          <w:trHeight w:val="193"/>
        </w:trPr>
        <w:tc>
          <w:tcPr>
            <w:tcW w:w="192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Balance at June 30,</w:t>
            </w:r>
          </w:p>
        </w:tc>
        <w:tc>
          <w:tcPr>
            <w:tcW w:w="100" w:type="dxa"/>
            <w:vAlign w:val="bottom"/>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0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52.7</w:t>
            </w:r>
          </w:p>
        </w:tc>
        <w:tc>
          <w:tcPr>
            <w:tcW w:w="780" w:type="dxa"/>
            <w:vAlign w:val="bottom"/>
            <w:tcBorders>
              <w:bottom w:val="single" w:sz="8" w:color="auto"/>
            </w:tcBorders>
            <w:shd w:val="clear" w:color="auto" w:fill="E5E5E5"/>
          </w:tcPr>
          <w:p>
            <w:pPr>
              <w:jc w:val="right"/>
              <w:ind w:right="450"/>
              <w:spacing w:after="0"/>
              <w:rPr>
                <w:sz w:val="20"/>
                <w:szCs w:val="20"/>
                <w:color w:val="auto"/>
              </w:rPr>
            </w:pPr>
            <w:r>
              <w:rPr>
                <w:rFonts w:ascii="Arial" w:cs="Arial" w:eastAsia="Arial" w:hAnsi="Arial"/>
                <w:sz w:val="18"/>
                <w:szCs w:val="18"/>
                <w:color w:val="1B51BF"/>
              </w:rPr>
              <w:t>$</w:t>
            </w:r>
          </w:p>
        </w:tc>
        <w:tc>
          <w:tcPr>
            <w:tcW w:w="48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w w:val="95"/>
              </w:rPr>
              <w:t>0.1</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701.8</w:t>
            </w:r>
          </w:p>
        </w:tc>
        <w:tc>
          <w:tcPr>
            <w:tcW w:w="1160" w:type="dxa"/>
            <w:vAlign w:val="bottom"/>
            <w:tcBorders>
              <w:bottom w:val="single" w:sz="8" w:color="auto"/>
            </w:tcBorders>
            <w:gridSpan w:val="2"/>
            <w:shd w:val="clear" w:color="auto" w:fill="E5E5E5"/>
          </w:tcPr>
          <w:p>
            <w:pPr>
              <w:jc w:val="right"/>
              <w:ind w:right="10"/>
              <w:spacing w:after="0"/>
              <w:rPr>
                <w:sz w:val="20"/>
                <w:szCs w:val="20"/>
                <w:color w:val="auto"/>
              </w:rPr>
            </w:pPr>
            <w:r>
              <w:rPr>
                <w:rFonts w:ascii="Arial" w:cs="Arial" w:eastAsia="Arial" w:hAnsi="Arial"/>
                <w:sz w:val="18"/>
                <w:szCs w:val="18"/>
                <w:color w:val="1B51BF"/>
              </w:rPr>
              <w:t>(1.2)</w:t>
            </w:r>
          </w:p>
        </w:tc>
        <w:tc>
          <w:tcPr>
            <w:tcW w:w="38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84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1B51BF"/>
              </w:rPr>
              <w:t>(39.7)</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color w:val="1B51BF"/>
                <w:w w:val="79"/>
              </w:rPr>
              <w:t>$</w:t>
            </w:r>
          </w:p>
        </w:tc>
        <w:tc>
          <w:tcPr>
            <w:tcW w:w="12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(5.0)</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4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1B51BF"/>
              </w:rPr>
              <w:t>331.7</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9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988.9</w:t>
            </w:r>
          </w:p>
        </w:tc>
        <w:tc>
          <w:tcPr>
            <w:tcW w:w="0" w:type="dxa"/>
            <w:vAlign w:val="bottom"/>
          </w:tcPr>
          <w:p>
            <w:pPr>
              <w:spacing w:after="0"/>
              <w:rPr>
                <w:sz w:val="1"/>
                <w:szCs w:val="1"/>
                <w:color w:val="auto"/>
              </w:rPr>
            </w:pPr>
          </w:p>
        </w:tc>
      </w:tr>
      <w:tr>
        <w:trPr>
          <w:trHeight w:val="484"/>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Balance at March 31,</w:t>
            </w:r>
          </w:p>
        </w:tc>
        <w:tc>
          <w:tcPr>
            <w:tcW w:w="100" w:type="dxa"/>
            <w:vAlign w:val="bottom"/>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78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060" w:type="dxa"/>
            <w:vAlign w:val="bottom"/>
            <w:shd w:val="clear" w:color="auto" w:fill="E5E5E5"/>
          </w:tcPr>
          <w:p>
            <w:pPr>
              <w:spacing w:after="0"/>
              <w:rPr>
                <w:sz w:val="24"/>
                <w:szCs w:val="24"/>
                <w:color w:val="auto"/>
              </w:rPr>
            </w:pPr>
          </w:p>
        </w:tc>
        <w:tc>
          <w:tcPr>
            <w:tcW w:w="38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24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52.6</w:t>
            </w:r>
          </w:p>
        </w:tc>
        <w:tc>
          <w:tcPr>
            <w:tcW w:w="780" w:type="dxa"/>
            <w:vAlign w:val="bottom"/>
            <w:shd w:val="clear" w:color="auto" w:fill="E5E5E5"/>
          </w:tcPr>
          <w:p>
            <w:pPr>
              <w:jc w:val="right"/>
              <w:ind w:right="450"/>
              <w:spacing w:after="0"/>
              <w:rPr>
                <w:sz w:val="20"/>
                <w:szCs w:val="20"/>
                <w:color w:val="auto"/>
              </w:rPr>
            </w:pPr>
            <w:r>
              <w:rPr>
                <w:rFonts w:ascii="Arial" w:cs="Arial" w:eastAsia="Arial" w:hAnsi="Arial"/>
                <w:sz w:val="18"/>
                <w:szCs w:val="18"/>
                <w:color w:val="1B51BF"/>
              </w:rPr>
              <w:t>$</w:t>
            </w:r>
          </w:p>
        </w:tc>
        <w:tc>
          <w:tcPr>
            <w:tcW w:w="48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w w:val="95"/>
              </w:rPr>
              <w:t>0.1</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690.1</w:t>
            </w:r>
          </w:p>
        </w:tc>
        <w:tc>
          <w:tcPr>
            <w:tcW w:w="116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color w:val="1B51BF"/>
              </w:rPr>
              <w:t>(1.2)</w:t>
            </w:r>
          </w:p>
        </w:tc>
        <w:tc>
          <w:tcPr>
            <w:tcW w:w="380" w:type="dxa"/>
            <w:vAlign w:val="bottom"/>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8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(39.6)</w:t>
            </w:r>
          </w:p>
        </w:tc>
        <w:tc>
          <w:tcPr>
            <w:tcW w:w="120" w:type="dxa"/>
            <w:vAlign w:val="bottom"/>
            <w:shd w:val="clear" w:color="auto" w:fill="E5E5E5"/>
          </w:tcPr>
          <w:p>
            <w:pPr>
              <w:ind w:left="20"/>
              <w:spacing w:after="0"/>
              <w:rPr>
                <w:sz w:val="20"/>
                <w:szCs w:val="20"/>
                <w:color w:val="auto"/>
              </w:rPr>
            </w:pPr>
            <w:r>
              <w:rPr>
                <w:rFonts w:ascii="Arial" w:cs="Arial" w:eastAsia="Arial" w:hAnsi="Arial"/>
                <w:sz w:val="18"/>
                <w:szCs w:val="18"/>
                <w:color w:val="1B51BF"/>
                <w:w w:val="79"/>
              </w:rPr>
              <w:t>$</w:t>
            </w:r>
          </w:p>
        </w:tc>
        <w:tc>
          <w:tcPr>
            <w:tcW w:w="12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(4.5)</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341.2</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987.3</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Employee equity plans</w:t>
            </w:r>
          </w:p>
        </w:tc>
        <w:tc>
          <w:tcPr>
            <w:tcW w:w="100" w:type="dxa"/>
            <w:vAlign w:val="bottom"/>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20" w:type="dxa"/>
            <w:vAlign w:val="bottom"/>
          </w:tcPr>
          <w:p>
            <w:pPr>
              <w:ind w:left="40"/>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8"/>
                <w:szCs w:val="18"/>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0.1</w:t>
            </w:r>
          </w:p>
        </w:tc>
        <w:tc>
          <w:tcPr>
            <w:tcW w:w="7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11.7</w:t>
            </w: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(0.1)</w:t>
            </w:r>
          </w:p>
        </w:tc>
        <w:tc>
          <w:tcPr>
            <w:tcW w:w="12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11.6</w:t>
            </w:r>
          </w:p>
        </w:tc>
        <w:tc>
          <w:tcPr>
            <w:tcW w:w="0" w:type="dxa"/>
            <w:vAlign w:val="bottom"/>
          </w:tcPr>
          <w:p>
            <w:pPr>
              <w:spacing w:after="0"/>
              <w:rPr>
                <w:sz w:val="1"/>
                <w:szCs w:val="1"/>
                <w:color w:val="auto"/>
              </w:rPr>
            </w:pP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3"/>
                <w:szCs w:val="23"/>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780" w:type="dxa"/>
            <w:vAlign w:val="bottom"/>
            <w:shd w:val="clear" w:color="auto" w:fill="E5E5E5"/>
          </w:tcPr>
          <w:p>
            <w:pPr>
              <w:spacing w:after="0"/>
              <w:rPr>
                <w:sz w:val="23"/>
                <w:szCs w:val="23"/>
                <w:color w:val="auto"/>
              </w:rPr>
            </w:pPr>
          </w:p>
        </w:tc>
        <w:tc>
          <w:tcPr>
            <w:tcW w:w="48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23"/>
                <w:szCs w:val="23"/>
                <w:color w:val="auto"/>
              </w:rPr>
            </w:pPr>
          </w:p>
        </w:tc>
        <w:tc>
          <w:tcPr>
            <w:tcW w:w="10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3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2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23"/>
                <w:szCs w:val="23"/>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(9.5)</w:t>
            </w:r>
          </w:p>
        </w:tc>
        <w:tc>
          <w:tcPr>
            <w:tcW w:w="300" w:type="dxa"/>
            <w:vAlign w:val="bottom"/>
            <w:shd w:val="clear" w:color="auto" w:fill="E5E5E5"/>
          </w:tcPr>
          <w:p>
            <w:pPr>
              <w:spacing w:after="0"/>
              <w:rPr>
                <w:sz w:val="23"/>
                <w:szCs w:val="23"/>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(9.5)</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9"/>
                <w:szCs w:val="19"/>
                <w:color w:val="auto"/>
              </w:rPr>
            </w:pPr>
          </w:p>
        </w:tc>
        <w:tc>
          <w:tcPr>
            <w:tcW w:w="10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78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Borders>
              <w:bottom w:val="single" w:sz="8" w:color="auto"/>
            </w:tcBorders>
            <w:shd w:val="clear" w:color="auto" w:fill="E5E5E5"/>
          </w:tcPr>
          <w:p>
            <w:pPr>
              <w:spacing w:after="0"/>
              <w:rPr>
                <w:sz w:val="19"/>
                <w:szCs w:val="19"/>
                <w:color w:val="auto"/>
              </w:rPr>
            </w:pPr>
          </w:p>
        </w:tc>
        <w:tc>
          <w:tcPr>
            <w:tcW w:w="106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38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auto"/>
            </w:tcBorders>
            <w:shd w:val="clear" w:color="auto" w:fill="E5E5E5"/>
          </w:tcPr>
          <w:p>
            <w:pPr>
              <w:spacing w:after="0"/>
              <w:rPr>
                <w:sz w:val="19"/>
                <w:szCs w:val="19"/>
                <w:color w:val="auto"/>
              </w:rPr>
            </w:pPr>
          </w:p>
        </w:tc>
        <w:tc>
          <w:tcPr>
            <w:tcW w:w="12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(0.5)</w:t>
            </w:r>
          </w:p>
        </w:tc>
        <w:tc>
          <w:tcPr>
            <w:tcW w:w="200" w:type="dxa"/>
            <w:vAlign w:val="bottom"/>
            <w:tcBorders>
              <w:bottom w:val="single" w:sz="8" w:color="auto"/>
            </w:tcBorders>
            <w:shd w:val="clear" w:color="auto" w:fill="E5E5E5"/>
          </w:tcPr>
          <w:p>
            <w:pPr>
              <w:spacing w:after="0"/>
              <w:rPr>
                <w:sz w:val="19"/>
                <w:szCs w:val="19"/>
                <w:color w:val="auto"/>
              </w:rPr>
            </w:pPr>
          </w:p>
        </w:tc>
        <w:tc>
          <w:tcPr>
            <w:tcW w:w="94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0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(0.5)</w:t>
            </w:r>
          </w:p>
        </w:tc>
        <w:tc>
          <w:tcPr>
            <w:tcW w:w="0" w:type="dxa"/>
            <w:vAlign w:val="bottom"/>
          </w:tcPr>
          <w:p>
            <w:pPr>
              <w:spacing w:after="0"/>
              <w:rPr>
                <w:sz w:val="1"/>
                <w:szCs w:val="1"/>
                <w:color w:val="auto"/>
              </w:rPr>
            </w:pPr>
          </w:p>
        </w:tc>
      </w:tr>
      <w:tr>
        <w:trPr>
          <w:trHeight w:val="193"/>
        </w:trPr>
        <w:tc>
          <w:tcPr>
            <w:tcW w:w="192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Balance at June 30,</w:t>
            </w:r>
          </w:p>
        </w:tc>
        <w:tc>
          <w:tcPr>
            <w:tcW w:w="100" w:type="dxa"/>
            <w:vAlign w:val="bottom"/>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52.7</w:t>
            </w:r>
          </w:p>
        </w:tc>
        <w:tc>
          <w:tcPr>
            <w:tcW w:w="780" w:type="dxa"/>
            <w:vAlign w:val="bottom"/>
            <w:tcBorders>
              <w:bottom w:val="single" w:sz="8" w:color="auto"/>
            </w:tcBorders>
            <w:shd w:val="clear" w:color="auto" w:fill="E5E5E5"/>
          </w:tcPr>
          <w:p>
            <w:pPr>
              <w:jc w:val="right"/>
              <w:ind w:right="450"/>
              <w:spacing w:after="0"/>
              <w:rPr>
                <w:sz w:val="20"/>
                <w:szCs w:val="20"/>
                <w:color w:val="auto"/>
              </w:rPr>
            </w:pPr>
            <w:r>
              <w:rPr>
                <w:rFonts w:ascii="Arial" w:cs="Arial" w:eastAsia="Arial" w:hAnsi="Arial"/>
                <w:sz w:val="18"/>
                <w:szCs w:val="18"/>
                <w:color w:val="1B51BF"/>
              </w:rPr>
              <w:t>$</w:t>
            </w:r>
          </w:p>
        </w:tc>
        <w:tc>
          <w:tcPr>
            <w:tcW w:w="48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w w:val="95"/>
              </w:rPr>
              <w:t>0.1</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701.8</w:t>
            </w:r>
          </w:p>
        </w:tc>
        <w:tc>
          <w:tcPr>
            <w:tcW w:w="10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1B51BF"/>
              </w:rPr>
              <w:t>(1.2)</w:t>
            </w:r>
          </w:p>
        </w:tc>
        <w:tc>
          <w:tcPr>
            <w:tcW w:w="38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84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1B51BF"/>
              </w:rPr>
              <w:t>(39.7)</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color w:val="1B51BF"/>
                <w:w w:val="79"/>
              </w:rPr>
              <w:t>$</w:t>
            </w:r>
          </w:p>
        </w:tc>
        <w:tc>
          <w:tcPr>
            <w:tcW w:w="12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(5.0)</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4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1B51BF"/>
              </w:rPr>
              <w:t>331.7</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9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988.9</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at December</w:t>
            </w: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31, 2017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50.6</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95"/>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618.4</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(39.5)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337.1</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Adoption of new</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revenue accounting</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standard (ASC 606),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93"/>
        </w:trPr>
        <w:tc>
          <w:tcPr>
            <w:tcW w:w="192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Balance at January 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50.6</w:t>
            </w:r>
          </w:p>
        </w:tc>
        <w:tc>
          <w:tcPr>
            <w:tcW w:w="78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0.1</w:t>
            </w:r>
          </w:p>
        </w:tc>
        <w:tc>
          <w:tcPr>
            <w:tcW w:w="1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618.4</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(39.5)</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304.6</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879.8</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Employee equity plans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20" w:type="dxa"/>
            <w:vAlign w:val="bottom"/>
          </w:tcPr>
          <w:p>
            <w:pPr>
              <w:ind w:left="40"/>
              <w:spacing w:after="0"/>
              <w:rPr>
                <w:sz w:val="20"/>
                <w:szCs w:val="20"/>
                <w:color w:val="auto"/>
              </w:rPr>
            </w:pPr>
            <w:r>
              <w:rPr>
                <w:rFonts w:ascii="Arial" w:cs="Arial" w:eastAsia="Arial" w:hAnsi="Arial"/>
                <w:sz w:val="18"/>
                <w:szCs w:val="18"/>
                <w:color w:val="auto"/>
              </w:rPr>
              <w:t>activity</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78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3"/>
        </w:trPr>
        <w:tc>
          <w:tcPr>
            <w:tcW w:w="192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Balance at 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51.2</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95"/>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632.5</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(39.6)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349.8</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at March 31,</w:t>
            </w: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51.0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95"/>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624.4</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(39.6)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299.7</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Employee equity plans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20" w:type="dxa"/>
            <w:vAlign w:val="bottom"/>
          </w:tcPr>
          <w:p>
            <w:pPr>
              <w:ind w:left="40"/>
              <w:spacing w:after="0"/>
              <w:rPr>
                <w:sz w:val="20"/>
                <w:szCs w:val="20"/>
                <w:color w:val="auto"/>
              </w:rPr>
            </w:pPr>
            <w:r>
              <w:rPr>
                <w:rFonts w:ascii="Arial" w:cs="Arial" w:eastAsia="Arial" w:hAnsi="Arial"/>
                <w:sz w:val="18"/>
                <w:szCs w:val="18"/>
                <w:color w:val="auto"/>
              </w:rPr>
              <w:t>activity</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78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3"/>
        </w:trPr>
        <w:tc>
          <w:tcPr>
            <w:tcW w:w="192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Balance at 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51.2</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95"/>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632.5</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(39.6)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349.8</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See accompanying notes.</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C2C2C"/>
        </w:rPr>
        <w:t>9</w:t>
      </w:r>
    </w:p>
    <w:p>
      <w:pPr>
        <w:sectPr>
          <w:pgSz w:w="11900" w:h="16838" w:orient="portrait"/>
          <w:cols w:equalWidth="0" w:num="1">
            <w:col w:w="11420"/>
          </w:cols>
          <w:pgMar w:left="240" w:top="35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b w:val="1"/>
          <w:bCs w:val="1"/>
          <w:color w:val="00497F"/>
        </w:rPr>
      </w:pPr>
      <w:r>
        <w:rPr>
          <w:rFonts w:ascii="Arial" w:cs="Arial" w:eastAsia="Arial" w:hAnsi="Arial"/>
          <w:sz w:val="20"/>
          <w:szCs w:val="20"/>
          <w:b w:val="1"/>
          <w:bCs w:val="1"/>
          <w:color w:val="00497F"/>
        </w:rPr>
        <w:t>Business</w:t>
      </w:r>
    </w:p>
    <w:p>
      <w:pPr>
        <w:spacing w:after="0" w:line="24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Emergent is a global life sciences company focused on providing specialty products for civilian and military populations that address accidental, deliberate and naturally occurring PHTs.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The Company is focused on innovative preparedness and response products and solutions addressing the following four distinct PHT categories: Chemical, Biological, Radiological, Nuclear and Explosives (CBRNE); emerging infectious diseases (EID); travelers’ diseases; and opioids. The USG is the Company's largest customer and provides the Company with substantial funding for the development of a number of the Company's product candidates.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majority of the Company's revenue comes from a product portfolio that includes:</w:t>
      </w:r>
    </w:p>
    <w:p>
      <w:pPr>
        <w:spacing w:after="0" w:line="171" w:lineRule="exact"/>
        <w:rPr>
          <w:sz w:val="20"/>
          <w:szCs w:val="20"/>
          <w:color w:val="auto"/>
        </w:rPr>
      </w:pPr>
    </w:p>
    <w:p>
      <w:pPr>
        <w:ind w:left="660" w:hanging="328"/>
        <w:spacing w:after="0" w:line="287" w:lineRule="auto"/>
        <w:tabs>
          <w:tab w:leader="none" w:pos="660" w:val="left"/>
        </w:tabs>
        <w:numPr>
          <w:ilvl w:val="0"/>
          <w:numId w:val="4"/>
        </w:numPr>
        <w:rPr>
          <w:rFonts w:ascii="Arial" w:cs="Arial" w:eastAsia="Arial" w:hAnsi="Arial"/>
          <w:sz w:val="18"/>
          <w:szCs w:val="18"/>
          <w:b w:val="1"/>
          <w:bCs w:val="1"/>
          <w:color w:val="00497F"/>
        </w:rPr>
      </w:pPr>
      <w:r>
        <w:rPr>
          <w:rFonts w:ascii="Arial" w:cs="Arial" w:eastAsia="Arial" w:hAnsi="Arial"/>
          <w:sz w:val="18"/>
          <w:szCs w:val="18"/>
          <w:b w:val="1"/>
          <w:bCs w:val="1"/>
          <w:color w:val="00497F"/>
        </w:rPr>
        <w:t xml:space="preserve">Vaccines and Anti-Infectives </w:t>
      </w:r>
      <w:r>
        <w:rPr>
          <w:rFonts w:ascii="Arial" w:cs="Arial" w:eastAsia="Arial" w:hAnsi="Arial"/>
          <w:sz w:val="18"/>
          <w:szCs w:val="18"/>
          <w:b w:val="1"/>
          <w:bCs w:val="1"/>
          <w:color w:val="000000"/>
        </w:rPr>
        <w:t>-</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BioThrax® (Anthrax Vaccine Adsorbed), ACAM2000® (Smallpox (Vaccinia) Vaccine, Live),</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Vaxchora® (Cholera Vaccine, Live, Oral), and Vivotif® (Typhoid Vaccine, Live, Oral Ty21a).</w:t>
      </w:r>
    </w:p>
    <w:p>
      <w:pPr>
        <w:spacing w:after="0" w:line="99" w:lineRule="exact"/>
        <w:rPr>
          <w:rFonts w:ascii="Arial" w:cs="Arial" w:eastAsia="Arial" w:hAnsi="Arial"/>
          <w:sz w:val="18"/>
          <w:szCs w:val="18"/>
          <w:b w:val="1"/>
          <w:bCs w:val="1"/>
          <w:color w:val="00497F"/>
        </w:rPr>
      </w:pPr>
    </w:p>
    <w:p>
      <w:pPr>
        <w:ind w:left="660" w:hanging="328"/>
        <w:spacing w:after="0" w:line="287" w:lineRule="auto"/>
        <w:tabs>
          <w:tab w:leader="none" w:pos="660" w:val="left"/>
        </w:tabs>
        <w:numPr>
          <w:ilvl w:val="0"/>
          <w:numId w:val="4"/>
        </w:numPr>
        <w:rPr>
          <w:rFonts w:ascii="Arial" w:cs="Arial" w:eastAsia="Arial" w:hAnsi="Arial"/>
          <w:sz w:val="18"/>
          <w:szCs w:val="18"/>
          <w:b w:val="1"/>
          <w:bCs w:val="1"/>
          <w:color w:val="00497F"/>
        </w:rPr>
      </w:pPr>
      <w:r>
        <w:rPr>
          <w:rFonts w:ascii="Arial" w:cs="Arial" w:eastAsia="Arial" w:hAnsi="Arial"/>
          <w:sz w:val="18"/>
          <w:szCs w:val="18"/>
          <w:b w:val="1"/>
          <w:bCs w:val="1"/>
          <w:color w:val="00497F"/>
        </w:rPr>
        <w:t xml:space="preserve">Devices </w:t>
      </w:r>
      <w:r>
        <w:rPr>
          <w:rFonts w:ascii="Arial" w:cs="Arial" w:eastAsia="Arial" w:hAnsi="Arial"/>
          <w:sz w:val="18"/>
          <w:szCs w:val="18"/>
          <w:b w:val="1"/>
          <w:bCs w:val="1"/>
          <w:color w:val="000000"/>
        </w:rPr>
        <w:t>-</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NARCAN® (naloxone HCl) Nasal Spray for opioid overdose, RSDL® (Reactive Skin Decontamination Lotion Kit),</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and the Trobigard® (atropine sulfate, obidoxime chloride a nerve agent countermeasure) auto-injector.</w:t>
      </w:r>
    </w:p>
    <w:p>
      <w:pPr>
        <w:spacing w:after="0" w:line="99" w:lineRule="exact"/>
        <w:rPr>
          <w:rFonts w:ascii="Arial" w:cs="Arial" w:eastAsia="Arial" w:hAnsi="Arial"/>
          <w:sz w:val="18"/>
          <w:szCs w:val="18"/>
          <w:b w:val="1"/>
          <w:bCs w:val="1"/>
          <w:color w:val="00497F"/>
        </w:rPr>
      </w:pPr>
    </w:p>
    <w:p>
      <w:pPr>
        <w:jc w:val="both"/>
        <w:ind w:left="660" w:hanging="328"/>
        <w:spacing w:after="0" w:line="269" w:lineRule="auto"/>
        <w:tabs>
          <w:tab w:leader="none" w:pos="660" w:val="left"/>
        </w:tabs>
        <w:numPr>
          <w:ilvl w:val="0"/>
          <w:numId w:val="4"/>
        </w:numPr>
        <w:rPr>
          <w:rFonts w:ascii="Arial" w:cs="Arial" w:eastAsia="Arial" w:hAnsi="Arial"/>
          <w:sz w:val="18"/>
          <w:szCs w:val="18"/>
          <w:b w:val="1"/>
          <w:bCs w:val="1"/>
          <w:color w:val="00497F"/>
        </w:rPr>
      </w:pPr>
      <w:r>
        <w:rPr>
          <w:rFonts w:ascii="Arial" w:cs="Arial" w:eastAsia="Arial" w:hAnsi="Arial"/>
          <w:sz w:val="18"/>
          <w:szCs w:val="18"/>
          <w:b w:val="1"/>
          <w:bCs w:val="1"/>
          <w:color w:val="00497F"/>
        </w:rPr>
        <w:t xml:space="preserve">Antibody Therapeutics - </w:t>
      </w:r>
      <w:r>
        <w:rPr>
          <w:rFonts w:ascii="Arial" w:cs="Arial" w:eastAsia="Arial" w:hAnsi="Arial"/>
          <w:sz w:val="18"/>
          <w:szCs w:val="18"/>
          <w:b w:val="1"/>
          <w:bCs w:val="1"/>
          <w:color w:val="2C2C2C"/>
        </w:rPr>
        <w:t>raxibacumab (Anthrax Monoclonal antibody therapeutic for anthrax), Anthrasil®( Anthrax Immune</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Globulin Intravenous (Human)), BAT®(Botulism Antitoxin Heptavalent), and VIGIV (Vaccinia Immune Globulin Intravenous (Human) therapeutic) for complications from smallpox vaccinations.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The Company also generates revenue from </w:t>
      </w:r>
      <w:r>
        <w:rPr>
          <w:rFonts w:ascii="Arial" w:cs="Arial" w:eastAsia="Arial" w:hAnsi="Arial"/>
          <w:sz w:val="18"/>
          <w:szCs w:val="18"/>
          <w:b w:val="1"/>
          <w:bCs w:val="1"/>
          <w:color w:val="2C2C2C"/>
        </w:rPr>
        <w:t>contract development and manufacturing services</w:t>
      </w:r>
      <w:r>
        <w:rPr>
          <w:rFonts w:ascii="Arial" w:cs="Arial" w:eastAsia="Arial" w:hAnsi="Arial"/>
          <w:sz w:val="18"/>
          <w:szCs w:val="18"/>
          <w:b w:val="1"/>
          <w:bCs w:val="1"/>
          <w:color w:val="auto"/>
        </w:rPr>
        <w:t xml:space="preserve"> including </w:t>
      </w:r>
      <w:r>
        <w:rPr>
          <w:rFonts w:ascii="Arial" w:cs="Arial" w:eastAsia="Arial" w:hAnsi="Arial"/>
          <w:sz w:val="18"/>
          <w:szCs w:val="18"/>
          <w:b w:val="1"/>
          <w:bCs w:val="1"/>
          <w:color w:val="2C2C2C"/>
        </w:rPr>
        <w:t>pharmaceutical product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C2C2C"/>
        </w:rPr>
        <w:t>process development, manufacturing and filling services for injectable and other sterile products, inclusive of process design, technical transfer, manufacturing validations, laboratory analytical development support, aseptic filling, lyophilization, final packaging and accelerated and ongoing stability studies, as well as manufacturing of vial and pre-filled syringe formats, bulk drug products and finished units of clinical and commercial drugs.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We operate as one operating segment.</w:t>
      </w:r>
    </w:p>
    <w:p>
      <w:pPr>
        <w:spacing w:after="0" w:line="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00497F"/>
        </w:rPr>
      </w:pPr>
      <w:r>
        <w:rPr>
          <w:rFonts w:ascii="Arial" w:cs="Arial" w:eastAsia="Arial" w:hAnsi="Arial"/>
          <w:sz w:val="20"/>
          <w:szCs w:val="20"/>
          <w:b w:val="1"/>
          <w:bCs w:val="1"/>
          <w:color w:val="00497F"/>
        </w:rPr>
        <w:t>Basis of Presentation and Principles of Consolidation</w:t>
      </w:r>
    </w:p>
    <w:p>
      <w:pPr>
        <w:spacing w:after="0" w:line="112" w:lineRule="exact"/>
        <w:rPr>
          <w:rFonts w:ascii="Arial" w:cs="Arial" w:eastAsia="Arial" w:hAnsi="Arial"/>
          <w:sz w:val="20"/>
          <w:szCs w:val="20"/>
          <w:b w:val="1"/>
          <w:bCs w:val="1"/>
          <w:color w:val="00497F"/>
        </w:rPr>
      </w:pPr>
    </w:p>
    <w:p>
      <w:pPr>
        <w:ind w:left="340"/>
        <w:spacing w:after="0"/>
        <w:rPr>
          <w:rFonts w:ascii="Arial" w:cs="Arial" w:eastAsia="Arial" w:hAnsi="Arial"/>
          <w:sz w:val="20"/>
          <w:szCs w:val="20"/>
          <w:b w:val="1"/>
          <w:bCs w:val="1"/>
          <w:color w:val="00497F"/>
        </w:rPr>
      </w:pPr>
      <w:r>
        <w:rPr>
          <w:rFonts w:ascii="Arial" w:cs="Arial" w:eastAsia="Arial" w:hAnsi="Arial"/>
          <w:sz w:val="18"/>
          <w:szCs w:val="18"/>
          <w:b w:val="1"/>
          <w:bCs w:val="1"/>
          <w:color w:val="0094FF"/>
        </w:rPr>
        <w:t>Basis of Presentation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2C2C2C"/>
        </w:rPr>
        <w:t>The accompanying unaudited condensed consolidated financial statements include the accounts of Emergent and its wholly-owned subsidiaries. All significant intercompany accounts and transactions have been eliminated in consolidation. The unaudited consolidated financial statements included herein have been prepared in accordance with U.S. generally accepted accounting principles (GAAP) for interim financial information and in accordance with the instructions to Form 10-Q and Article 10 of Regulation S-X issued by the SEC. Certain information and footnote disclosures normally included in consolidated financial statements prepared in accordance with GAAP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2018, as filed with the SEC.</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2C2C2C"/>
        </w:rPr>
        <w:t>All adjustments contained in the accompanying unaudited condensed consolidated financial statements are of a normal recurring nature and are necessary to present fairly the financial position of the Company as of June 30, 2019. Interim results are not necessarily indicative of results that may be expected for any other interim period or for an entire year.</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Significant Accounting Policies</w:t>
      </w:r>
    </w:p>
    <w:p>
      <w:pPr>
        <w:spacing w:after="0" w:line="1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2C2C2C"/>
        </w:rPr>
        <w:t>During the six months ended June 30, 2019, there have been no significant changes to the Company's summary of significant accounting policies contained in the Company's Annual Report on Form 10-K for the year ended December 31, 2018, as filed with the SEC, except for recently adopted accounting standards.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Fair Value Measurements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Separate disclosure is required for assets and liabilities measured at fair value on a recurring basis from those measured at fair value on a non-recurring basis. The Company has interest rate swaps and contingent consideration liabilities that are measured at fair value on a recurring basis (Note 8 and Note 9). The Company also records the assets and liabilities of acquisitions at fair value (Note 3). As of June 30, 2019 and December 31, 2018, the Company had no other significant assets or liabilities that were measured at fair value on a non-recurring basis.</w:t>
      </w:r>
    </w:p>
    <w:p>
      <w:pPr>
        <w:sectPr>
          <w:pgSz w:w="11900" w:h="16838" w:orient="portrait"/>
          <w:cols w:equalWidth="0" w:num="1">
            <w:col w:w="11420"/>
          </w:cols>
          <w:pgMar w:left="240" w:top="118"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Recently Adopted Accounting Pronouncements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Leases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 xml:space="preserve">In February 2016, the Financial Accounting Standards Board (FASB) issued Accounting Standard Update (ASU) 2016-02, </w:t>
      </w:r>
      <w:r>
        <w:rPr>
          <w:rFonts w:ascii="Arial" w:cs="Arial" w:eastAsia="Arial" w:hAnsi="Arial"/>
          <w:sz w:val="18"/>
          <w:szCs w:val="18"/>
          <w:i w:val="1"/>
          <w:iCs w:val="1"/>
          <w:color w:val="auto"/>
        </w:rPr>
        <w:t>Leases</w:t>
      </w:r>
      <w:r>
        <w:rPr>
          <w:rFonts w:ascii="Arial" w:cs="Arial" w:eastAsia="Arial" w:hAnsi="Arial"/>
          <w:sz w:val="18"/>
          <w:szCs w:val="18"/>
          <w:b w:val="1"/>
          <w:bCs w:val="1"/>
          <w:color w:val="auto"/>
        </w:rPr>
        <w:t>, which increases transparency and comparability among organizations by requiring the recognition of lease assets and lease liabilities on the balance sheet and disclosure of key information about leasing arrangements for both lessees and lessors. The Company adopted the new standard effective January 1, 2019 using the modified retrospective approach. As of January 1, 2019 total right of use assets increased $13.4 million, while total operating lease liabilities increased $14.0 million. There was no adjustment to the opening balance of retained earnings as of January 1, 2019. The standard will not materially affect the Company's consolidated net earnings. The Company continues to apply the legacy guidance from the old lease accounting standard, including its disclosure requirements, in the comparative periods presented. The Company did not reassess existing contracts for lease classification or the classification of existing leases or associated costs. The Company will not reflect leases with an initial term of 12 months or less as a right of use asset or liability, but will recognize those lease payments in the consolidated statements of operations on a straight-line basis over the lease term. In addition, the Company will account for non-lease components of the arrangement separate from lease components (see Note 6).</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SEC Simplification</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In August 2018, the SEC issued Final Rule Release No. 33-10532, </w:t>
      </w:r>
      <w:r>
        <w:rPr>
          <w:rFonts w:ascii="Arial" w:cs="Arial" w:eastAsia="Arial" w:hAnsi="Arial"/>
          <w:sz w:val="18"/>
          <w:szCs w:val="18"/>
          <w:b w:val="1"/>
          <w:bCs w:val="1"/>
          <w:i w:val="1"/>
          <w:iCs w:val="1"/>
          <w:color w:val="auto"/>
        </w:rPr>
        <w:t>Disclosure Update and Simplification</w:t>
      </w:r>
      <w:r>
        <w:rPr>
          <w:rFonts w:ascii="Arial" w:cs="Arial" w:eastAsia="Arial" w:hAnsi="Arial"/>
          <w:sz w:val="18"/>
          <w:szCs w:val="18"/>
          <w:b w:val="1"/>
          <w:bCs w:val="1"/>
          <w:color w:val="auto"/>
        </w:rPr>
        <w:t>, which makes a number of changes meant to simplify interim disclosures. The new rule requires a presentation of changes in stockholders’ equity and noncontrolling interest in the form of a reconciliation, for the current and comparative year-to-date interim periods. The Company adopted the new disclosure requirements beginning in its March 31, 2019 Form 10-Q and included these disclosures in the condensed consolidated statements of changes in stockholders' equity. The additional elements of this release did not have a material impact on the Company's overall condensed consolidated financial statements.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Tax Effects from Accumulated Other Comprehensive Income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 xml:space="preserve">In February 2018, the FASB issued ASU 2018-02, </w:t>
      </w:r>
      <w:r>
        <w:rPr>
          <w:rFonts w:ascii="Arial" w:cs="Arial" w:eastAsia="Arial" w:hAnsi="Arial"/>
          <w:sz w:val="18"/>
          <w:szCs w:val="18"/>
          <w:b w:val="1"/>
          <w:bCs w:val="1"/>
          <w:i w:val="1"/>
          <w:iCs w:val="1"/>
          <w:color w:val="2C2C2C"/>
        </w:rPr>
        <w:t>Income Statement—Reporting Comprehensive Income (Topic</w:t>
      </w:r>
      <w:r>
        <w:rPr>
          <w:rFonts w:ascii="Arial" w:cs="Arial" w:eastAsia="Arial" w:hAnsi="Arial"/>
          <w:sz w:val="18"/>
          <w:szCs w:val="18"/>
          <w:b w:val="1"/>
          <w:bCs w:val="1"/>
          <w:color w:val="2C2C2C"/>
        </w:rPr>
        <w:t xml:space="preserve"> </w:t>
      </w:r>
      <w:r>
        <w:rPr>
          <w:rFonts w:ascii="Arial" w:cs="Arial" w:eastAsia="Arial" w:hAnsi="Arial"/>
          <w:sz w:val="18"/>
          <w:szCs w:val="18"/>
          <w:b w:val="1"/>
          <w:bCs w:val="1"/>
          <w:i w:val="1"/>
          <w:iCs w:val="1"/>
          <w:color w:val="2C2C2C"/>
        </w:rPr>
        <w:t>220): Reclassification of Certain Tax Effects from Accumulated Other Comprehensive Income</w:t>
      </w:r>
      <w:r>
        <w:rPr>
          <w:rFonts w:ascii="Arial" w:cs="Arial" w:eastAsia="Arial" w:hAnsi="Arial"/>
          <w:sz w:val="18"/>
          <w:szCs w:val="18"/>
          <w:b w:val="1"/>
          <w:bCs w:val="1"/>
          <w:color w:val="2C2C2C"/>
        </w:rPr>
        <w:t>. ASU 2018-02 provides the option to</w:t>
      </w:r>
      <w:r>
        <w:rPr>
          <w:rFonts w:ascii="Arial" w:cs="Arial" w:eastAsia="Arial" w:hAnsi="Arial"/>
          <w:sz w:val="18"/>
          <w:szCs w:val="18"/>
          <w:b w:val="1"/>
          <w:bCs w:val="1"/>
          <w:i w:val="1"/>
          <w:iCs w:val="1"/>
          <w:color w:val="2C2C2C"/>
        </w:rPr>
        <w:t xml:space="preserve"> </w:t>
      </w:r>
      <w:r>
        <w:rPr>
          <w:rFonts w:ascii="Arial" w:cs="Arial" w:eastAsia="Arial" w:hAnsi="Arial"/>
          <w:sz w:val="18"/>
          <w:szCs w:val="18"/>
          <w:b w:val="1"/>
          <w:bCs w:val="1"/>
          <w:color w:val="2C2C2C"/>
        </w:rPr>
        <w:t xml:space="preserve">reclassify certain income tax effects related to the Tax Cuts and Jobs Act passed in December of 2017 between accumulated other comprehensive income and retained earnings and also requires additional disclosures. </w:t>
      </w:r>
      <w:r>
        <w:rPr>
          <w:rFonts w:ascii="Arial" w:cs="Arial" w:eastAsia="Arial" w:hAnsi="Arial"/>
          <w:sz w:val="18"/>
          <w:szCs w:val="18"/>
          <w:b w:val="1"/>
          <w:bCs w:val="1"/>
          <w:color w:val="000000"/>
        </w:rPr>
        <w:t>The Company adopted the new standard</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effective January 1, 2019</w:t>
      </w:r>
      <w:r>
        <w:rPr>
          <w:rFonts w:ascii="Arial" w:cs="Arial" w:eastAsia="Arial" w:hAnsi="Arial"/>
          <w:sz w:val="18"/>
          <w:szCs w:val="18"/>
          <w:b w:val="1"/>
          <w:bCs w:val="1"/>
          <w:color w:val="2C2C2C"/>
        </w:rPr>
        <w:t>. There was no impact for the adoption of ASU 2018-02 on the Company's condensed consolidated financial</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C2C2C"/>
        </w:rPr>
        <w:t>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New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Financial Instruments - Credit Losses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color w:val="2C2C2C"/>
        </w:rPr>
        <w:t xml:space="preserve">In June 2016, the FASB issued ASU 2016-13, </w:t>
      </w:r>
      <w:r>
        <w:rPr>
          <w:rFonts w:ascii="Arial" w:cs="Arial" w:eastAsia="Arial" w:hAnsi="Arial"/>
          <w:sz w:val="18"/>
          <w:szCs w:val="18"/>
          <w:b w:val="1"/>
          <w:bCs w:val="1"/>
          <w:i w:val="1"/>
          <w:iCs w:val="1"/>
          <w:color w:val="2C2C2C"/>
        </w:rPr>
        <w:t>Financial Instruments - Credit Losses</w:t>
      </w:r>
      <w:r>
        <w:rPr>
          <w:rFonts w:ascii="Arial" w:cs="Arial" w:eastAsia="Arial" w:hAnsi="Arial"/>
          <w:sz w:val="18"/>
          <w:szCs w:val="18"/>
          <w:b w:val="1"/>
          <w:bCs w:val="1"/>
          <w:color w:val="2C2C2C"/>
        </w:rPr>
        <w:t xml:space="preserve">. ASU 2016-13 provides guidance on measurement of credit losses on financial instruments that changes the impairment model for most financial assets and certain other instruments, including trade and other receivables, held-to-maturity debt securities and loans, and that requires entities to use a new, forward-looking “expected loss” model that is likely to result in the earlier recognition of allowances for losses. The guidance was further amended in January 2019 to </w:t>
      </w:r>
      <w:r>
        <w:rPr>
          <w:rFonts w:ascii="Arial" w:cs="Arial" w:eastAsia="Arial" w:hAnsi="Arial"/>
          <w:sz w:val="18"/>
          <w:szCs w:val="18"/>
          <w:b w:val="1"/>
          <w:bCs w:val="1"/>
          <w:color w:val="000000"/>
        </w:rPr>
        <w:t>clarify or address stakeholders’ specific issues about certain aspects of the amendments in</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 xml:space="preserve">the update and in </w:t>
      </w:r>
      <w:r>
        <w:rPr>
          <w:rFonts w:ascii="Arial" w:cs="Arial" w:eastAsia="Arial" w:hAnsi="Arial"/>
          <w:sz w:val="18"/>
          <w:szCs w:val="18"/>
          <w:b w:val="1"/>
          <w:bCs w:val="1"/>
          <w:color w:val="2C2C2C"/>
        </w:rPr>
        <w:t>May 2019 to</w:t>
      </w:r>
      <w:r>
        <w:rPr>
          <w:rFonts w:ascii="Arial" w:cs="Arial" w:eastAsia="Arial" w:hAnsi="Arial"/>
          <w:sz w:val="18"/>
          <w:szCs w:val="18"/>
          <w:b w:val="1"/>
          <w:bCs w:val="1"/>
          <w:color w:val="000000"/>
        </w:rPr>
        <w:t xml:space="preserve"> provide an option to irrevocably elect the fair value option for certain financial assets previously measured on an amortized cost basis. </w:t>
      </w:r>
      <w:r>
        <w:rPr>
          <w:rFonts w:ascii="Arial" w:cs="Arial" w:eastAsia="Arial" w:hAnsi="Arial"/>
          <w:sz w:val="18"/>
          <w:szCs w:val="18"/>
          <w:b w:val="1"/>
          <w:bCs w:val="1"/>
          <w:color w:val="2C2C2C"/>
        </w:rPr>
        <w:t>The guidance is effective for annual periods beginning after December 15, 2019, including</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C2C2C"/>
        </w:rPr>
        <w:t>interim periods within those years, but early adoption is permitted. The Company is currently evaluating the effect that the pronouncement will have on its consolidated financial statements.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Goodwill</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 xml:space="preserve">In January 2017, the FASB issued ASU 2017-04, </w:t>
      </w:r>
      <w:r>
        <w:rPr>
          <w:rFonts w:ascii="Arial" w:cs="Arial" w:eastAsia="Arial" w:hAnsi="Arial"/>
          <w:sz w:val="18"/>
          <w:szCs w:val="18"/>
          <w:b w:val="1"/>
          <w:bCs w:val="1"/>
          <w:i w:val="1"/>
          <w:iCs w:val="1"/>
          <w:color w:val="2C2C2C"/>
        </w:rPr>
        <w:t>Intangibles - Goodwill and Other (Topic 350): Simplifying the Test for Goodwill</w:t>
      </w:r>
      <w:r>
        <w:rPr>
          <w:rFonts w:ascii="Arial" w:cs="Arial" w:eastAsia="Arial" w:hAnsi="Arial"/>
          <w:sz w:val="18"/>
          <w:szCs w:val="18"/>
          <w:b w:val="1"/>
          <w:bCs w:val="1"/>
          <w:color w:val="2C2C2C"/>
        </w:rPr>
        <w:t xml:space="preserve"> </w:t>
      </w:r>
      <w:r>
        <w:rPr>
          <w:rFonts w:ascii="Arial" w:cs="Arial" w:eastAsia="Arial" w:hAnsi="Arial"/>
          <w:sz w:val="18"/>
          <w:szCs w:val="18"/>
          <w:b w:val="1"/>
          <w:bCs w:val="1"/>
          <w:i w:val="1"/>
          <w:iCs w:val="1"/>
          <w:color w:val="2C2C2C"/>
        </w:rPr>
        <w:t>Impairment</w:t>
      </w:r>
      <w:r>
        <w:rPr>
          <w:rFonts w:ascii="Arial" w:cs="Arial" w:eastAsia="Arial" w:hAnsi="Arial"/>
          <w:sz w:val="18"/>
          <w:szCs w:val="18"/>
          <w:b w:val="1"/>
          <w:bCs w:val="1"/>
          <w:color w:val="2C2C2C"/>
        </w:rPr>
        <w:t>. ASU 2017-04 simplifies the subsequent measurement of goodwill and eliminates Step 2 from the goodwill impairment</w:t>
      </w:r>
      <w:r>
        <w:rPr>
          <w:rFonts w:ascii="Arial" w:cs="Arial" w:eastAsia="Arial" w:hAnsi="Arial"/>
          <w:sz w:val="18"/>
          <w:szCs w:val="18"/>
          <w:b w:val="1"/>
          <w:bCs w:val="1"/>
          <w:i w:val="1"/>
          <w:iCs w:val="1"/>
          <w:color w:val="2C2C2C"/>
        </w:rPr>
        <w:t xml:space="preserve"> </w:t>
      </w:r>
      <w:r>
        <w:rPr>
          <w:rFonts w:ascii="Arial" w:cs="Arial" w:eastAsia="Arial" w:hAnsi="Arial"/>
          <w:sz w:val="18"/>
          <w:szCs w:val="18"/>
          <w:b w:val="1"/>
          <w:bCs w:val="1"/>
          <w:color w:val="2C2C2C"/>
        </w:rPr>
        <w:t>test. ASU 2017-04 is effective for annual and interim goodwill tests beginning after December 15, 2019. Early adoption is permitted for interim or annual goodwill impairment tests performed on testing dates on or after January 1, 2017. The Company is currently evaluating the impact that the adoption of this standard will have on its condensed consolidated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11</w:t>
      </w:r>
    </w:p>
    <w:p>
      <w:pPr>
        <w:sectPr>
          <w:pgSz w:w="11900" w:h="16838" w:orient="portrait"/>
          <w:cols w:equalWidth="0" w:num="1">
            <w:col w:w="11420"/>
          </w:cols>
          <w:pgMar w:left="240" w:top="11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Fair Value Measurements</w:t>
      </w:r>
    </w:p>
    <w:p>
      <w:pPr>
        <w:spacing w:after="0" w:line="1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In August 2018 the FASB issued ASU No. 2018-13, </w:t>
      </w:r>
      <w:r>
        <w:rPr>
          <w:rFonts w:ascii="Arial" w:cs="Arial" w:eastAsia="Arial" w:hAnsi="Arial"/>
          <w:sz w:val="18"/>
          <w:szCs w:val="18"/>
          <w:b w:val="1"/>
          <w:bCs w:val="1"/>
          <w:i w:val="1"/>
          <w:iCs w:val="1"/>
          <w:color w:val="auto"/>
        </w:rPr>
        <w:t>Fair Value Measurement (Topic 820): Disclosure Framework - Changes to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 Requirements for Fair Value Measurement</w:t>
      </w:r>
      <w:r>
        <w:rPr>
          <w:rFonts w:ascii="Arial" w:cs="Arial" w:eastAsia="Arial" w:hAnsi="Arial"/>
          <w:sz w:val="18"/>
          <w:szCs w:val="18"/>
          <w:b w:val="1"/>
          <w:bCs w:val="1"/>
          <w:color w:val="auto"/>
        </w:rPr>
        <w:t>. This new standard modifies certain disclosure requirements on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measurements. This new standard will be effective for the Company on January 1, 2020. The Company does not expect that the adoption of this new standard will have a material impact on the Company's disclosures.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Compensation - Retirement Benefits - Defined Benefit Plans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In August 2018, the FASB issued ASU 2018-14, </w:t>
      </w:r>
      <w:r>
        <w:rPr>
          <w:rFonts w:ascii="Arial" w:cs="Arial" w:eastAsia="Arial" w:hAnsi="Arial"/>
          <w:sz w:val="18"/>
          <w:szCs w:val="18"/>
          <w:b w:val="1"/>
          <w:bCs w:val="1"/>
          <w:i w:val="1"/>
          <w:iCs w:val="1"/>
          <w:color w:val="auto"/>
        </w:rPr>
        <w:t>Compensation - Retirement Benefits - Defined Benefit Plans - General</w:t>
      </w:r>
      <w:r>
        <w:rPr>
          <w:rFonts w:ascii="Arial" w:cs="Arial" w:eastAsia="Arial" w:hAnsi="Arial"/>
          <w:sz w:val="18"/>
          <w:szCs w:val="18"/>
          <w:b w:val="1"/>
          <w:bCs w:val="1"/>
          <w:color w:val="auto"/>
        </w:rPr>
        <w:t>. ASU 2018-14 modifies the disclosure requirements for defined benefit pension plans and other postretirement plans. ASU 2018-14 is effective for all entities for fiscal years ending after December 15, 2020, and earlier adoption is permitted. The Company is currently evaluating the impact of adopting ASU 2018-14 on its consolidated financial statements.</w:t>
      </w:r>
    </w:p>
    <w:p>
      <w:pPr>
        <w:spacing w:after="0" w:line="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2C2C2C"/>
        </w:rPr>
        <w:t>There are no other recently issued accounting pronouncements that are expected to have a material impact on the Company's financial position, results of operations or cash flows.</w:t>
      </w:r>
    </w:p>
    <w:p>
      <w:pPr>
        <w:spacing w:after="0" w:line="40"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00497F"/>
        </w:rPr>
      </w:pPr>
      <w:r>
        <w:rPr>
          <w:rFonts w:ascii="Arial" w:cs="Arial" w:eastAsia="Arial" w:hAnsi="Arial"/>
          <w:sz w:val="20"/>
          <w:szCs w:val="20"/>
          <w:b w:val="1"/>
          <w:bCs w:val="1"/>
          <w:color w:val="00497F"/>
        </w:rPr>
        <w:t>Acquisitions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Adapt</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2C2C2C"/>
        </w:rPr>
        <w:t xml:space="preserve">On October 15, 2018, the Company acquired Adapt, a company focused on developing new treatment options and commercializing products addressing opioid overdose and addiction. Adapt's NARCAN® (naloxone HCl) Nasal Spray marketed product is the first needle-free formulation of naloxone approved by the FDA and Health Canada for the emergency treatment of known or suspected opioid overdose as manifested by respiratory and/or central nervous system depression. This acquisition includes approximately 50 employees, located in the U.S., Canada, and Ireland, including those responsible for supply chain management, research and development, government affairs, and commercial operations. The products and product candidates within Adapt's portfolio are consistent with the Company's mission and expands the Company's core business of addressing </w:t>
      </w:r>
      <w:r>
        <w:rPr>
          <w:rFonts w:ascii="Arial" w:cs="Arial" w:eastAsia="Arial" w:hAnsi="Arial"/>
          <w:sz w:val="18"/>
          <w:szCs w:val="18"/>
          <w:b w:val="1"/>
          <w:bCs w:val="1"/>
          <w:color w:val="000000"/>
        </w:rPr>
        <w:t>public</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health threats</w:t>
      </w:r>
      <w:r>
        <w:rPr>
          <w:rFonts w:ascii="Arial" w:cs="Arial" w:eastAsia="Arial" w:hAnsi="Arial"/>
          <w:sz w:val="18"/>
          <w:szCs w:val="18"/>
          <w:b w:val="1"/>
          <w:bCs w:val="1"/>
          <w:color w:val="2C2C2C"/>
        </w:rPr>
        <w: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2C2C2C"/>
        </w:rPr>
        <w:t xml:space="preserve">Under the acquisition method of accounting, the assets and liabilities of Adapt have been recorded as of October 15, 2018, the acquisition date, at their respective fair values, and combined with those of the Company. </w:t>
      </w:r>
      <w:r>
        <w:rPr>
          <w:rFonts w:ascii="Arial" w:cs="Arial" w:eastAsia="Arial" w:hAnsi="Arial"/>
          <w:sz w:val="18"/>
          <w:szCs w:val="18"/>
          <w:b w:val="1"/>
          <w:bCs w:val="1"/>
          <w:color w:val="000000"/>
        </w:rPr>
        <w:t>As the Company continues to finalize the</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 xml:space="preserve">fair value of assets acquired and liabilities assumed, purchase price adjustments have been recorded and additional purchase price adjustments may be recorded during the measurement period. The Company reflects measurement period adjustments in the period in which the adjustments occur. The adjustments for the six months ended June 30, 2019 resulted from the receipt of additional financial information </w:t>
      </w:r>
      <w:r>
        <w:rPr>
          <w:rFonts w:ascii="Arial" w:cs="Arial" w:eastAsia="Arial" w:hAnsi="Arial"/>
          <w:sz w:val="18"/>
          <w:szCs w:val="18"/>
          <w:b w:val="1"/>
          <w:bCs w:val="1"/>
          <w:color w:val="2C2C2C"/>
        </w:rPr>
        <w:t>associated with certain acquired contract assets and the value of associated contingent purchase</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C2C2C"/>
        </w:rPr>
        <w:t>consideration</w:t>
      </w:r>
      <w:r>
        <w:rPr>
          <w:rFonts w:ascii="Arial" w:cs="Arial" w:eastAsia="Arial" w:hAnsi="Arial"/>
          <w:sz w:val="18"/>
          <w:szCs w:val="18"/>
          <w:b w:val="1"/>
          <w:bCs w:val="1"/>
          <w:color w:val="000000"/>
        </w:rPr>
        <w:t>. These adjustments did not impact the Company's statements of operations. As of June 30, 2019, certain fair value</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 xml:space="preserve">estimates relating to </w:t>
      </w:r>
      <w:r>
        <w:rPr>
          <w:rFonts w:ascii="Arial" w:cs="Arial" w:eastAsia="Arial" w:hAnsi="Arial"/>
          <w:sz w:val="18"/>
          <w:szCs w:val="18"/>
          <w:b w:val="1"/>
          <w:bCs w:val="1"/>
          <w:color w:val="2C2C2C"/>
        </w:rPr>
        <w:t>intangible assets acquired and income taxes could be</w:t>
      </w:r>
      <w:r>
        <w:rPr>
          <w:rFonts w:ascii="Arial" w:cs="Arial" w:eastAsia="Arial" w:hAnsi="Arial"/>
          <w:sz w:val="18"/>
          <w:szCs w:val="18"/>
          <w:b w:val="1"/>
          <w:bCs w:val="1"/>
          <w:color w:val="000000"/>
        </w:rPr>
        <w:t xml:space="preserve"> subject to further adjustment.</w:t>
      </w:r>
    </w:p>
    <w:p>
      <w:pPr>
        <w:sectPr>
          <w:pgSz w:w="11900" w:h="16838" w:orient="portrait"/>
          <w:cols w:equalWidth="0" w:num="1">
            <w:col w:w="11420"/>
          </w:cols>
          <w:pgMar w:left="240" w:top="118" w:right="239" w:bottom="1440" w:gutter="0" w:footer="0" w:header="0"/>
        </w:sectPr>
      </w:pP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2C2C2C"/>
        </w:rPr>
        <w:t>The total purchase price, revised for current period adjustments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contingent purchase consideration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Preliminary purchase consideration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Updated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October 15, 2018</w:t>
      </w:r>
    </w:p>
    <w:p>
      <w:pPr>
        <w:spacing w:after="0" w:line="77" w:lineRule="exact"/>
        <w:rPr>
          <w:sz w:val="20"/>
          <w:szCs w:val="20"/>
          <w:color w:val="auto"/>
        </w:rPr>
      </w:pPr>
    </w:p>
    <w:p>
      <w:pPr>
        <w:jc w:val="both"/>
        <w:spacing w:after="0"/>
        <w:tabs>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581.5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1380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1380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1380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4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1380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31750</wp:posOffset>
            </wp:positionV>
            <wp:extent cx="1380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118" w:right="239" w:bottom="1440" w:gutter="0" w:footer="0" w:header="0"/>
          <w:type w:val="continuous"/>
        </w:sectPr>
      </w:pP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2C2C2C"/>
        </w:rPr>
        <w:t>The Company issued 733,309 shares of common stock at $60.44 per share, the closing price of Emergent's common stock on October 15, 2018, with a total value of $44.3 million. The $44.3 million value of the common shares issued has been adjusted to a fair value of $ 37.7 million considering a discount for lack of marketability due to a two-year lock-up period beginning on October 15, 2018. The remaining contingent consideration payable for the acquisition consists of up to $100 million in cash based on the achievement of certain sales milestones through 2022, which the Company has determined had a fair value of 48.0 million as of June 30, 2019 and for the payment of additional consideration based on the collectability of identified acquired contract assets. The fair value of the contingent purchase consideration is based on management’s assessment of the potential future realization of the contingent purchase consideration</w:t>
      </w:r>
    </w:p>
    <w:p>
      <w:pPr>
        <w:sectPr>
          <w:pgSz w:w="11900" w:h="16838" w:orient="portrait"/>
          <w:cols w:equalWidth="0" w:num="1">
            <w:col w:w="11420"/>
          </w:cols>
          <w:pgMar w:left="240" w:top="118" w:right="239"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2C2C2C"/>
        </w:rPr>
        <w:t>payments. This assessment is based on inputs that have no observable market inputs (Level 3). The obligation is measured using a discounted cash flow model.</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2C2C2C"/>
        </w:rPr>
        <w:t>The table below summarizes the preliminary allocation of the purchase price based upon estimated fair values of assets acquired and liabilities assumed at October 15, 2018 updated for measurement period adjustments recorded through June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shd w:val="clear" w:color="auto" w:fill="0094FF"/>
          </w:tcPr>
          <w:p>
            <w:pPr>
              <w:spacing w:after="0"/>
              <w:rPr>
                <w:sz w:val="19"/>
                <w:szCs w:val="19"/>
                <w:color w:val="auto"/>
              </w:rPr>
            </w:pPr>
          </w:p>
        </w:tc>
        <w:tc>
          <w:tcPr>
            <w:tcW w:w="540" w:type="dxa"/>
            <w:vAlign w:val="bottom"/>
            <w:shd w:val="clear" w:color="auto" w:fill="0094FF"/>
          </w:tcPr>
          <w:p>
            <w:pPr>
              <w:spacing w:after="0"/>
              <w:rPr>
                <w:sz w:val="19"/>
                <w:szCs w:val="19"/>
                <w:color w:val="auto"/>
              </w:rPr>
            </w:pPr>
          </w:p>
        </w:tc>
        <w:tc>
          <w:tcPr>
            <w:tcW w:w="1000" w:type="dxa"/>
            <w:vAlign w:val="bottom"/>
            <w:shd w:val="clear" w:color="auto" w:fill="0094FF"/>
          </w:tcPr>
          <w:p>
            <w:pPr>
              <w:spacing w:after="0"/>
              <w:rPr>
                <w:sz w:val="19"/>
                <w:szCs w:val="19"/>
                <w:color w:val="auto"/>
              </w:rPr>
            </w:pPr>
          </w:p>
        </w:tc>
        <w:tc>
          <w:tcPr>
            <w:tcW w:w="220" w:type="dxa"/>
            <w:vAlign w:val="bottom"/>
            <w:shd w:val="clear" w:color="auto" w:fill="0094FF"/>
          </w:tcPr>
          <w:p>
            <w:pPr>
              <w:spacing w:after="0"/>
              <w:rPr>
                <w:sz w:val="19"/>
                <w:szCs w:val="19"/>
                <w:color w:val="auto"/>
              </w:rPr>
            </w:pPr>
          </w:p>
        </w:tc>
        <w:tc>
          <w:tcPr>
            <w:tcW w:w="136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Measurement</w:t>
            </w:r>
          </w:p>
        </w:tc>
        <w:tc>
          <w:tcPr>
            <w:tcW w:w="340" w:type="dxa"/>
            <w:vAlign w:val="bottom"/>
            <w:shd w:val="clear" w:color="auto" w:fill="0094FF"/>
          </w:tcPr>
          <w:p>
            <w:pPr>
              <w:spacing w:after="0"/>
              <w:rPr>
                <w:sz w:val="19"/>
                <w:szCs w:val="19"/>
                <w:color w:val="auto"/>
              </w:rPr>
            </w:pPr>
          </w:p>
        </w:tc>
        <w:tc>
          <w:tcPr>
            <w:tcW w:w="1220" w:type="dxa"/>
            <w:vAlign w:val="bottom"/>
            <w:shd w:val="clear" w:color="auto" w:fill="0094FF"/>
          </w:tcPr>
          <w:p>
            <w:pPr>
              <w:spacing w:after="0"/>
              <w:rPr>
                <w:sz w:val="19"/>
                <w:szCs w:val="19"/>
                <w:color w:val="auto"/>
              </w:rPr>
            </w:pPr>
          </w:p>
        </w:tc>
      </w:tr>
      <w:tr>
        <w:trPr>
          <w:trHeight w:val="203"/>
        </w:trPr>
        <w:tc>
          <w:tcPr>
            <w:tcW w:w="6740" w:type="dxa"/>
            <w:vAlign w:val="bottom"/>
            <w:shd w:val="clear" w:color="auto" w:fill="0094FF"/>
          </w:tcPr>
          <w:p>
            <w:pPr>
              <w:spacing w:after="0"/>
              <w:rPr>
                <w:sz w:val="17"/>
                <w:szCs w:val="17"/>
                <w:color w:val="auto"/>
              </w:rPr>
            </w:pPr>
          </w:p>
        </w:tc>
        <w:tc>
          <w:tcPr>
            <w:tcW w:w="54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220" w:type="dxa"/>
            <w:vAlign w:val="bottom"/>
            <w:shd w:val="clear" w:color="auto" w:fill="0094FF"/>
          </w:tcPr>
          <w:p>
            <w:pPr>
              <w:spacing w:after="0"/>
              <w:rPr>
                <w:sz w:val="17"/>
                <w:szCs w:val="17"/>
                <w:color w:val="auto"/>
              </w:rPr>
            </w:pPr>
          </w:p>
        </w:tc>
        <w:tc>
          <w:tcPr>
            <w:tcW w:w="1360" w:type="dxa"/>
            <w:vAlign w:val="bottom"/>
            <w:shd w:val="clear" w:color="auto" w:fill="0094FF"/>
          </w:tcPr>
          <w:p>
            <w:pPr>
              <w:jc w:val="center"/>
              <w:ind w:right="110"/>
              <w:spacing w:after="0" w:line="202" w:lineRule="exact"/>
              <w:rPr>
                <w:sz w:val="20"/>
                <w:szCs w:val="20"/>
                <w:color w:val="auto"/>
              </w:rPr>
            </w:pPr>
            <w:r>
              <w:rPr>
                <w:rFonts w:ascii="Arial" w:cs="Arial" w:eastAsia="Arial" w:hAnsi="Arial"/>
                <w:sz w:val="18"/>
                <w:szCs w:val="18"/>
                <w:color w:val="FFFFFF"/>
                <w:w w:val="99"/>
              </w:rPr>
              <w:t>Period</w:t>
            </w:r>
          </w:p>
        </w:tc>
        <w:tc>
          <w:tcPr>
            <w:tcW w:w="1560" w:type="dxa"/>
            <w:vAlign w:val="bottom"/>
            <w:gridSpan w:val="2"/>
            <w:shd w:val="clear" w:color="auto" w:fill="0094FF"/>
          </w:tcPr>
          <w:p>
            <w:pPr>
              <w:jc w:val="right"/>
              <w:spacing w:after="0" w:line="202" w:lineRule="exact"/>
              <w:rPr>
                <w:sz w:val="20"/>
                <w:szCs w:val="20"/>
                <w:color w:val="auto"/>
              </w:rPr>
            </w:pPr>
            <w:r>
              <w:rPr>
                <w:rFonts w:ascii="Arial" w:cs="Arial" w:eastAsia="Arial" w:hAnsi="Arial"/>
                <w:sz w:val="18"/>
                <w:szCs w:val="18"/>
                <w:color w:val="FFFFFF"/>
              </w:rPr>
              <w:t>Updated October</w:t>
            </w:r>
          </w:p>
        </w:tc>
      </w:tr>
      <w:tr>
        <w:trPr>
          <w:trHeight w:val="230"/>
        </w:trPr>
        <w:tc>
          <w:tcPr>
            <w:tcW w:w="6740" w:type="dxa"/>
            <w:vAlign w:val="bottom"/>
            <w:shd w:val="clear" w:color="auto" w:fill="0094FF"/>
          </w:tcPr>
          <w:p>
            <w:pPr>
              <w:spacing w:after="0"/>
              <w:rPr>
                <w:sz w:val="20"/>
                <w:szCs w:val="20"/>
                <w:color w:val="auto"/>
              </w:rPr>
            </w:pPr>
          </w:p>
        </w:tc>
        <w:tc>
          <w:tcPr>
            <w:tcW w:w="1540" w:type="dxa"/>
            <w:vAlign w:val="bottom"/>
            <w:gridSpan w:val="2"/>
            <w:shd w:val="clear" w:color="auto" w:fill="0094FF"/>
          </w:tcPr>
          <w:p>
            <w:pPr>
              <w:ind w:left="60"/>
              <w:spacing w:after="0"/>
              <w:rPr>
                <w:sz w:val="20"/>
                <w:szCs w:val="20"/>
                <w:color w:val="auto"/>
              </w:rPr>
            </w:pPr>
            <w:r>
              <w:rPr>
                <w:rFonts w:ascii="Arial" w:cs="Arial" w:eastAsia="Arial" w:hAnsi="Arial"/>
                <w:sz w:val="18"/>
                <w:szCs w:val="18"/>
                <w:color w:val="FFFFFF"/>
              </w:rPr>
              <w:t>October 15, 2018</w:t>
            </w:r>
          </w:p>
        </w:tc>
        <w:tc>
          <w:tcPr>
            <w:tcW w:w="220" w:type="dxa"/>
            <w:vAlign w:val="bottom"/>
            <w:shd w:val="clear" w:color="auto" w:fill="0094FF"/>
          </w:tcPr>
          <w:p>
            <w:pPr>
              <w:spacing w:after="0"/>
              <w:rPr>
                <w:sz w:val="20"/>
                <w:szCs w:val="20"/>
                <w:color w:val="auto"/>
              </w:rPr>
            </w:pPr>
          </w:p>
        </w:tc>
        <w:tc>
          <w:tcPr>
            <w:tcW w:w="1360" w:type="dxa"/>
            <w:vAlign w:val="bottom"/>
            <w:shd w:val="clear" w:color="auto" w:fill="0094FF"/>
          </w:tcPr>
          <w:p>
            <w:pPr>
              <w:jc w:val="center"/>
              <w:ind w:right="110"/>
              <w:spacing w:after="0"/>
              <w:rPr>
                <w:sz w:val="20"/>
                <w:szCs w:val="20"/>
                <w:color w:val="auto"/>
              </w:rPr>
            </w:pPr>
            <w:r>
              <w:rPr>
                <w:rFonts w:ascii="Arial" w:cs="Arial" w:eastAsia="Arial" w:hAnsi="Arial"/>
                <w:sz w:val="18"/>
                <w:szCs w:val="18"/>
                <w:color w:val="FFFFFF"/>
              </w:rPr>
              <w:t>Adjustments</w:t>
            </w:r>
          </w:p>
        </w:tc>
        <w:tc>
          <w:tcPr>
            <w:tcW w:w="340" w:type="dxa"/>
            <w:vAlign w:val="bottom"/>
            <w:shd w:val="clear" w:color="auto" w:fill="0094FF"/>
          </w:tcPr>
          <w:p>
            <w:pPr>
              <w:spacing w:after="0"/>
              <w:rPr>
                <w:sz w:val="20"/>
                <w:szCs w:val="20"/>
                <w:color w:val="auto"/>
              </w:rPr>
            </w:pPr>
          </w:p>
        </w:tc>
        <w:tc>
          <w:tcPr>
            <w:tcW w:w="1220" w:type="dxa"/>
            <w:vAlign w:val="bottom"/>
            <w:shd w:val="clear" w:color="auto" w:fill="0094FF"/>
          </w:tcPr>
          <w:p>
            <w:pPr>
              <w:jc w:val="right"/>
              <w:ind w:right="310"/>
              <w:spacing w:after="0"/>
              <w:rPr>
                <w:sz w:val="20"/>
                <w:szCs w:val="20"/>
                <w:color w:val="auto"/>
              </w:rPr>
            </w:pPr>
            <w:r>
              <w:rPr>
                <w:rFonts w:ascii="Arial" w:cs="Arial" w:eastAsia="Arial" w:hAnsi="Arial"/>
                <w:sz w:val="18"/>
                <w:szCs w:val="18"/>
                <w:color w:val="FFFFFF"/>
              </w:rPr>
              <w:t>15, 2018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Cash</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567"/>
        </w:trPr>
        <w:tc>
          <w:tcPr>
            <w:tcW w:w="67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5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Acquired intangible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534.0</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534.0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668.7</w:t>
            </w:r>
          </w:p>
        </w:tc>
      </w:tr>
      <w:tr>
        <w:trPr>
          <w:trHeight w:val="20"/>
        </w:trPr>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The Company determined the estimated fair value of the intangible asset using the income approach. The preliminary estimated fair value of the intangible asset acquired for Adapt's marketed product NARCAN® Nasal Spray is valued at $534.0 million. The Company has determined the useful life of the NARCAN® Nasal Spray intangible asset to be 15 years. The Company estimated the fair value of the NARCAN® Nasal Spray intangible asset using the income approach which is based on the present value of future cash flows with a discount rate of 10.5%, which is based on the estimated weighted-average cost of capital for companies with profiles substantially similar to that of Adapt. This is comparable to the estimated internal rate of return for the acquisition and represents the rate that market participants would use to value these intangible assets. The projected cash flows from the NARCAN® Nasal Spray intangible asset were based on key assumptions including: estimates of revenues and operating profits, and risks related to the viability of and potential alternative treatments in any future target markets. The fair value measurements are based on significant unobservable inputs that are developed by the Company using estimates and assumptions of the respective market and market penetration of the acquired company's products.</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The intangible asset associated with the IPR&amp;D acquired from Adapt is related to a product candidate. Management determined that the estimated acquisition-date fair value of intangible assets related to IPR&amp;D was $41.0 million. The estimated fair value was determined using the income approach, which discounts expected future cash flows to present value. The Company estimated the fair value using a discount rate of 11.0%, which is based on the estimated weighted-average cost of capital for companies with profiles substantially similar to that of Adapt and IPR&amp;D assets at a similar stage of development as the product candidate. This is comparable to the estimated internal rate of return for the acquisition and represents the rate that market participants would use to value the IPR&amp;D. The projected cash flows for the product candidate were based on key assumptions including: estimates of revenues and operating profits, the stage of development of pipeline programs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for alternative treatments in any future target markets. IPR&amp;D assets are considered to be indefinite-lived until the completion or abandonment of the associated research and development efforts (see Note 7).</w:t>
      </w:r>
    </w:p>
    <w:p>
      <w:pPr>
        <w:sectPr>
          <w:pgSz w:w="11900" w:h="16838" w:orient="portrait"/>
          <w:cols w:equalWidth="0" w:num="1">
            <w:col w:w="11420"/>
          </w:cols>
          <w:pgMar w:left="240" w:top="118"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2C2C2C"/>
        </w:rPr>
        <w:t>The Company determined the fair value of inventory using the comparative sales method, which estimates the expected sales price reduced for all costs expected to be incurred to complete/dispose of the inventory with a profit on those costs.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The Company has recorded $148.0 million in goodwill related to the Adapt acquisition, which is calculated as the purchase price paid in excess of the fair value of the tangible and intangible assets acquired representing the future economic benefits the Company expects to receive as a result of the acquisition. The goodwill created from the Adapt acquisition is associated with early stage pipeline products. Substantially all of the goodwill generated from the Adapt acquisition is not expected to be deductible for tax purposes due to the legal structure of the transaction.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PaxVax</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On October 4, 2018, the Company completed the acquisition of PaxVax, a company focused on developing, manufacturing, and commercializing specialty vaccines that protect against existing and emerging infectious diseases. This acquisition includes Vivotif® (Typhoid Vaccine Live Oral Ty21a), the only oral vaccine licensed by the FDA for the prevention of typhoid fever, Vaxchora® (Cholera Vaccine, Live, Oral), the only FDA-licensed vaccine for the prevention of cholera, and clinical-stage vaccine candidates targeting chikungunya and other emerging infectious diseases, European-based current good manufacturing practices (cGMP) biologics manufacturing facilities, and approximately 250 employees including those in research and development, manufacturing, and commercial operations with a specialty vaccines salesforce in the U.S. and in select European countries. The products and product candidates within PaxVax's portfolio are consistent with the Company’s mission and will expand the Company’s core business of addressing PHTs. In addition, the acquisition expands the Company's manufacturing infrastructure and related capabilities.</w:t>
      </w:r>
    </w:p>
    <w:p>
      <w:pPr>
        <w:spacing w:after="0" w:line="3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The Company paid cash consideration of $273.1 million for PaxVax. As of the date of this filing, the accounting for the PaxVax acquisition is preliminary due to the Company's need to gather data to assess the fair value of property, plant and equipment, intangible assets and accounting for taxes. The table below summarizes the preliminary allocation of the purchase price based upon estimated fair values of assets acquired and liabilities assumed at October 4, 2018 updated for measurement period adjustments recorded through June 30,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shd w:val="clear" w:color="auto" w:fill="0094FF"/>
          </w:tcPr>
          <w:p>
            <w:pPr>
              <w:spacing w:after="0"/>
              <w:rPr>
                <w:sz w:val="19"/>
                <w:szCs w:val="19"/>
                <w:color w:val="auto"/>
              </w:rPr>
            </w:pPr>
          </w:p>
        </w:tc>
        <w:tc>
          <w:tcPr>
            <w:tcW w:w="540" w:type="dxa"/>
            <w:vAlign w:val="bottom"/>
            <w:shd w:val="clear" w:color="auto" w:fill="0094FF"/>
          </w:tcPr>
          <w:p>
            <w:pPr>
              <w:spacing w:after="0"/>
              <w:rPr>
                <w:sz w:val="19"/>
                <w:szCs w:val="19"/>
                <w:color w:val="auto"/>
              </w:rPr>
            </w:pPr>
          </w:p>
        </w:tc>
        <w:tc>
          <w:tcPr>
            <w:tcW w:w="1000" w:type="dxa"/>
            <w:vAlign w:val="bottom"/>
            <w:shd w:val="clear" w:color="auto" w:fill="0094FF"/>
          </w:tcPr>
          <w:p>
            <w:pPr>
              <w:spacing w:after="0"/>
              <w:rPr>
                <w:sz w:val="19"/>
                <w:szCs w:val="19"/>
                <w:color w:val="auto"/>
              </w:rPr>
            </w:pPr>
          </w:p>
        </w:tc>
        <w:tc>
          <w:tcPr>
            <w:tcW w:w="220" w:type="dxa"/>
            <w:vAlign w:val="bottom"/>
            <w:shd w:val="clear" w:color="auto" w:fill="0094FF"/>
          </w:tcPr>
          <w:p>
            <w:pPr>
              <w:spacing w:after="0"/>
              <w:rPr>
                <w:sz w:val="19"/>
                <w:szCs w:val="19"/>
                <w:color w:val="auto"/>
              </w:rPr>
            </w:pPr>
          </w:p>
        </w:tc>
        <w:tc>
          <w:tcPr>
            <w:tcW w:w="136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Measurement</w:t>
            </w:r>
          </w:p>
        </w:tc>
        <w:tc>
          <w:tcPr>
            <w:tcW w:w="360" w:type="dxa"/>
            <w:vAlign w:val="bottom"/>
            <w:shd w:val="clear" w:color="auto" w:fill="0094FF"/>
          </w:tcPr>
          <w:p>
            <w:pPr>
              <w:spacing w:after="0"/>
              <w:rPr>
                <w:sz w:val="19"/>
                <w:szCs w:val="19"/>
                <w:color w:val="auto"/>
              </w:rPr>
            </w:pPr>
          </w:p>
        </w:tc>
        <w:tc>
          <w:tcPr>
            <w:tcW w:w="1200" w:type="dxa"/>
            <w:vAlign w:val="bottom"/>
            <w:shd w:val="clear" w:color="auto" w:fill="0094FF"/>
          </w:tcPr>
          <w:p>
            <w:pPr>
              <w:spacing w:after="0"/>
              <w:rPr>
                <w:sz w:val="19"/>
                <w:szCs w:val="19"/>
                <w:color w:val="auto"/>
              </w:rPr>
            </w:pPr>
          </w:p>
        </w:tc>
      </w:tr>
      <w:tr>
        <w:trPr>
          <w:trHeight w:val="203"/>
        </w:trPr>
        <w:tc>
          <w:tcPr>
            <w:tcW w:w="6740" w:type="dxa"/>
            <w:vAlign w:val="bottom"/>
            <w:shd w:val="clear" w:color="auto" w:fill="0094FF"/>
          </w:tcPr>
          <w:p>
            <w:pPr>
              <w:spacing w:after="0"/>
              <w:rPr>
                <w:sz w:val="17"/>
                <w:szCs w:val="17"/>
                <w:color w:val="auto"/>
              </w:rPr>
            </w:pPr>
          </w:p>
        </w:tc>
        <w:tc>
          <w:tcPr>
            <w:tcW w:w="54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220" w:type="dxa"/>
            <w:vAlign w:val="bottom"/>
            <w:shd w:val="clear" w:color="auto" w:fill="0094FF"/>
          </w:tcPr>
          <w:p>
            <w:pPr>
              <w:spacing w:after="0"/>
              <w:rPr>
                <w:sz w:val="17"/>
                <w:szCs w:val="17"/>
                <w:color w:val="auto"/>
              </w:rPr>
            </w:pPr>
          </w:p>
        </w:tc>
        <w:tc>
          <w:tcPr>
            <w:tcW w:w="1360" w:type="dxa"/>
            <w:vAlign w:val="bottom"/>
            <w:shd w:val="clear" w:color="auto" w:fill="0094FF"/>
          </w:tcPr>
          <w:p>
            <w:pPr>
              <w:jc w:val="center"/>
              <w:ind w:right="110"/>
              <w:spacing w:after="0" w:line="202" w:lineRule="exact"/>
              <w:rPr>
                <w:sz w:val="20"/>
                <w:szCs w:val="20"/>
                <w:color w:val="auto"/>
              </w:rPr>
            </w:pPr>
            <w:r>
              <w:rPr>
                <w:rFonts w:ascii="Arial" w:cs="Arial" w:eastAsia="Arial" w:hAnsi="Arial"/>
                <w:sz w:val="18"/>
                <w:szCs w:val="18"/>
                <w:color w:val="FFFFFF"/>
                <w:w w:val="99"/>
              </w:rPr>
              <w:t>Period</w:t>
            </w:r>
          </w:p>
        </w:tc>
        <w:tc>
          <w:tcPr>
            <w:tcW w:w="1560" w:type="dxa"/>
            <w:vAlign w:val="bottom"/>
            <w:gridSpan w:val="2"/>
            <w:shd w:val="clear" w:color="auto" w:fill="0094FF"/>
          </w:tcPr>
          <w:p>
            <w:pPr>
              <w:jc w:val="right"/>
              <w:spacing w:after="0" w:line="202" w:lineRule="exact"/>
              <w:rPr>
                <w:sz w:val="20"/>
                <w:szCs w:val="20"/>
                <w:color w:val="auto"/>
              </w:rPr>
            </w:pPr>
            <w:r>
              <w:rPr>
                <w:rFonts w:ascii="Arial" w:cs="Arial" w:eastAsia="Arial" w:hAnsi="Arial"/>
                <w:sz w:val="18"/>
                <w:szCs w:val="18"/>
                <w:color w:val="FFFFFF"/>
              </w:rPr>
              <w:t>Updated October</w:t>
            </w:r>
          </w:p>
        </w:tc>
      </w:tr>
      <w:tr>
        <w:trPr>
          <w:trHeight w:val="230"/>
        </w:trPr>
        <w:tc>
          <w:tcPr>
            <w:tcW w:w="6740" w:type="dxa"/>
            <w:vAlign w:val="bottom"/>
            <w:shd w:val="clear" w:color="auto" w:fill="0094FF"/>
          </w:tcPr>
          <w:p>
            <w:pPr>
              <w:spacing w:after="0"/>
              <w:rPr>
                <w:sz w:val="20"/>
                <w:szCs w:val="20"/>
                <w:color w:val="auto"/>
              </w:rPr>
            </w:pPr>
          </w:p>
        </w:tc>
        <w:tc>
          <w:tcPr>
            <w:tcW w:w="1540" w:type="dxa"/>
            <w:vAlign w:val="bottom"/>
            <w:gridSpan w:val="2"/>
            <w:shd w:val="clear" w:color="auto" w:fill="0094FF"/>
          </w:tcPr>
          <w:p>
            <w:pPr>
              <w:jc w:val="right"/>
              <w:ind w:right="50"/>
              <w:spacing w:after="0"/>
              <w:rPr>
                <w:sz w:val="20"/>
                <w:szCs w:val="20"/>
                <w:color w:val="auto"/>
              </w:rPr>
            </w:pPr>
            <w:r>
              <w:rPr>
                <w:rFonts w:ascii="Arial" w:cs="Arial" w:eastAsia="Arial" w:hAnsi="Arial"/>
                <w:sz w:val="18"/>
                <w:szCs w:val="18"/>
                <w:color w:val="FFFFFF"/>
              </w:rPr>
              <w:t>October 4, 2018</w:t>
            </w:r>
          </w:p>
        </w:tc>
        <w:tc>
          <w:tcPr>
            <w:tcW w:w="220" w:type="dxa"/>
            <w:vAlign w:val="bottom"/>
            <w:shd w:val="clear" w:color="auto" w:fill="0094FF"/>
          </w:tcPr>
          <w:p>
            <w:pPr>
              <w:spacing w:after="0"/>
              <w:rPr>
                <w:sz w:val="20"/>
                <w:szCs w:val="20"/>
                <w:color w:val="auto"/>
              </w:rPr>
            </w:pPr>
          </w:p>
        </w:tc>
        <w:tc>
          <w:tcPr>
            <w:tcW w:w="1360" w:type="dxa"/>
            <w:vAlign w:val="bottom"/>
            <w:shd w:val="clear" w:color="auto" w:fill="0094FF"/>
          </w:tcPr>
          <w:p>
            <w:pPr>
              <w:jc w:val="center"/>
              <w:ind w:right="110"/>
              <w:spacing w:after="0"/>
              <w:rPr>
                <w:sz w:val="20"/>
                <w:szCs w:val="20"/>
                <w:color w:val="auto"/>
              </w:rPr>
            </w:pPr>
            <w:r>
              <w:rPr>
                <w:rFonts w:ascii="Arial" w:cs="Arial" w:eastAsia="Arial" w:hAnsi="Arial"/>
                <w:sz w:val="18"/>
                <w:szCs w:val="18"/>
                <w:color w:val="FFFFFF"/>
              </w:rPr>
              <w:t>Adjustments</w:t>
            </w:r>
          </w:p>
        </w:tc>
        <w:tc>
          <w:tcPr>
            <w:tcW w:w="360" w:type="dxa"/>
            <w:vAlign w:val="bottom"/>
            <w:shd w:val="clear" w:color="auto" w:fill="0094FF"/>
          </w:tcPr>
          <w:p>
            <w:pPr>
              <w:spacing w:after="0"/>
              <w:rPr>
                <w:sz w:val="20"/>
                <w:szCs w:val="20"/>
                <w:color w:val="auto"/>
              </w:rPr>
            </w:pPr>
          </w:p>
        </w:tc>
        <w:tc>
          <w:tcPr>
            <w:tcW w:w="120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4, 2018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Cash</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69.1</w:t>
            </w:r>
          </w:p>
        </w:tc>
      </w:tr>
      <w:tr>
        <w:trPr>
          <w:trHeight w:val="567"/>
        </w:trPr>
        <w:tc>
          <w:tcPr>
            <w:tcW w:w="67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5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Acquired intangible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273.1</w:t>
            </w:r>
          </w:p>
        </w:tc>
      </w:tr>
      <w:tr>
        <w:trPr>
          <w:trHeight w:val="20"/>
        </w:trPr>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The preliminary estimated fair value of the intangible assets acquired for PaxVax's marketed products is a total of $133.0 million. The Company determined the estimated fair value of the intangible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acquired products. The Company has determined that the weighted average useful lives of the intangible assets to be 19 years. The Company estimated the fair value of the Vivotif and Vaxchora intangible assets</w:t>
      </w:r>
    </w:p>
    <w:p>
      <w:pPr>
        <w:sectPr>
          <w:pgSz w:w="11900" w:h="16838" w:orient="portrait"/>
          <w:cols w:equalWidth="0" w:num="1">
            <w:col w:w="11420"/>
          </w:cols>
          <w:pgMar w:left="240" w:top="118"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2C2C2C"/>
        </w:rPr>
        <w:t>using a present value discount rate of 14.5% and 15.0%, respectively, which is based on the estimated weighted-average cost of capital for companies with profiles substantially similar to that of PaxVax. This is comparable to the estimated internal rate of return for the acquisition and represents the rate that market participants would use to value these intangible assets. The projected cash flows from these intangible assets were based on key assumptions, including: estimates of revenues and operating profits, and risks related to the viability of and potential alternative treatments in any future target markets.</w:t>
      </w:r>
    </w:p>
    <w:p>
      <w:pPr>
        <w:spacing w:after="0" w:line="12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2C2C2C"/>
        </w:rPr>
        <w:t xml:space="preserve">The intangible asset associated with the IPR&amp;D </w:t>
      </w:r>
      <w:r>
        <w:rPr>
          <w:rFonts w:ascii="Arial" w:cs="Arial" w:eastAsia="Arial" w:hAnsi="Arial"/>
          <w:sz w:val="18"/>
          <w:szCs w:val="18"/>
          <w:b w:val="1"/>
          <w:bCs w:val="1"/>
          <w:color w:val="000000"/>
        </w:rPr>
        <w:t>the measurement of the amounts recognized as of that date. The Company</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estimates the fair value based on the income approach.</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2C2C2C"/>
        </w:rPr>
        <w:t>The Company determined the fair value of the inventory using the comparative sales method, which estimates the expected sales price reduced for all costs expected to be incurred to complete/dispose of the inventory with a profit on those costs.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The Company determined the fair value of the property, plant and equipment utilizing both the cost approach and the sales comparison approach. The cost approach is determined by establishing replacement cost of the asset and then subtracting any value that has been lost due to economic obsolescence, functional obsolescence, or physical deterioration. The sales comparison approach values an asset based on the market price of assets with comparable features such as design, location, size, construction, materials, use, capacity, specification, operational characteristics and other features or descriptions.</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The Company recorded approximately $71.0 million in goodwill related to the PaxVax acquisition, calculated as the purchase price paid in the acquisition that was in excess of the fair value of the tangible and intangible assets acquired representing the future economic benefits the Company expects to receive as a result of the acquisition. The goodwill created from the PaxVax acquisition is associated with early stage pipeline products along with potential contract manufacturing services. The majority of the goodwill generated from the PaxVax acquisition is expected to be deductible for tax purposes based upon the structure used in the acquisition.</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094FF"/>
        </w:rPr>
        <w:t>Impact of Business Acquisitions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The operations of each of the two business acquisitions discussed above were included in the consolidated financial statements as of each of their respective acquisition dates. The following table presents their revenue and earnings as reported within the consolidated financial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shd w:val="clear" w:color="auto" w:fill="0094FF"/>
          </w:tcPr>
          <w:p>
            <w:pPr>
              <w:spacing w:after="0"/>
              <w:rPr>
                <w:sz w:val="19"/>
                <w:szCs w:val="19"/>
                <w:color w:val="auto"/>
              </w:rPr>
            </w:pPr>
          </w:p>
        </w:tc>
        <w:tc>
          <w:tcPr>
            <w:tcW w:w="1800" w:type="dxa"/>
            <w:vAlign w:val="bottom"/>
            <w:gridSpan w:val="2"/>
            <w:shd w:val="clear" w:color="auto" w:fill="0094FF"/>
          </w:tcPr>
          <w:p>
            <w:pPr>
              <w:jc w:val="center"/>
              <w:spacing w:after="0"/>
              <w:rPr>
                <w:sz w:val="20"/>
                <w:szCs w:val="20"/>
                <w:color w:val="auto"/>
              </w:rPr>
            </w:pPr>
            <w:r>
              <w:rPr>
                <w:rFonts w:ascii="Arial" w:cs="Arial" w:eastAsia="Arial" w:hAnsi="Arial"/>
                <w:sz w:val="18"/>
                <w:szCs w:val="18"/>
                <w:color w:val="FFFFFF"/>
                <w:w w:val="99"/>
              </w:rPr>
              <w:t>Three months ended</w:t>
            </w:r>
          </w:p>
        </w:tc>
        <w:tc>
          <w:tcPr>
            <w:tcW w:w="220" w:type="dxa"/>
            <w:vAlign w:val="bottom"/>
            <w:shd w:val="clear" w:color="auto" w:fill="0094FF"/>
          </w:tcPr>
          <w:p>
            <w:pPr>
              <w:spacing w:after="0"/>
              <w:rPr>
                <w:sz w:val="19"/>
                <w:szCs w:val="19"/>
                <w:color w:val="auto"/>
              </w:rPr>
            </w:pPr>
          </w:p>
        </w:tc>
        <w:tc>
          <w:tcPr>
            <w:tcW w:w="1620" w:type="dxa"/>
            <w:vAlign w:val="bottom"/>
            <w:shd w:val="clear" w:color="auto" w:fill="0094FF"/>
          </w:tcPr>
          <w:p>
            <w:pPr>
              <w:jc w:val="center"/>
              <w:ind w:right="50"/>
              <w:spacing w:after="0"/>
              <w:rPr>
                <w:sz w:val="20"/>
                <w:szCs w:val="20"/>
                <w:color w:val="auto"/>
              </w:rPr>
            </w:pPr>
            <w:r>
              <w:rPr>
                <w:rFonts w:ascii="Arial" w:cs="Arial" w:eastAsia="Arial" w:hAnsi="Arial"/>
                <w:sz w:val="18"/>
                <w:szCs w:val="18"/>
                <w:color w:val="FFFFFF"/>
                <w:w w:val="99"/>
              </w:rPr>
              <w:t>Six months ended</w:t>
            </w:r>
          </w:p>
        </w:tc>
      </w:tr>
      <w:tr>
        <w:trPr>
          <w:trHeight w:val="217"/>
        </w:trPr>
        <w:tc>
          <w:tcPr>
            <w:tcW w:w="5740" w:type="dxa"/>
            <w:vAlign w:val="bottom"/>
            <w:shd w:val="clear" w:color="auto" w:fill="0094FF"/>
          </w:tcPr>
          <w:p>
            <w:pPr>
              <w:spacing w:after="0"/>
              <w:rPr>
                <w:sz w:val="18"/>
                <w:szCs w:val="18"/>
                <w:color w:val="auto"/>
              </w:rPr>
            </w:pPr>
          </w:p>
        </w:tc>
        <w:tc>
          <w:tcPr>
            <w:tcW w:w="320" w:type="dxa"/>
            <w:vAlign w:val="bottom"/>
            <w:shd w:val="clear" w:color="auto" w:fill="0094FF"/>
          </w:tcPr>
          <w:p>
            <w:pPr>
              <w:spacing w:after="0"/>
              <w:rPr>
                <w:sz w:val="18"/>
                <w:szCs w:val="18"/>
                <w:color w:val="auto"/>
              </w:rPr>
            </w:pPr>
          </w:p>
        </w:tc>
        <w:tc>
          <w:tcPr>
            <w:tcW w:w="1480" w:type="dxa"/>
            <w:vAlign w:val="bottom"/>
            <w:shd w:val="clear" w:color="auto" w:fill="0094FF"/>
          </w:tcPr>
          <w:p>
            <w:pPr>
              <w:jc w:val="center"/>
              <w:ind w:right="270"/>
              <w:spacing w:after="0"/>
              <w:rPr>
                <w:sz w:val="20"/>
                <w:szCs w:val="20"/>
                <w:color w:val="auto"/>
              </w:rPr>
            </w:pPr>
            <w:r>
              <w:rPr>
                <w:rFonts w:ascii="Arial" w:cs="Arial" w:eastAsia="Arial" w:hAnsi="Arial"/>
                <w:sz w:val="18"/>
                <w:szCs w:val="18"/>
                <w:color w:val="FFFFFF"/>
                <w:w w:val="98"/>
              </w:rPr>
              <w:t>June 30,</w:t>
            </w:r>
          </w:p>
        </w:tc>
        <w:tc>
          <w:tcPr>
            <w:tcW w:w="220" w:type="dxa"/>
            <w:vAlign w:val="bottom"/>
            <w:shd w:val="clear" w:color="auto" w:fill="0094FF"/>
          </w:tcPr>
          <w:p>
            <w:pPr>
              <w:spacing w:after="0"/>
              <w:rPr>
                <w:sz w:val="18"/>
                <w:szCs w:val="18"/>
                <w:color w:val="auto"/>
              </w:rPr>
            </w:pPr>
          </w:p>
        </w:tc>
        <w:tc>
          <w:tcPr>
            <w:tcW w:w="1620" w:type="dxa"/>
            <w:vAlign w:val="bottom"/>
            <w:shd w:val="clear" w:color="auto" w:fill="0094FF"/>
          </w:tcPr>
          <w:p>
            <w:pPr>
              <w:jc w:val="center"/>
              <w:ind w:right="50"/>
              <w:spacing w:after="0"/>
              <w:rPr>
                <w:sz w:val="20"/>
                <w:szCs w:val="20"/>
                <w:color w:val="auto"/>
              </w:rPr>
            </w:pPr>
            <w:r>
              <w:rPr>
                <w:rFonts w:ascii="Arial" w:cs="Arial" w:eastAsia="Arial" w:hAnsi="Arial"/>
                <w:sz w:val="18"/>
                <w:szCs w:val="18"/>
                <w:color w:val="FFFFFF"/>
                <w:w w:val="98"/>
              </w:rPr>
              <w:t>June 30,</w:t>
            </w:r>
          </w:p>
        </w:tc>
      </w:tr>
      <w:tr>
        <w:trPr>
          <w:trHeight w:val="284"/>
        </w:trPr>
        <w:tc>
          <w:tcPr>
            <w:tcW w:w="5740" w:type="dxa"/>
            <w:vAlign w:val="bottom"/>
            <w:shd w:val="clear" w:color="auto" w:fill="0094FF"/>
          </w:tcPr>
          <w:p>
            <w:pPr>
              <w:spacing w:after="0"/>
              <w:rPr>
                <w:sz w:val="24"/>
                <w:szCs w:val="24"/>
                <w:color w:val="auto"/>
              </w:rPr>
            </w:pPr>
          </w:p>
        </w:tc>
        <w:tc>
          <w:tcPr>
            <w:tcW w:w="320" w:type="dxa"/>
            <w:vAlign w:val="bottom"/>
            <w:shd w:val="clear" w:color="auto" w:fill="0094FF"/>
          </w:tcPr>
          <w:p>
            <w:pPr>
              <w:spacing w:after="0"/>
              <w:rPr>
                <w:sz w:val="24"/>
                <w:szCs w:val="24"/>
                <w:color w:val="auto"/>
              </w:rPr>
            </w:pPr>
          </w:p>
        </w:tc>
        <w:tc>
          <w:tcPr>
            <w:tcW w:w="1480" w:type="dxa"/>
            <w:vAlign w:val="bottom"/>
            <w:shd w:val="clear" w:color="auto" w:fill="0094FF"/>
          </w:tcPr>
          <w:p>
            <w:pPr>
              <w:jc w:val="center"/>
              <w:ind w:right="270"/>
              <w:spacing w:after="0"/>
              <w:rPr>
                <w:sz w:val="20"/>
                <w:szCs w:val="20"/>
                <w:color w:val="auto"/>
              </w:rPr>
            </w:pPr>
            <w:r>
              <w:rPr>
                <w:rFonts w:ascii="Arial" w:cs="Arial" w:eastAsia="Arial" w:hAnsi="Arial"/>
                <w:sz w:val="18"/>
                <w:szCs w:val="18"/>
                <w:color w:val="FFFFFF"/>
                <w:w w:val="99"/>
              </w:rPr>
              <w:t>2019</w:t>
            </w:r>
          </w:p>
        </w:tc>
        <w:tc>
          <w:tcPr>
            <w:tcW w:w="220" w:type="dxa"/>
            <w:vAlign w:val="bottom"/>
            <w:shd w:val="clear" w:color="auto" w:fill="0094FF"/>
          </w:tcPr>
          <w:p>
            <w:pPr>
              <w:spacing w:after="0"/>
              <w:rPr>
                <w:sz w:val="24"/>
                <w:szCs w:val="24"/>
                <w:color w:val="auto"/>
              </w:rPr>
            </w:pPr>
          </w:p>
        </w:tc>
        <w:tc>
          <w:tcPr>
            <w:tcW w:w="1620" w:type="dxa"/>
            <w:vAlign w:val="bottom"/>
            <w:shd w:val="clear" w:color="auto" w:fill="0094FF"/>
          </w:tcPr>
          <w:p>
            <w:pPr>
              <w:jc w:val="center"/>
              <w:ind w:right="50"/>
              <w:spacing w:after="0"/>
              <w:rPr>
                <w:sz w:val="20"/>
                <w:szCs w:val="20"/>
                <w:color w:val="auto"/>
              </w:rPr>
            </w:pPr>
            <w:r>
              <w:rPr>
                <w:rFonts w:ascii="Arial" w:cs="Arial" w:eastAsia="Arial" w:hAnsi="Arial"/>
                <w:sz w:val="18"/>
                <w:szCs w:val="18"/>
                <w:color w:val="FFFFFF"/>
                <w:w w:val="99"/>
              </w:rPr>
              <w:t>2019</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4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88.2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163.1</w:t>
            </w:r>
          </w:p>
        </w:tc>
      </w:tr>
      <w:tr>
        <w:trPr>
          <w:trHeight w:val="284"/>
        </w:trPr>
        <w:tc>
          <w:tcPr>
            <w:tcW w:w="5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E5E5E5"/>
          </w:tcPr>
          <w:p>
            <w:pPr>
              <w:spacing w:after="0"/>
              <w:rPr>
                <w:sz w:val="24"/>
                <w:szCs w:val="24"/>
                <w:color w:val="auto"/>
              </w:rPr>
            </w:pPr>
          </w:p>
        </w:tc>
        <w:tc>
          <w:tcPr>
            <w:tcW w:w="14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8.2</w:t>
            </w:r>
          </w:p>
        </w:tc>
        <w:tc>
          <w:tcPr>
            <w:tcW w:w="220" w:type="dxa"/>
            <w:vAlign w:val="bottom"/>
            <w:shd w:val="clear" w:color="auto" w:fill="E5E5E5"/>
          </w:tcPr>
          <w:p>
            <w:pPr>
              <w:spacing w:after="0"/>
              <w:rPr>
                <w:sz w:val="24"/>
                <w:szCs w:val="24"/>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4.4</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51"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00497F"/>
        </w:rPr>
      </w:pPr>
      <w:r>
        <w:rPr>
          <w:rFonts w:ascii="Arial" w:cs="Arial" w:eastAsia="Arial" w:hAnsi="Arial"/>
          <w:sz w:val="20"/>
          <w:szCs w:val="20"/>
          <w:b w:val="1"/>
          <w:bCs w:val="1"/>
          <w:color w:val="00497F"/>
        </w:rPr>
        <w:t>Inventories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components of inventory are as follows:</w:t>
      </w: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Work-in-process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goods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Pr>
          <w:p>
            <w:pPr>
              <w:spacing w:after="0"/>
              <w:rPr>
                <w:sz w:val="19"/>
                <w:szCs w:val="19"/>
                <w:color w:val="auto"/>
              </w:rPr>
            </w:pPr>
          </w:p>
        </w:tc>
        <w:tc>
          <w:tcPr>
            <w:tcW w:w="1960" w:type="dxa"/>
            <w:vAlign w:val="bottom"/>
          </w:tcPr>
          <w:p>
            <w:pPr>
              <w:jc w:val="right"/>
              <w:ind w:right="530"/>
              <w:spacing w:after="0"/>
              <w:rPr>
                <w:sz w:val="20"/>
                <w:szCs w:val="20"/>
                <w:color w:val="auto"/>
              </w:rPr>
            </w:pPr>
            <w:r>
              <w:rPr>
                <w:rFonts w:ascii="Arial" w:cs="Arial" w:eastAsia="Arial" w:hAnsi="Arial"/>
                <w:sz w:val="18"/>
                <w:szCs w:val="18"/>
                <w:color w:val="FFFFFF"/>
              </w:rPr>
              <w:t>June 30, 2019</w:t>
            </w:r>
          </w:p>
        </w:tc>
        <w:tc>
          <w:tcPr>
            <w:tcW w:w="220" w:type="dxa"/>
            <w:vAlign w:val="bottom"/>
          </w:tcPr>
          <w:p>
            <w:pPr>
              <w:spacing w:after="0"/>
              <w:rPr>
                <w:sz w:val="19"/>
                <w:szCs w:val="19"/>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color w:val="FFFFFF"/>
              </w:rPr>
              <w:t>December 31, 2018</w:t>
            </w:r>
          </w:p>
        </w:tc>
      </w:tr>
      <w:tr>
        <w:trPr>
          <w:trHeight w:val="263"/>
        </w:trPr>
        <w:tc>
          <w:tcPr>
            <w:tcW w:w="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1B51BF"/>
              </w:rPr>
              <w:t>$</w:t>
            </w:r>
          </w:p>
        </w:tc>
        <w:tc>
          <w:tcPr>
            <w:tcW w:w="196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66.3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0"/>
        </w:trPr>
        <w:tc>
          <w:tcPr>
            <w:tcW w:w="320" w:type="dxa"/>
            <w:vAlign w:val="bottom"/>
            <w:shd w:val="clear" w:color="auto" w:fill="E5E5E5"/>
          </w:tcPr>
          <w:p>
            <w:pPr>
              <w:spacing w:after="0"/>
              <w:rPr>
                <w:sz w:val="23"/>
                <w:szCs w:val="23"/>
                <w:color w:val="auto"/>
              </w:rPr>
            </w:pPr>
          </w:p>
        </w:tc>
        <w:tc>
          <w:tcPr>
            <w:tcW w:w="196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119.1</w:t>
            </w: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103.2</w:t>
            </w:r>
          </w:p>
        </w:tc>
      </w:tr>
      <w:tr>
        <w:trPr>
          <w:trHeight w:val="277"/>
        </w:trPr>
        <w:tc>
          <w:tcPr>
            <w:tcW w:w="320" w:type="dxa"/>
            <w:vAlign w:val="bottom"/>
            <w:tcBorders>
              <w:bottom w:val="single" w:sz="8" w:color="auto"/>
            </w:tcBorders>
            <w:shd w:val="clear" w:color="auto" w:fill="E5E5E5"/>
          </w:tcPr>
          <w:p>
            <w:pPr>
              <w:spacing w:after="0"/>
              <w:rPr>
                <w:sz w:val="24"/>
                <w:szCs w:val="24"/>
                <w:color w:val="auto"/>
              </w:rPr>
            </w:pPr>
          </w:p>
        </w:tc>
        <w:tc>
          <w:tcPr>
            <w:tcW w:w="196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46.6</w:t>
            </w: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r>
      <w:tr>
        <w:trPr>
          <w:trHeight w:val="264"/>
        </w:trPr>
        <w:tc>
          <w:tcPr>
            <w:tcW w:w="320" w:type="dxa"/>
            <w:vAlign w:val="bottom"/>
            <w:tcBorders>
              <w:bottom w:val="single" w:sz="8" w:color="auto"/>
            </w:tcBorders>
            <w:shd w:val="clear" w:color="auto" w:fill="E5E5E5"/>
          </w:tcPr>
          <w:p>
            <w:pPr>
              <w:jc w:val="right"/>
              <w:ind w:right="90"/>
              <w:spacing w:after="0"/>
              <w:rPr>
                <w:sz w:val="20"/>
                <w:szCs w:val="20"/>
                <w:color w:val="auto"/>
              </w:rPr>
            </w:pPr>
            <w:r>
              <w:rPr>
                <w:rFonts w:ascii="Arial" w:cs="Arial" w:eastAsia="Arial" w:hAnsi="Arial"/>
                <w:sz w:val="18"/>
                <w:szCs w:val="18"/>
                <w:color w:val="1B51BF"/>
              </w:rPr>
              <w:t>$</w:t>
            </w:r>
          </w:p>
        </w:tc>
        <w:tc>
          <w:tcPr>
            <w:tcW w:w="196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232.0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-891540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460"/>
          </w:cols>
          <w:pgMar w:left="240" w:top="118"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15</w:t>
      </w:r>
    </w:p>
    <w:p>
      <w:pPr>
        <w:sectPr>
          <w:pgSz w:w="11900" w:h="16838" w:orient="portrait"/>
          <w:cols w:equalWidth="0" w:num="1">
            <w:col w:w="11420"/>
          </w:cols>
          <w:pgMar w:left="240" w:top="118"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00497F"/>
        </w:rPr>
      </w:pPr>
      <w:r>
        <w:rPr>
          <w:rFonts w:ascii="Arial" w:cs="Arial" w:eastAsia="Arial" w:hAnsi="Arial"/>
          <w:sz w:val="20"/>
          <w:szCs w:val="20"/>
          <w:b w:val="1"/>
          <w:bCs w:val="1"/>
          <w:color w:val="00497F"/>
        </w:rPr>
        <w:t>Property, Plant and Equipment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Property, plant and equipment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60" w:type="dxa"/>
            <w:vAlign w:val="bottom"/>
            <w:shd w:val="clear" w:color="auto" w:fill="0094FF"/>
          </w:tcPr>
          <w:p>
            <w:pPr>
              <w:spacing w:after="0"/>
              <w:rPr>
                <w:sz w:val="23"/>
                <w:szCs w:val="23"/>
                <w:color w:val="auto"/>
              </w:rPr>
            </w:pPr>
          </w:p>
        </w:tc>
        <w:tc>
          <w:tcPr>
            <w:tcW w:w="32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430"/>
              <w:spacing w:after="0"/>
              <w:rPr>
                <w:sz w:val="20"/>
                <w:szCs w:val="20"/>
                <w:color w:val="auto"/>
              </w:rPr>
            </w:pPr>
            <w:r>
              <w:rPr>
                <w:rFonts w:ascii="Arial" w:cs="Arial" w:eastAsia="Arial" w:hAnsi="Arial"/>
                <w:sz w:val="18"/>
                <w:szCs w:val="18"/>
                <w:color w:val="FFFFFF"/>
              </w:rPr>
              <w:t>June 30, 2019</w:t>
            </w:r>
          </w:p>
        </w:tc>
        <w:tc>
          <w:tcPr>
            <w:tcW w:w="100" w:type="dxa"/>
            <w:vAlign w:val="bottom"/>
            <w:shd w:val="clear" w:color="auto" w:fill="0094FF"/>
          </w:tcPr>
          <w:p>
            <w:pPr>
              <w:spacing w:after="0"/>
              <w:rPr>
                <w:sz w:val="23"/>
                <w:szCs w:val="23"/>
                <w:color w:val="auto"/>
              </w:rPr>
            </w:pPr>
          </w:p>
        </w:tc>
        <w:tc>
          <w:tcPr>
            <w:tcW w:w="220" w:type="dxa"/>
            <w:vAlign w:val="bottom"/>
            <w:shd w:val="clear" w:color="auto" w:fill="0094FF"/>
          </w:tcPr>
          <w:p>
            <w:pPr>
              <w:spacing w:after="0"/>
              <w:rPr>
                <w:sz w:val="23"/>
                <w:szCs w:val="23"/>
                <w:color w:val="auto"/>
              </w:rPr>
            </w:pPr>
          </w:p>
        </w:tc>
        <w:tc>
          <w:tcPr>
            <w:tcW w:w="1960" w:type="dxa"/>
            <w:vAlign w:val="bottom"/>
            <w:shd w:val="clear" w:color="auto" w:fill="0094FF"/>
          </w:tcPr>
          <w:p>
            <w:pPr>
              <w:jc w:val="right"/>
              <w:ind w:right="210"/>
              <w:spacing w:after="0"/>
              <w:rPr>
                <w:sz w:val="20"/>
                <w:szCs w:val="20"/>
                <w:color w:val="auto"/>
              </w:rPr>
            </w:pPr>
            <w:r>
              <w:rPr>
                <w:rFonts w:ascii="Arial" w:cs="Arial" w:eastAsia="Arial" w:hAnsi="Arial"/>
                <w:sz w:val="18"/>
                <w:szCs w:val="18"/>
                <w:color w:val="FFFFFF"/>
              </w:rPr>
              <w:t>December 31, 2018</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46.7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Buildings, building improvements and leasehold improvements</w:t>
            </w:r>
          </w:p>
        </w:tc>
        <w:tc>
          <w:tcPr>
            <w:tcW w:w="320" w:type="dxa"/>
            <w:vAlign w:val="bottom"/>
          </w:tcPr>
          <w:p>
            <w:pPr>
              <w:spacing w:after="0"/>
              <w:rPr>
                <w:sz w:val="22"/>
                <w:szCs w:val="22"/>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228.0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216.2</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318.8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293.9</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56.3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7"/>
        </w:trPr>
        <w:tc>
          <w:tcPr>
            <w:tcW w:w="696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59.9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71.8</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Property, plant and equipment, gross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709.7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681.7</w:t>
            </w:r>
          </w:p>
        </w:tc>
      </w:tr>
      <w:tr>
        <w:trPr>
          <w:trHeight w:val="277"/>
        </w:trPr>
        <w:tc>
          <w:tcPr>
            <w:tcW w:w="696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(189.2)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1B51BF"/>
              </w:rPr>
              <w:t>520.5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510.2</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-1397000</wp:posOffset>
            </wp:positionV>
            <wp:extent cx="1380490" cy="1380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0490" cy="1380490"/>
                    </a:xfrm>
                    <a:prstGeom prst="rect">
                      <a:avLst/>
                    </a:prstGeom>
                    <a:noFill/>
                  </pic:spPr>
                </pic:pic>
              </a:graphicData>
            </a:graphic>
          </wp:anchor>
        </w:drawing>
      </w:r>
    </w:p>
    <w:p>
      <w:pPr>
        <w:spacing w:after="0" w:line="331"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00497F"/>
        </w:rPr>
      </w:pPr>
      <w:r>
        <w:rPr>
          <w:rFonts w:ascii="Arial" w:cs="Arial" w:eastAsia="Arial" w:hAnsi="Arial"/>
          <w:sz w:val="20"/>
          <w:szCs w:val="20"/>
          <w:b w:val="1"/>
          <w:bCs w:val="1"/>
          <w:color w:val="00497F"/>
        </w:rPr>
        <w:t>Leases</w:t>
      </w:r>
    </w:p>
    <w:p>
      <w:pPr>
        <w:spacing w:after="0" w:line="32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The Company has operating leases for corporate offices, research and development facilities and manufacturing facilities. We determine if an arrangement is a lease at inception. Operating leases are included in right-of-use (ROU) assets and liabilities.</w:t>
      </w:r>
    </w:p>
    <w:p>
      <w:pPr>
        <w:spacing w:after="0" w:line="2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2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Lease expense for lease payments is recognized on a straight-line basis over the lease term. The Company has lease agreements with lease and non-lease components, which are accounted for separately. The Company's leases have remaining lease terms of 1 year to 15 years, some of which include options to extend the leases for up to 5 years, and some of which include options to terminate the leases within 1 year.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components of lease expense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shd w:val="clear" w:color="auto" w:fill="0094FF"/>
          </w:tcPr>
          <w:p>
            <w:pPr>
              <w:spacing w:after="0"/>
              <w:rPr>
                <w:sz w:val="19"/>
                <w:szCs w:val="19"/>
                <w:color w:val="auto"/>
              </w:rPr>
            </w:pPr>
          </w:p>
        </w:tc>
        <w:tc>
          <w:tcPr>
            <w:tcW w:w="266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2180" w:type="dxa"/>
            <w:vAlign w:val="bottom"/>
            <w:gridSpan w:val="2"/>
            <w:shd w:val="clear" w:color="auto" w:fill="0094FF"/>
          </w:tcPr>
          <w:p>
            <w:pPr>
              <w:ind w:left="40"/>
              <w:spacing w:after="0"/>
              <w:rPr>
                <w:sz w:val="20"/>
                <w:szCs w:val="20"/>
                <w:color w:val="auto"/>
              </w:rPr>
            </w:pPr>
            <w:r>
              <w:rPr>
                <w:rFonts w:ascii="Arial" w:cs="Arial" w:eastAsia="Arial" w:hAnsi="Arial"/>
                <w:sz w:val="18"/>
                <w:szCs w:val="18"/>
                <w:color w:val="FFFFFF"/>
              </w:rPr>
              <w:t>Three months ended June</w:t>
            </w:r>
          </w:p>
        </w:tc>
        <w:tc>
          <w:tcPr>
            <w:tcW w:w="100" w:type="dxa"/>
            <w:vAlign w:val="bottom"/>
            <w:shd w:val="clear" w:color="auto" w:fill="0094FF"/>
          </w:tcPr>
          <w:p>
            <w:pPr>
              <w:spacing w:after="0"/>
              <w:rPr>
                <w:sz w:val="19"/>
                <w:szCs w:val="19"/>
                <w:color w:val="auto"/>
              </w:rPr>
            </w:pPr>
          </w:p>
        </w:tc>
        <w:tc>
          <w:tcPr>
            <w:tcW w:w="140" w:type="dxa"/>
            <w:vAlign w:val="bottom"/>
            <w:shd w:val="clear" w:color="auto" w:fill="0094FF"/>
          </w:tcPr>
          <w:p>
            <w:pPr>
              <w:spacing w:after="0"/>
              <w:rPr>
                <w:sz w:val="19"/>
                <w:szCs w:val="19"/>
                <w:color w:val="auto"/>
              </w:rPr>
            </w:pPr>
          </w:p>
        </w:tc>
        <w:tc>
          <w:tcPr>
            <w:tcW w:w="2040" w:type="dxa"/>
            <w:vAlign w:val="bottom"/>
            <w:shd w:val="clear" w:color="auto" w:fill="0094FF"/>
          </w:tcPr>
          <w:p>
            <w:pPr>
              <w:jc w:val="right"/>
              <w:ind w:right="50"/>
              <w:spacing w:after="0"/>
              <w:rPr>
                <w:sz w:val="20"/>
                <w:szCs w:val="20"/>
                <w:color w:val="auto"/>
              </w:rPr>
            </w:pPr>
            <w:r>
              <w:rPr>
                <w:rFonts w:ascii="Arial" w:cs="Arial" w:eastAsia="Arial" w:hAnsi="Arial"/>
                <w:sz w:val="18"/>
                <w:szCs w:val="18"/>
                <w:color w:val="FFFFFF"/>
                <w:w w:val="99"/>
              </w:rPr>
              <w:t>Six months ended June</w:t>
            </w:r>
          </w:p>
        </w:tc>
        <w:tc>
          <w:tcPr>
            <w:tcW w:w="0" w:type="dxa"/>
            <w:vAlign w:val="bottom"/>
          </w:tcPr>
          <w:p>
            <w:pPr>
              <w:spacing w:after="0"/>
              <w:rPr>
                <w:sz w:val="1"/>
                <w:szCs w:val="1"/>
                <w:color w:val="auto"/>
              </w:rPr>
            </w:pPr>
          </w:p>
        </w:tc>
      </w:tr>
      <w:tr>
        <w:trPr>
          <w:trHeight w:val="217"/>
        </w:trPr>
        <w:tc>
          <w:tcPr>
            <w:tcW w:w="4200" w:type="dxa"/>
            <w:vAlign w:val="bottom"/>
            <w:shd w:val="clear" w:color="auto" w:fill="0094FF"/>
          </w:tcPr>
          <w:p>
            <w:pPr>
              <w:spacing w:after="0"/>
              <w:rPr>
                <w:sz w:val="18"/>
                <w:szCs w:val="18"/>
                <w:color w:val="auto"/>
              </w:rPr>
            </w:pPr>
          </w:p>
        </w:tc>
        <w:tc>
          <w:tcPr>
            <w:tcW w:w="2660" w:type="dxa"/>
            <w:vAlign w:val="bottom"/>
            <w:shd w:val="clear" w:color="auto" w:fill="0094FF"/>
          </w:tcPr>
          <w:p>
            <w:pPr>
              <w:spacing w:after="0"/>
              <w:rPr>
                <w:sz w:val="18"/>
                <w:szCs w:val="18"/>
                <w:color w:val="auto"/>
              </w:rPr>
            </w:pPr>
          </w:p>
        </w:tc>
        <w:tc>
          <w:tcPr>
            <w:tcW w:w="100" w:type="dxa"/>
            <w:vAlign w:val="bottom"/>
            <w:shd w:val="clear" w:color="auto" w:fill="0094FF"/>
          </w:tcPr>
          <w:p>
            <w:pPr>
              <w:spacing w:after="0"/>
              <w:rPr>
                <w:sz w:val="18"/>
                <w:szCs w:val="18"/>
                <w:color w:val="auto"/>
              </w:rPr>
            </w:pPr>
          </w:p>
        </w:tc>
        <w:tc>
          <w:tcPr>
            <w:tcW w:w="520" w:type="dxa"/>
            <w:vAlign w:val="bottom"/>
            <w:shd w:val="clear" w:color="auto" w:fill="0094FF"/>
          </w:tcPr>
          <w:p>
            <w:pPr>
              <w:spacing w:after="0"/>
              <w:rPr>
                <w:sz w:val="18"/>
                <w:szCs w:val="18"/>
                <w:color w:val="auto"/>
              </w:rPr>
            </w:pPr>
          </w:p>
        </w:tc>
        <w:tc>
          <w:tcPr>
            <w:tcW w:w="1660" w:type="dxa"/>
            <w:vAlign w:val="bottom"/>
            <w:shd w:val="clear" w:color="auto" w:fill="0094FF"/>
          </w:tcPr>
          <w:p>
            <w:pPr>
              <w:jc w:val="right"/>
              <w:ind w:right="870"/>
              <w:spacing w:after="0"/>
              <w:rPr>
                <w:sz w:val="20"/>
                <w:szCs w:val="20"/>
                <w:color w:val="auto"/>
              </w:rPr>
            </w:pPr>
            <w:r>
              <w:rPr>
                <w:rFonts w:ascii="Arial" w:cs="Arial" w:eastAsia="Arial" w:hAnsi="Arial"/>
                <w:sz w:val="18"/>
                <w:szCs w:val="18"/>
                <w:color w:val="FFFFFF"/>
              </w:rPr>
              <w:t>30,</w:t>
            </w:r>
          </w:p>
        </w:tc>
        <w:tc>
          <w:tcPr>
            <w:tcW w:w="100" w:type="dxa"/>
            <w:vAlign w:val="bottom"/>
            <w:shd w:val="clear" w:color="auto" w:fill="0094FF"/>
          </w:tcPr>
          <w:p>
            <w:pPr>
              <w:spacing w:after="0"/>
              <w:rPr>
                <w:sz w:val="18"/>
                <w:szCs w:val="18"/>
                <w:color w:val="auto"/>
              </w:rPr>
            </w:pPr>
          </w:p>
        </w:tc>
        <w:tc>
          <w:tcPr>
            <w:tcW w:w="140" w:type="dxa"/>
            <w:vAlign w:val="bottom"/>
            <w:shd w:val="clear" w:color="auto" w:fill="0094FF"/>
          </w:tcPr>
          <w:p>
            <w:pPr>
              <w:spacing w:after="0"/>
              <w:rPr>
                <w:sz w:val="18"/>
                <w:szCs w:val="18"/>
                <w:color w:val="auto"/>
              </w:rPr>
            </w:pPr>
          </w:p>
        </w:tc>
        <w:tc>
          <w:tcPr>
            <w:tcW w:w="2040" w:type="dxa"/>
            <w:vAlign w:val="bottom"/>
            <w:shd w:val="clear" w:color="auto" w:fill="0094FF"/>
          </w:tcPr>
          <w:p>
            <w:pPr>
              <w:jc w:val="right"/>
              <w:ind w:right="870"/>
              <w:spacing w:after="0"/>
              <w:rPr>
                <w:sz w:val="20"/>
                <w:szCs w:val="20"/>
                <w:color w:val="auto"/>
              </w:rPr>
            </w:pPr>
            <w:r>
              <w:rPr>
                <w:rFonts w:ascii="Arial" w:cs="Arial" w:eastAsia="Arial" w:hAnsi="Arial"/>
                <w:sz w:val="18"/>
                <w:szCs w:val="18"/>
                <w:color w:val="FFFFFF"/>
              </w:rPr>
              <w:t>30,</w:t>
            </w:r>
          </w:p>
        </w:tc>
        <w:tc>
          <w:tcPr>
            <w:tcW w:w="0" w:type="dxa"/>
            <w:vAlign w:val="bottom"/>
          </w:tcPr>
          <w:p>
            <w:pPr>
              <w:spacing w:after="0"/>
              <w:rPr>
                <w:sz w:val="1"/>
                <w:szCs w:val="1"/>
                <w:color w:val="auto"/>
              </w:rPr>
            </w:pPr>
          </w:p>
        </w:tc>
      </w:tr>
      <w:tr>
        <w:trPr>
          <w:trHeight w:val="284"/>
        </w:trPr>
        <w:tc>
          <w:tcPr>
            <w:tcW w:w="4200" w:type="dxa"/>
            <w:vAlign w:val="bottom"/>
            <w:shd w:val="clear" w:color="auto" w:fill="0094FF"/>
          </w:tcPr>
          <w:p>
            <w:pPr>
              <w:spacing w:after="0"/>
              <w:rPr>
                <w:sz w:val="24"/>
                <w:szCs w:val="24"/>
                <w:color w:val="auto"/>
              </w:rPr>
            </w:pPr>
          </w:p>
        </w:tc>
        <w:tc>
          <w:tcPr>
            <w:tcW w:w="266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520" w:type="dxa"/>
            <w:vAlign w:val="bottom"/>
            <w:shd w:val="clear" w:color="auto" w:fill="0094FF"/>
          </w:tcPr>
          <w:p>
            <w:pPr>
              <w:spacing w:after="0"/>
              <w:rPr>
                <w:sz w:val="24"/>
                <w:szCs w:val="24"/>
                <w:color w:val="auto"/>
              </w:rPr>
            </w:pPr>
          </w:p>
        </w:tc>
        <w:tc>
          <w:tcPr>
            <w:tcW w:w="1660" w:type="dxa"/>
            <w:vAlign w:val="bottom"/>
            <w:shd w:val="clear" w:color="auto" w:fill="0094FF"/>
          </w:tcPr>
          <w:p>
            <w:pPr>
              <w:jc w:val="right"/>
              <w:ind w:right="79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2040" w:type="dxa"/>
            <w:vAlign w:val="bottom"/>
            <w:shd w:val="clear" w:color="auto" w:fill="0094FF"/>
          </w:tcPr>
          <w:p>
            <w:pPr>
              <w:jc w:val="right"/>
              <w:ind w:right="7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166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204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color w:val="auto"/>
              </w:rPr>
              <w:t>Amortization of right-of-use assets</w:t>
            </w: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shd w:val="clear" w:color="auto" w:fill="E5E5E5"/>
          </w:tcPr>
          <w:p>
            <w:pPr>
              <w:ind w:left="40"/>
              <w:spacing w:after="0"/>
              <w:rPr>
                <w:sz w:val="20"/>
                <w:szCs w:val="20"/>
                <w:color w:val="auto"/>
              </w:rPr>
            </w:pPr>
            <w:r>
              <w:rPr>
                <w:rFonts w:ascii="Arial" w:cs="Arial" w:eastAsia="Arial" w:hAnsi="Arial"/>
                <w:sz w:val="18"/>
                <w:szCs w:val="18"/>
                <w:color w:val="1B51BF"/>
              </w:rPr>
              <w:t>$</w:t>
            </w:r>
          </w:p>
        </w:tc>
        <w:tc>
          <w:tcPr>
            <w:tcW w:w="16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0.7</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2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1.3</w:t>
            </w:r>
          </w:p>
        </w:tc>
        <w:tc>
          <w:tcPr>
            <w:tcW w:w="0" w:type="dxa"/>
            <w:vAlign w:val="bottom"/>
          </w:tcPr>
          <w:p>
            <w:pPr>
              <w:spacing w:after="0"/>
              <w:rPr>
                <w:sz w:val="1"/>
                <w:szCs w:val="1"/>
                <w:color w:val="auto"/>
              </w:rPr>
            </w:pPr>
          </w:p>
        </w:tc>
      </w:tr>
      <w:tr>
        <w:trPr>
          <w:trHeight w:val="277"/>
        </w:trPr>
        <w:tc>
          <w:tcPr>
            <w:tcW w:w="4200" w:type="dxa"/>
            <w:vAlign w:val="bottom"/>
          </w:tcPr>
          <w:p>
            <w:pPr>
              <w:ind w:left="40"/>
              <w:spacing w:after="0"/>
              <w:rPr>
                <w:sz w:val="20"/>
                <w:szCs w:val="20"/>
                <w:color w:val="auto"/>
              </w:rPr>
            </w:pPr>
            <w:r>
              <w:rPr>
                <w:rFonts w:ascii="Arial" w:cs="Arial" w:eastAsia="Arial" w:hAnsi="Arial"/>
                <w:sz w:val="18"/>
                <w:szCs w:val="18"/>
                <w:color w:val="auto"/>
              </w:rPr>
              <w:t>Interest on lease liabilities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shd w:val="clear" w:color="auto" w:fill="E5E5E5"/>
          </w:tcPr>
          <w:p>
            <w:pPr>
              <w:spacing w:after="0"/>
              <w:rPr>
                <w:sz w:val="24"/>
                <w:szCs w:val="24"/>
                <w:color w:val="auto"/>
              </w:rPr>
            </w:pPr>
          </w:p>
        </w:tc>
        <w:tc>
          <w:tcPr>
            <w:tcW w:w="16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0.2</w:t>
            </w:r>
          </w:p>
        </w:tc>
        <w:tc>
          <w:tcPr>
            <w:tcW w:w="100" w:type="dxa"/>
            <w:vAlign w:val="bottom"/>
            <w:tcBorders>
              <w:bottom w:val="single" w:sz="8" w:color="E5E5E5"/>
            </w:tcBorders>
            <w:shd w:val="clear" w:color="auto" w:fill="E5E5E5"/>
          </w:tcPr>
          <w:p>
            <w:pPr>
              <w:spacing w:after="0"/>
              <w:rPr>
                <w:sz w:val="24"/>
                <w:szCs w:val="24"/>
                <w:color w:val="auto"/>
              </w:rPr>
            </w:pPr>
          </w:p>
        </w:tc>
        <w:tc>
          <w:tcPr>
            <w:tcW w:w="140" w:type="dxa"/>
            <w:vAlign w:val="bottom"/>
            <w:tcBorders>
              <w:bottom w:val="single" w:sz="8" w:color="auto"/>
            </w:tcBorders>
            <w:shd w:val="clear" w:color="auto" w:fill="E5E5E5"/>
          </w:tcPr>
          <w:p>
            <w:pPr>
              <w:spacing w:after="0"/>
              <w:rPr>
                <w:sz w:val="24"/>
                <w:szCs w:val="24"/>
                <w:color w:val="auto"/>
              </w:rPr>
            </w:pPr>
          </w:p>
        </w:tc>
        <w:tc>
          <w:tcPr>
            <w:tcW w:w="20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0.3</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Total operating lease cost</w:t>
            </w: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shd w:val="clear" w:color="auto" w:fill="E5E5E5"/>
          </w:tcPr>
          <w:p>
            <w:pPr>
              <w:ind w:left="40"/>
              <w:spacing w:after="0"/>
              <w:rPr>
                <w:sz w:val="20"/>
                <w:szCs w:val="20"/>
                <w:color w:val="auto"/>
              </w:rPr>
            </w:pPr>
            <w:r>
              <w:rPr>
                <w:rFonts w:ascii="Arial" w:cs="Arial" w:eastAsia="Arial" w:hAnsi="Arial"/>
                <w:sz w:val="18"/>
                <w:szCs w:val="18"/>
                <w:color w:val="1B51BF"/>
              </w:rPr>
              <w:t>$</w:t>
            </w:r>
          </w:p>
        </w:tc>
        <w:tc>
          <w:tcPr>
            <w:tcW w:w="16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0.9</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2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60" w:type="dxa"/>
            <w:vAlign w:val="bottom"/>
            <w:vMerge w:val="restart"/>
          </w:tcPr>
          <w:p>
            <w:pPr>
              <w:jc w:val="right"/>
              <w:ind w:right="970"/>
              <w:spacing w:after="0"/>
              <w:rPr>
                <w:sz w:val="20"/>
                <w:szCs w:val="20"/>
                <w:color w:val="auto"/>
              </w:rPr>
            </w:pPr>
            <w:r>
              <w:rPr>
                <w:rFonts w:ascii="Arial" w:cs="Arial" w:eastAsia="Arial" w:hAnsi="Arial"/>
                <w:sz w:val="18"/>
                <w:szCs w:val="18"/>
                <w:b w:val="1"/>
                <w:bCs w:val="1"/>
                <w:color w:val="2C2C2C"/>
              </w:rPr>
              <w:t>16</w:t>
            </w: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Supplemental balance sheet information related to leases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40" w:type="dxa"/>
            <w:vAlign w:val="bottom"/>
            <w:shd w:val="clear" w:color="auto" w:fill="0094FF"/>
          </w:tcPr>
          <w:p>
            <w:pPr>
              <w:ind w:left="40"/>
              <w:spacing w:after="0"/>
              <w:rPr>
                <w:sz w:val="20"/>
                <w:szCs w:val="20"/>
                <w:color w:val="auto"/>
              </w:rPr>
            </w:pPr>
            <w:r>
              <w:rPr>
                <w:rFonts w:ascii="Arial" w:cs="Arial" w:eastAsia="Arial" w:hAnsi="Arial"/>
                <w:sz w:val="18"/>
                <w:szCs w:val="18"/>
                <w:i w:val="1"/>
                <w:iCs w:val="1"/>
                <w:color w:val="FFFFFF"/>
              </w:rPr>
              <w:t>(In millions, except lease term and discount rate)</w:t>
            </w:r>
          </w:p>
        </w:tc>
        <w:tc>
          <w:tcPr>
            <w:tcW w:w="3880" w:type="dxa"/>
            <w:vAlign w:val="bottom"/>
            <w:shd w:val="clear" w:color="auto" w:fill="0094FF"/>
          </w:tcPr>
          <w:p>
            <w:pPr>
              <w:ind w:left="720"/>
              <w:spacing w:after="0"/>
              <w:rPr>
                <w:sz w:val="20"/>
                <w:szCs w:val="20"/>
                <w:color w:val="auto"/>
              </w:rPr>
            </w:pPr>
            <w:r>
              <w:rPr>
                <w:rFonts w:ascii="Arial" w:cs="Arial" w:eastAsia="Arial" w:hAnsi="Arial"/>
                <w:sz w:val="18"/>
                <w:szCs w:val="18"/>
                <w:color w:val="FFFFFF"/>
              </w:rPr>
              <w:t>Balance Sheet Location</w:t>
            </w:r>
          </w:p>
        </w:tc>
        <w:tc>
          <w:tcPr>
            <w:tcW w:w="480" w:type="dxa"/>
            <w:vAlign w:val="bottom"/>
            <w:shd w:val="clear" w:color="auto" w:fill="0094FF"/>
          </w:tcPr>
          <w:p>
            <w:pPr>
              <w:spacing w:after="0"/>
              <w:rPr>
                <w:sz w:val="23"/>
                <w:szCs w:val="23"/>
                <w:color w:val="auto"/>
              </w:rPr>
            </w:pPr>
          </w:p>
        </w:tc>
        <w:tc>
          <w:tcPr>
            <w:tcW w:w="2320" w:type="dxa"/>
            <w:vAlign w:val="bottom"/>
            <w:shd w:val="clear" w:color="auto" w:fill="0094FF"/>
          </w:tcPr>
          <w:p>
            <w:pPr>
              <w:jc w:val="right"/>
              <w:ind w:right="750"/>
              <w:spacing w:after="0"/>
              <w:rPr>
                <w:sz w:val="20"/>
                <w:szCs w:val="20"/>
                <w:color w:val="auto"/>
              </w:rPr>
            </w:pPr>
            <w:r>
              <w:rPr>
                <w:rFonts w:ascii="Arial" w:cs="Arial" w:eastAsia="Arial" w:hAnsi="Arial"/>
                <w:sz w:val="18"/>
                <w:szCs w:val="18"/>
                <w:color w:val="FFFFFF"/>
              </w:rPr>
              <w:t>June 30, 2019</w:t>
            </w: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88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1B51BF"/>
                <w:w w:val="99"/>
              </w:rPr>
              <w:t>$</w:t>
            </w:r>
          </w:p>
        </w:tc>
        <w:tc>
          <w:tcPr>
            <w:tcW w:w="2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1B51BF"/>
              </w:rPr>
              <w:t>15.7</w:t>
            </w:r>
          </w:p>
        </w:tc>
      </w:tr>
      <w:tr>
        <w:trPr>
          <w:trHeight w:val="567"/>
        </w:trPr>
        <w:tc>
          <w:tcPr>
            <w:tcW w:w="4740" w:type="dxa"/>
            <w:vAlign w:val="bottom"/>
          </w:tcPr>
          <w:p>
            <w:pPr>
              <w:ind w:left="40"/>
              <w:spacing w:after="0"/>
              <w:rPr>
                <w:sz w:val="20"/>
                <w:szCs w:val="20"/>
                <w:color w:val="auto"/>
              </w:rPr>
            </w:pPr>
            <w:r>
              <w:rPr>
                <w:rFonts w:ascii="Arial" w:cs="Arial" w:eastAsia="Arial" w:hAnsi="Arial"/>
                <w:sz w:val="18"/>
                <w:szCs w:val="18"/>
                <w:color w:val="auto"/>
              </w:rPr>
              <w:t>Operating lease liabilities, current portion</w:t>
            </w:r>
          </w:p>
        </w:tc>
        <w:tc>
          <w:tcPr>
            <w:tcW w:w="388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E5E5E5"/>
          </w:tcPr>
          <w:p>
            <w:pPr>
              <w:spacing w:after="0"/>
              <w:rPr>
                <w:sz w:val="24"/>
                <w:szCs w:val="24"/>
                <w:color w:val="auto"/>
              </w:rPr>
            </w:pPr>
          </w:p>
        </w:tc>
        <w:tc>
          <w:tcPr>
            <w:tcW w:w="2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1B51BF"/>
              </w:rPr>
              <w:t>1.9</w:t>
            </w:r>
          </w:p>
        </w:tc>
      </w:tr>
      <w:tr>
        <w:trPr>
          <w:trHeight w:val="277"/>
        </w:trPr>
        <w:tc>
          <w:tcPr>
            <w:tcW w:w="47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388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shd w:val="clear" w:color="auto" w:fill="E5E5E5"/>
          </w:tcPr>
          <w:p>
            <w:pPr>
              <w:spacing w:after="0"/>
              <w:rPr>
                <w:sz w:val="24"/>
                <w:szCs w:val="24"/>
                <w:color w:val="auto"/>
              </w:rPr>
            </w:pPr>
          </w:p>
        </w:tc>
        <w:tc>
          <w:tcPr>
            <w:tcW w:w="2320" w:type="dxa"/>
            <w:vAlign w:val="bottom"/>
            <w:tcBorders>
              <w:bottom w:val="single" w:sz="8" w:color="auto"/>
            </w:tcBorders>
            <w:shd w:val="clear" w:color="auto" w:fill="E5E5E5"/>
          </w:tcPr>
          <w:p>
            <w:pPr>
              <w:jc w:val="right"/>
              <w:ind w:right="90"/>
              <w:spacing w:after="0"/>
              <w:rPr>
                <w:sz w:val="20"/>
                <w:szCs w:val="20"/>
                <w:color w:val="auto"/>
              </w:rPr>
            </w:pPr>
            <w:r>
              <w:rPr>
                <w:rFonts w:ascii="Arial" w:cs="Arial" w:eastAsia="Arial" w:hAnsi="Arial"/>
                <w:sz w:val="18"/>
                <w:szCs w:val="18"/>
                <w:color w:val="1B51BF"/>
              </w:rPr>
              <w:t>14.6</w:t>
            </w:r>
          </w:p>
        </w:tc>
      </w:tr>
      <w:tr>
        <w:trPr>
          <w:trHeight w:val="297"/>
        </w:trPr>
        <w:tc>
          <w:tcPr>
            <w:tcW w:w="4740" w:type="dxa"/>
            <w:vAlign w:val="bottom"/>
          </w:tcPr>
          <w:p>
            <w:pPr>
              <w:ind w:left="40"/>
              <w:spacing w:after="0"/>
              <w:rPr>
                <w:sz w:val="20"/>
                <w:szCs w:val="20"/>
                <w:color w:val="auto"/>
              </w:rPr>
            </w:pPr>
            <w:r>
              <w:rPr>
                <w:rFonts w:ascii="Arial" w:cs="Arial" w:eastAsia="Arial" w:hAnsi="Arial"/>
                <w:sz w:val="18"/>
                <w:szCs w:val="18"/>
                <w:color w:val="auto"/>
              </w:rPr>
              <w:t>Total operating lease liabilities</w:t>
            </w:r>
          </w:p>
        </w:tc>
        <w:tc>
          <w:tcPr>
            <w:tcW w:w="3880" w:type="dxa"/>
            <w:vAlign w:val="bottom"/>
          </w:tcPr>
          <w:p>
            <w:pPr>
              <w:spacing w:after="0"/>
              <w:rPr>
                <w:sz w:val="24"/>
                <w:szCs w:val="24"/>
                <w:color w:val="auto"/>
              </w:rPr>
            </w:pPr>
          </w:p>
        </w:tc>
        <w:tc>
          <w:tcPr>
            <w:tcW w:w="480" w:type="dxa"/>
            <w:vAlign w:val="bottom"/>
            <w:tcBorders>
              <w:bottom w:val="single" w:sz="8" w:color="auto"/>
            </w:tcBorders>
            <w:shd w:val="clear" w:color="auto" w:fill="E5E5E5"/>
          </w:tcPr>
          <w:p>
            <w:pPr>
              <w:jc w:val="right"/>
              <w:ind w:right="270"/>
              <w:spacing w:after="0"/>
              <w:rPr>
                <w:sz w:val="20"/>
                <w:szCs w:val="20"/>
                <w:color w:val="auto"/>
              </w:rPr>
            </w:pPr>
            <w:r>
              <w:rPr>
                <w:rFonts w:ascii="Arial" w:cs="Arial" w:eastAsia="Arial" w:hAnsi="Arial"/>
                <w:sz w:val="18"/>
                <w:szCs w:val="18"/>
                <w:color w:val="1B51BF"/>
                <w:w w:val="99"/>
              </w:rPr>
              <w:t>$</w:t>
            </w:r>
          </w:p>
        </w:tc>
        <w:tc>
          <w:tcPr>
            <w:tcW w:w="2320" w:type="dxa"/>
            <w:vAlign w:val="bottom"/>
            <w:tcBorders>
              <w:bottom w:val="single" w:sz="8" w:color="auto"/>
            </w:tcBorders>
            <w:shd w:val="clear" w:color="auto" w:fill="E5E5E5"/>
          </w:tcPr>
          <w:p>
            <w:pPr>
              <w:jc w:val="right"/>
              <w:ind w:right="90"/>
              <w:spacing w:after="0"/>
              <w:rPr>
                <w:sz w:val="20"/>
                <w:szCs w:val="20"/>
                <w:color w:val="auto"/>
              </w:rPr>
            </w:pPr>
            <w:r>
              <w:rPr>
                <w:rFonts w:ascii="Arial" w:cs="Arial" w:eastAsia="Arial" w:hAnsi="Arial"/>
                <w:sz w:val="18"/>
                <w:szCs w:val="18"/>
                <w:color w:val="1B51BF"/>
              </w:rPr>
              <w:t>16.5</w:t>
            </w:r>
          </w:p>
        </w:tc>
      </w:tr>
      <w:tr>
        <w:trPr>
          <w:trHeight w:val="548"/>
        </w:trPr>
        <w:tc>
          <w:tcPr>
            <w:tcW w:w="47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880" w:type="dxa"/>
            <w:vAlign w:val="bottom"/>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2320" w:type="dxa"/>
            <w:vAlign w:val="bottom"/>
            <w:shd w:val="clear" w:color="auto" w:fill="E5E5E5"/>
          </w:tcPr>
          <w:p>
            <w:pPr>
              <w:spacing w:after="0"/>
              <w:rPr>
                <w:sz w:val="24"/>
                <w:szCs w:val="24"/>
                <w:color w:val="auto"/>
              </w:rPr>
            </w:pP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3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Pr>
          <w:p>
            <w:pPr>
              <w:jc w:val="right"/>
              <w:ind w:right="90"/>
              <w:spacing w:after="0"/>
              <w:rPr>
                <w:sz w:val="20"/>
                <w:szCs w:val="20"/>
                <w:color w:val="auto"/>
              </w:rPr>
            </w:pPr>
            <w:r>
              <w:rPr>
                <w:rFonts w:ascii="Arial" w:cs="Arial" w:eastAsia="Arial" w:hAnsi="Arial"/>
                <w:sz w:val="18"/>
                <w:szCs w:val="18"/>
                <w:color w:val="1B51BF"/>
              </w:rPr>
              <w:t>10.3</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1B51BF"/>
              </w:rPr>
              <w:t>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-505460</wp:posOffset>
            </wp:positionV>
            <wp:extent cx="178371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715" cy="514350"/>
                    </a:xfrm>
                    <a:prstGeom prst="rect">
                      <a:avLst/>
                    </a:prstGeom>
                    <a:noFill/>
                  </pic:spPr>
                </pic:pic>
              </a:graphicData>
            </a:graphic>
          </wp:anchor>
        </w:drawing>
      </w:r>
    </w:p>
    <w:p>
      <w:pPr>
        <w:spacing w:after="0" w:line="34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00497F"/>
        </w:rPr>
      </w:pPr>
      <w:r>
        <w:rPr>
          <w:rFonts w:ascii="Arial" w:cs="Arial" w:eastAsia="Arial" w:hAnsi="Arial"/>
          <w:sz w:val="20"/>
          <w:szCs w:val="20"/>
          <w:b w:val="1"/>
          <w:bCs w:val="1"/>
          <w:color w:val="00497F"/>
        </w:rPr>
        <w:t>Intangible Assets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The Company's intangible as</w:t>
      </w:r>
      <w:r>
        <w:rPr>
          <w:rFonts w:ascii="Arial" w:cs="Arial" w:eastAsia="Arial" w:hAnsi="Arial"/>
          <w:sz w:val="18"/>
          <w:szCs w:val="18"/>
          <w:b w:val="1"/>
          <w:bCs w:val="1"/>
          <w:color w:val="2C2C2C"/>
        </w:rPr>
        <w:t>sets consist of products acquired via business combinations or asset acquisitions. The following</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C2C2C"/>
        </w:rPr>
        <w:t>table summarizes the carrying amount of the Company's intangible assets and goodwill, net of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59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101" w:lineRule="exact"/>
        <w:rPr>
          <w:sz w:val="20"/>
          <w:szCs w:val="20"/>
          <w:color w:val="auto"/>
        </w:rPr>
      </w:pPr>
    </w:p>
    <w:p>
      <w:pPr>
        <w:ind w:left="6180"/>
        <w:spacing w:after="0"/>
        <w:rPr>
          <w:sz w:val="20"/>
          <w:szCs w:val="20"/>
          <w:color w:val="auto"/>
        </w:rPr>
      </w:pPr>
      <w:r>
        <w:rPr>
          <w:rFonts w:ascii="Arial" w:cs="Arial" w:eastAsia="Arial" w:hAnsi="Arial"/>
          <w:sz w:val="18"/>
          <w:szCs w:val="18"/>
          <w:color w:val="FFFFFF"/>
        </w:rPr>
        <w:t>June 30,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shd w:val="clear" w:color="auto" w:fill="0094FF"/>
          </w:tcPr>
          <w:p>
            <w:pPr>
              <w:ind w:left="40"/>
              <w:spacing w:after="0"/>
              <w:rPr>
                <w:sz w:val="20"/>
                <w:szCs w:val="20"/>
                <w:color w:val="auto"/>
              </w:rPr>
            </w:pPr>
            <w:r>
              <w:rPr>
                <w:rFonts w:ascii="Arial" w:cs="Arial" w:eastAsia="Arial" w:hAnsi="Arial"/>
                <w:sz w:val="18"/>
                <w:szCs w:val="18"/>
                <w:color w:val="FFFFFF"/>
                <w:w w:val="99"/>
              </w:rPr>
              <w:t>Estimated Life</w:t>
            </w:r>
          </w:p>
        </w:tc>
        <w:tc>
          <w:tcPr>
            <w:tcW w:w="260" w:type="dxa"/>
            <w:vAlign w:val="bottom"/>
            <w:shd w:val="clear" w:color="auto" w:fill="0094FF"/>
          </w:tcPr>
          <w:p>
            <w:pPr>
              <w:spacing w:after="0"/>
              <w:rPr>
                <w:sz w:val="19"/>
                <w:szCs w:val="19"/>
                <w:color w:val="auto"/>
              </w:rPr>
            </w:pPr>
          </w:p>
        </w:tc>
        <w:tc>
          <w:tcPr>
            <w:tcW w:w="920" w:type="dxa"/>
            <w:vAlign w:val="bottom"/>
            <w:shd w:val="clear" w:color="auto" w:fill="0094FF"/>
          </w:tcPr>
          <w:p>
            <w:pPr>
              <w:jc w:val="right"/>
              <w:ind w:right="290"/>
              <w:spacing w:after="0"/>
              <w:rPr>
                <w:sz w:val="20"/>
                <w:szCs w:val="20"/>
                <w:color w:val="auto"/>
              </w:rPr>
            </w:pPr>
            <w:r>
              <w:rPr>
                <w:rFonts w:ascii="Arial" w:cs="Arial" w:eastAsia="Arial" w:hAnsi="Arial"/>
                <w:sz w:val="18"/>
                <w:szCs w:val="18"/>
                <w:color w:val="FFFFFF"/>
              </w:rPr>
              <w:t>Cost</w:t>
            </w:r>
          </w:p>
        </w:tc>
        <w:tc>
          <w:tcPr>
            <w:tcW w:w="240" w:type="dxa"/>
            <w:vAlign w:val="bottom"/>
            <w:shd w:val="clear" w:color="auto" w:fill="0094FF"/>
          </w:tcPr>
          <w:p>
            <w:pPr>
              <w:spacing w:after="0"/>
              <w:rPr>
                <w:sz w:val="19"/>
                <w:szCs w:val="19"/>
                <w:color w:val="auto"/>
              </w:rPr>
            </w:pPr>
          </w:p>
        </w:tc>
        <w:tc>
          <w:tcPr>
            <w:tcW w:w="138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9"/>
              </w:rPr>
              <w:t>Measurement</w:t>
            </w:r>
          </w:p>
        </w:tc>
        <w:tc>
          <w:tcPr>
            <w:tcW w:w="220" w:type="dxa"/>
            <w:vAlign w:val="bottom"/>
            <w:shd w:val="clear" w:color="auto" w:fill="0094FF"/>
          </w:tcPr>
          <w:p>
            <w:pPr>
              <w:spacing w:after="0"/>
              <w:rPr>
                <w:sz w:val="19"/>
                <w:szCs w:val="19"/>
                <w:color w:val="auto"/>
              </w:rPr>
            </w:pPr>
          </w:p>
        </w:tc>
        <w:tc>
          <w:tcPr>
            <w:tcW w:w="1000" w:type="dxa"/>
            <w:vAlign w:val="bottom"/>
            <w:shd w:val="clear" w:color="auto" w:fill="0094FF"/>
          </w:tcPr>
          <w:p>
            <w:pPr>
              <w:jc w:val="right"/>
              <w:ind w:right="90"/>
              <w:spacing w:after="0"/>
              <w:rPr>
                <w:sz w:val="20"/>
                <w:szCs w:val="20"/>
                <w:color w:val="auto"/>
              </w:rPr>
            </w:pPr>
            <w:r>
              <w:rPr>
                <w:rFonts w:ascii="Arial" w:cs="Arial" w:eastAsia="Arial" w:hAnsi="Arial"/>
                <w:sz w:val="18"/>
                <w:szCs w:val="18"/>
                <w:color w:val="FFFFFF"/>
              </w:rPr>
              <w:t>Additions</w:t>
            </w:r>
          </w:p>
        </w:tc>
        <w:tc>
          <w:tcPr>
            <w:tcW w:w="1260" w:type="dxa"/>
            <w:vAlign w:val="bottom"/>
            <w:gridSpan w:val="2"/>
            <w:shd w:val="clear" w:color="auto" w:fill="0094FF"/>
          </w:tcPr>
          <w:p>
            <w:pPr>
              <w:jc w:val="right"/>
              <w:ind w:right="10"/>
              <w:spacing w:after="0"/>
              <w:rPr>
                <w:sz w:val="20"/>
                <w:szCs w:val="20"/>
                <w:color w:val="auto"/>
              </w:rPr>
            </w:pPr>
            <w:r>
              <w:rPr>
                <w:rFonts w:ascii="Arial" w:cs="Arial" w:eastAsia="Arial" w:hAnsi="Arial"/>
                <w:sz w:val="18"/>
                <w:szCs w:val="18"/>
                <w:color w:val="FFFFFF"/>
              </w:rPr>
              <w:t>Gross Total</w:t>
            </w:r>
          </w:p>
        </w:tc>
        <w:tc>
          <w:tcPr>
            <w:tcW w:w="260" w:type="dxa"/>
            <w:vAlign w:val="bottom"/>
            <w:shd w:val="clear" w:color="auto" w:fill="0094FF"/>
          </w:tcPr>
          <w:p>
            <w:pPr>
              <w:spacing w:after="0"/>
              <w:rPr>
                <w:sz w:val="19"/>
                <w:szCs w:val="19"/>
                <w:color w:val="auto"/>
              </w:rPr>
            </w:pPr>
          </w:p>
        </w:tc>
        <w:tc>
          <w:tcPr>
            <w:tcW w:w="136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Accumulated</w:t>
            </w:r>
          </w:p>
        </w:tc>
        <w:tc>
          <w:tcPr>
            <w:tcW w:w="340" w:type="dxa"/>
            <w:vAlign w:val="bottom"/>
            <w:shd w:val="clear" w:color="auto" w:fill="0094FF"/>
          </w:tcPr>
          <w:p>
            <w:pPr>
              <w:spacing w:after="0"/>
              <w:rPr>
                <w:sz w:val="19"/>
                <w:szCs w:val="19"/>
                <w:color w:val="auto"/>
              </w:rPr>
            </w:pPr>
          </w:p>
        </w:tc>
        <w:tc>
          <w:tcPr>
            <w:tcW w:w="900" w:type="dxa"/>
            <w:vAlign w:val="bottom"/>
            <w:gridSpan w:val="2"/>
            <w:shd w:val="clear" w:color="auto" w:fill="0094FF"/>
          </w:tcPr>
          <w:p>
            <w:pPr>
              <w:ind w:left="180"/>
              <w:spacing w:after="0"/>
              <w:rPr>
                <w:sz w:val="20"/>
                <w:szCs w:val="20"/>
                <w:color w:val="auto"/>
              </w:rPr>
            </w:pPr>
            <w:r>
              <w:rPr>
                <w:rFonts w:ascii="Arial" w:cs="Arial" w:eastAsia="Arial" w:hAnsi="Arial"/>
                <w:sz w:val="18"/>
                <w:szCs w:val="18"/>
                <w:color w:val="FFFFFF"/>
              </w:rPr>
              <w:t>Net</w:t>
            </w:r>
          </w:p>
        </w:tc>
      </w:tr>
      <w:tr>
        <w:trPr>
          <w:trHeight w:val="203"/>
        </w:trPr>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shd w:val="clear" w:color="auto" w:fill="0094FF"/>
          </w:tcPr>
          <w:p>
            <w:pPr>
              <w:ind w:left="340"/>
              <w:spacing w:after="0" w:line="202" w:lineRule="exact"/>
              <w:rPr>
                <w:sz w:val="20"/>
                <w:szCs w:val="20"/>
                <w:color w:val="auto"/>
              </w:rPr>
            </w:pPr>
            <w:r>
              <w:rPr>
                <w:rFonts w:ascii="Arial" w:cs="Arial" w:eastAsia="Arial" w:hAnsi="Arial"/>
                <w:sz w:val="18"/>
                <w:szCs w:val="18"/>
                <w:color w:val="FFFFFF"/>
              </w:rPr>
              <w:t>(years)</w:t>
            </w:r>
          </w:p>
        </w:tc>
        <w:tc>
          <w:tcPr>
            <w:tcW w:w="260" w:type="dxa"/>
            <w:vAlign w:val="bottom"/>
            <w:shd w:val="clear" w:color="auto" w:fill="0094FF"/>
          </w:tcPr>
          <w:p>
            <w:pPr>
              <w:spacing w:after="0"/>
              <w:rPr>
                <w:sz w:val="17"/>
                <w:szCs w:val="17"/>
                <w:color w:val="auto"/>
              </w:rPr>
            </w:pPr>
          </w:p>
        </w:tc>
        <w:tc>
          <w:tcPr>
            <w:tcW w:w="920" w:type="dxa"/>
            <w:vAlign w:val="bottom"/>
            <w:shd w:val="clear" w:color="auto" w:fill="0094FF"/>
          </w:tcPr>
          <w:p>
            <w:pPr>
              <w:spacing w:after="0"/>
              <w:rPr>
                <w:sz w:val="17"/>
                <w:szCs w:val="17"/>
                <w:color w:val="auto"/>
              </w:rPr>
            </w:pPr>
          </w:p>
        </w:tc>
        <w:tc>
          <w:tcPr>
            <w:tcW w:w="240" w:type="dxa"/>
            <w:vAlign w:val="bottom"/>
            <w:shd w:val="clear" w:color="auto" w:fill="0094FF"/>
          </w:tcPr>
          <w:p>
            <w:pPr>
              <w:spacing w:after="0"/>
              <w:rPr>
                <w:sz w:val="17"/>
                <w:szCs w:val="17"/>
                <w:color w:val="auto"/>
              </w:rPr>
            </w:pPr>
          </w:p>
        </w:tc>
        <w:tc>
          <w:tcPr>
            <w:tcW w:w="1380" w:type="dxa"/>
            <w:vAlign w:val="bottom"/>
            <w:shd w:val="clear" w:color="auto" w:fill="0094FF"/>
          </w:tcPr>
          <w:p>
            <w:pPr>
              <w:jc w:val="center"/>
              <w:ind w:right="50"/>
              <w:spacing w:after="0" w:line="202" w:lineRule="exact"/>
              <w:rPr>
                <w:sz w:val="20"/>
                <w:szCs w:val="20"/>
                <w:color w:val="auto"/>
              </w:rPr>
            </w:pPr>
            <w:r>
              <w:rPr>
                <w:rFonts w:ascii="Arial" w:cs="Arial" w:eastAsia="Arial" w:hAnsi="Arial"/>
                <w:sz w:val="18"/>
                <w:szCs w:val="18"/>
                <w:color w:val="FFFFFF"/>
                <w:w w:val="99"/>
              </w:rPr>
              <w:t>Period</w:t>
            </w:r>
          </w:p>
        </w:tc>
        <w:tc>
          <w:tcPr>
            <w:tcW w:w="22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460" w:type="dxa"/>
            <w:vAlign w:val="bottom"/>
            <w:shd w:val="clear" w:color="auto" w:fill="0094FF"/>
          </w:tcPr>
          <w:p>
            <w:pPr>
              <w:spacing w:after="0"/>
              <w:rPr>
                <w:sz w:val="17"/>
                <w:szCs w:val="17"/>
                <w:color w:val="auto"/>
              </w:rPr>
            </w:pPr>
          </w:p>
        </w:tc>
        <w:tc>
          <w:tcPr>
            <w:tcW w:w="800" w:type="dxa"/>
            <w:vAlign w:val="bottom"/>
            <w:shd w:val="clear" w:color="auto" w:fill="0094FF"/>
          </w:tcPr>
          <w:p>
            <w:pPr>
              <w:spacing w:after="0"/>
              <w:rPr>
                <w:sz w:val="17"/>
                <w:szCs w:val="17"/>
                <w:color w:val="auto"/>
              </w:rPr>
            </w:pPr>
          </w:p>
        </w:tc>
        <w:tc>
          <w:tcPr>
            <w:tcW w:w="260" w:type="dxa"/>
            <w:vAlign w:val="bottom"/>
            <w:shd w:val="clear" w:color="auto" w:fill="0094FF"/>
          </w:tcPr>
          <w:p>
            <w:pPr>
              <w:spacing w:after="0"/>
              <w:rPr>
                <w:sz w:val="17"/>
                <w:szCs w:val="17"/>
                <w:color w:val="auto"/>
              </w:rPr>
            </w:pPr>
          </w:p>
        </w:tc>
        <w:tc>
          <w:tcPr>
            <w:tcW w:w="1360" w:type="dxa"/>
            <w:vAlign w:val="bottom"/>
            <w:shd w:val="clear" w:color="auto" w:fill="0094FF"/>
          </w:tcPr>
          <w:p>
            <w:pPr>
              <w:jc w:val="right"/>
              <w:ind w:right="170"/>
              <w:spacing w:after="0" w:line="202" w:lineRule="exact"/>
              <w:rPr>
                <w:sz w:val="20"/>
                <w:szCs w:val="20"/>
                <w:color w:val="auto"/>
              </w:rPr>
            </w:pPr>
            <w:r>
              <w:rPr>
                <w:rFonts w:ascii="Arial" w:cs="Arial" w:eastAsia="Arial" w:hAnsi="Arial"/>
                <w:sz w:val="18"/>
                <w:szCs w:val="18"/>
                <w:color w:val="FFFFFF"/>
              </w:rPr>
              <w:t>Amortization</w:t>
            </w:r>
          </w:p>
        </w:tc>
        <w:tc>
          <w:tcPr>
            <w:tcW w:w="340" w:type="dxa"/>
            <w:vAlign w:val="bottom"/>
            <w:shd w:val="clear" w:color="auto" w:fill="0094FF"/>
          </w:tcPr>
          <w:p>
            <w:pPr>
              <w:spacing w:after="0"/>
              <w:rPr>
                <w:sz w:val="17"/>
                <w:szCs w:val="17"/>
                <w:color w:val="auto"/>
              </w:rPr>
            </w:pPr>
          </w:p>
        </w:tc>
        <w:tc>
          <w:tcPr>
            <w:tcW w:w="840" w:type="dxa"/>
            <w:vAlign w:val="bottom"/>
            <w:shd w:val="clear" w:color="auto" w:fill="0094FF"/>
          </w:tcPr>
          <w:p>
            <w:pPr>
              <w:spacing w:after="0"/>
              <w:rPr>
                <w:sz w:val="17"/>
                <w:szCs w:val="17"/>
                <w:color w:val="auto"/>
              </w:rPr>
            </w:pPr>
          </w:p>
        </w:tc>
        <w:tc>
          <w:tcPr>
            <w:tcW w:w="60" w:type="dxa"/>
            <w:vAlign w:val="bottom"/>
            <w:shd w:val="clear" w:color="auto" w:fill="0094FF"/>
          </w:tcPr>
          <w:p>
            <w:pPr>
              <w:spacing w:after="0"/>
              <w:rPr>
                <w:sz w:val="17"/>
                <w:szCs w:val="17"/>
                <w:color w:val="auto"/>
              </w:rPr>
            </w:pPr>
          </w:p>
        </w:tc>
      </w:tr>
      <w:tr>
        <w:trPr>
          <w:trHeight w:val="230"/>
        </w:trPr>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shd w:val="clear" w:color="auto" w:fill="0094FF"/>
          </w:tcPr>
          <w:p>
            <w:pPr>
              <w:spacing w:after="0"/>
              <w:rPr>
                <w:sz w:val="20"/>
                <w:szCs w:val="20"/>
                <w:color w:val="auto"/>
              </w:rPr>
            </w:pPr>
          </w:p>
        </w:tc>
        <w:tc>
          <w:tcPr>
            <w:tcW w:w="260" w:type="dxa"/>
            <w:vAlign w:val="bottom"/>
            <w:shd w:val="clear" w:color="auto" w:fill="0094FF"/>
          </w:tcPr>
          <w:p>
            <w:pPr>
              <w:spacing w:after="0"/>
              <w:rPr>
                <w:sz w:val="20"/>
                <w:szCs w:val="20"/>
                <w:color w:val="auto"/>
              </w:rPr>
            </w:pPr>
          </w:p>
        </w:tc>
        <w:tc>
          <w:tcPr>
            <w:tcW w:w="920" w:type="dxa"/>
            <w:vAlign w:val="bottom"/>
            <w:shd w:val="clear" w:color="auto" w:fill="0094FF"/>
          </w:tcPr>
          <w:p>
            <w:pPr>
              <w:spacing w:after="0"/>
              <w:rPr>
                <w:sz w:val="20"/>
                <w:szCs w:val="20"/>
                <w:color w:val="auto"/>
              </w:rPr>
            </w:pPr>
          </w:p>
        </w:tc>
        <w:tc>
          <w:tcPr>
            <w:tcW w:w="240" w:type="dxa"/>
            <w:vAlign w:val="bottom"/>
            <w:shd w:val="clear" w:color="auto" w:fill="0094FF"/>
          </w:tcPr>
          <w:p>
            <w:pPr>
              <w:spacing w:after="0"/>
              <w:rPr>
                <w:sz w:val="20"/>
                <w:szCs w:val="20"/>
                <w:color w:val="auto"/>
              </w:rPr>
            </w:pPr>
          </w:p>
        </w:tc>
        <w:tc>
          <w:tcPr>
            <w:tcW w:w="138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9"/>
              </w:rPr>
              <w:t>Adjustment</w:t>
            </w:r>
          </w:p>
        </w:tc>
        <w:tc>
          <w:tcPr>
            <w:tcW w:w="220" w:type="dxa"/>
            <w:vAlign w:val="bottom"/>
            <w:shd w:val="clear" w:color="auto" w:fill="0094FF"/>
          </w:tcPr>
          <w:p>
            <w:pPr>
              <w:spacing w:after="0"/>
              <w:rPr>
                <w:sz w:val="20"/>
                <w:szCs w:val="20"/>
                <w:color w:val="auto"/>
              </w:rPr>
            </w:pPr>
          </w:p>
        </w:tc>
        <w:tc>
          <w:tcPr>
            <w:tcW w:w="1000" w:type="dxa"/>
            <w:vAlign w:val="bottom"/>
            <w:shd w:val="clear" w:color="auto" w:fill="0094FF"/>
          </w:tcPr>
          <w:p>
            <w:pPr>
              <w:spacing w:after="0"/>
              <w:rPr>
                <w:sz w:val="20"/>
                <w:szCs w:val="20"/>
                <w:color w:val="auto"/>
              </w:rPr>
            </w:pPr>
          </w:p>
        </w:tc>
        <w:tc>
          <w:tcPr>
            <w:tcW w:w="460" w:type="dxa"/>
            <w:vAlign w:val="bottom"/>
            <w:shd w:val="clear" w:color="auto" w:fill="0094FF"/>
          </w:tcPr>
          <w:p>
            <w:pPr>
              <w:spacing w:after="0"/>
              <w:rPr>
                <w:sz w:val="20"/>
                <w:szCs w:val="20"/>
                <w:color w:val="auto"/>
              </w:rPr>
            </w:pPr>
          </w:p>
        </w:tc>
        <w:tc>
          <w:tcPr>
            <w:tcW w:w="800" w:type="dxa"/>
            <w:vAlign w:val="bottom"/>
            <w:shd w:val="clear" w:color="auto" w:fill="0094FF"/>
          </w:tcPr>
          <w:p>
            <w:pPr>
              <w:spacing w:after="0"/>
              <w:rPr>
                <w:sz w:val="20"/>
                <w:szCs w:val="20"/>
                <w:color w:val="auto"/>
              </w:rPr>
            </w:pPr>
          </w:p>
        </w:tc>
        <w:tc>
          <w:tcPr>
            <w:tcW w:w="260" w:type="dxa"/>
            <w:vAlign w:val="bottom"/>
            <w:shd w:val="clear" w:color="auto" w:fill="0094FF"/>
          </w:tcPr>
          <w:p>
            <w:pPr>
              <w:spacing w:after="0"/>
              <w:rPr>
                <w:sz w:val="20"/>
                <w:szCs w:val="20"/>
                <w:color w:val="auto"/>
              </w:rPr>
            </w:pPr>
          </w:p>
        </w:tc>
        <w:tc>
          <w:tcPr>
            <w:tcW w:w="1360" w:type="dxa"/>
            <w:vAlign w:val="bottom"/>
            <w:shd w:val="clear" w:color="auto" w:fill="0094FF"/>
          </w:tcPr>
          <w:p>
            <w:pPr>
              <w:spacing w:after="0"/>
              <w:rPr>
                <w:sz w:val="20"/>
                <w:szCs w:val="20"/>
                <w:color w:val="auto"/>
              </w:rPr>
            </w:pPr>
          </w:p>
        </w:tc>
        <w:tc>
          <w:tcPr>
            <w:tcW w:w="340" w:type="dxa"/>
            <w:vAlign w:val="bottom"/>
            <w:shd w:val="clear" w:color="auto" w:fill="0094FF"/>
          </w:tcPr>
          <w:p>
            <w:pPr>
              <w:spacing w:after="0"/>
              <w:rPr>
                <w:sz w:val="20"/>
                <w:szCs w:val="20"/>
                <w:color w:val="auto"/>
              </w:rPr>
            </w:pPr>
          </w:p>
        </w:tc>
        <w:tc>
          <w:tcPr>
            <w:tcW w:w="840" w:type="dxa"/>
            <w:vAlign w:val="bottom"/>
            <w:shd w:val="clear" w:color="auto" w:fill="0094FF"/>
          </w:tcPr>
          <w:p>
            <w:pPr>
              <w:spacing w:after="0"/>
              <w:rPr>
                <w:sz w:val="20"/>
                <w:szCs w:val="20"/>
                <w:color w:val="auto"/>
              </w:rPr>
            </w:pPr>
          </w:p>
        </w:tc>
        <w:tc>
          <w:tcPr>
            <w:tcW w:w="60" w:type="dxa"/>
            <w:vAlign w:val="bottom"/>
            <w:shd w:val="clear" w:color="auto" w:fill="0094FF"/>
          </w:tcPr>
          <w:p>
            <w:pPr>
              <w:spacing w:after="0"/>
              <w:rPr>
                <w:sz w:val="20"/>
                <w:szCs w:val="20"/>
                <w:color w:val="auto"/>
              </w:rPr>
            </w:pPr>
          </w:p>
        </w:tc>
      </w:tr>
      <w:tr>
        <w:trPr>
          <w:trHeight w:val="257"/>
        </w:trPr>
        <w:tc>
          <w:tcPr>
            <w:tcW w:w="20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22"/>
                <w:szCs w:val="22"/>
                <w:color w:val="auto"/>
              </w:rPr>
            </w:pPr>
          </w:p>
        </w:tc>
        <w:tc>
          <w:tcPr>
            <w:tcW w:w="1200" w:type="dxa"/>
            <w:vAlign w:val="bottom"/>
            <w:shd w:val="clear" w:color="auto" w:fill="E5E5E5"/>
          </w:tcPr>
          <w:p>
            <w:pPr>
              <w:ind w:left="440"/>
              <w:spacing w:after="0"/>
              <w:rPr>
                <w:sz w:val="20"/>
                <w:szCs w:val="20"/>
                <w:color w:val="auto"/>
              </w:rPr>
            </w:pPr>
            <w:r>
              <w:rPr>
                <w:rFonts w:ascii="Arial" w:cs="Arial" w:eastAsia="Arial" w:hAnsi="Arial"/>
                <w:sz w:val="18"/>
                <w:szCs w:val="18"/>
                <w:color w:val="1B51BF"/>
              </w:rPr>
              <w:t>5-22</w:t>
            </w:r>
          </w:p>
        </w:tc>
        <w:tc>
          <w:tcPr>
            <w:tcW w:w="2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818.4</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3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10.0</w:t>
            </w:r>
          </w:p>
        </w:tc>
        <w:tc>
          <w:tcPr>
            <w:tcW w:w="46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8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828.4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(86.0)</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742.4</w:t>
            </w:r>
          </w:p>
        </w:tc>
        <w:tc>
          <w:tcPr>
            <w:tcW w:w="60" w:type="dxa"/>
            <w:vAlign w:val="bottom"/>
            <w:shd w:val="clear" w:color="auto" w:fill="E5E5E5"/>
          </w:tcPr>
          <w:p>
            <w:pPr>
              <w:spacing w:after="0"/>
              <w:rPr>
                <w:sz w:val="22"/>
                <w:szCs w:val="22"/>
                <w:color w:val="auto"/>
              </w:rPr>
            </w:pP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IPR&amp;D</w:t>
            </w:r>
          </w:p>
        </w:tc>
        <w:tc>
          <w:tcPr>
            <w:tcW w:w="60" w:type="dxa"/>
            <w:vAlign w:val="bottom"/>
          </w:tcPr>
          <w:p>
            <w:pPr>
              <w:spacing w:after="0"/>
              <w:rPr>
                <w:sz w:val="23"/>
                <w:szCs w:val="23"/>
                <w:color w:val="auto"/>
              </w:rPr>
            </w:pPr>
          </w:p>
        </w:tc>
        <w:tc>
          <w:tcPr>
            <w:tcW w:w="1200" w:type="dxa"/>
            <w:vAlign w:val="bottom"/>
            <w:shd w:val="clear" w:color="auto" w:fill="E5E5E5"/>
          </w:tcPr>
          <w:p>
            <w:pPr>
              <w:ind w:left="480"/>
              <w:spacing w:after="0"/>
              <w:rPr>
                <w:sz w:val="20"/>
                <w:szCs w:val="20"/>
                <w:color w:val="auto"/>
              </w:rPr>
            </w:pPr>
            <w:r>
              <w:rPr>
                <w:rFonts w:ascii="Arial" w:cs="Arial" w:eastAsia="Arial" w:hAnsi="Arial"/>
                <w:sz w:val="18"/>
                <w:szCs w:val="18"/>
                <w:color w:val="1B51BF"/>
                <w:w w:val="97"/>
              </w:rPr>
              <w:t>indefinite</w:t>
            </w:r>
          </w:p>
        </w:tc>
        <w:tc>
          <w:tcPr>
            <w:tcW w:w="26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50.0</w:t>
            </w:r>
          </w:p>
        </w:tc>
        <w:tc>
          <w:tcPr>
            <w:tcW w:w="240" w:type="dxa"/>
            <w:vAlign w:val="bottom"/>
            <w:shd w:val="clear" w:color="auto" w:fill="E5E5E5"/>
          </w:tcPr>
          <w:p>
            <w:pPr>
              <w:spacing w:after="0"/>
              <w:rPr>
                <w:sz w:val="23"/>
                <w:szCs w:val="23"/>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(9.0)</w:t>
            </w:r>
          </w:p>
        </w:tc>
        <w:tc>
          <w:tcPr>
            <w:tcW w:w="220" w:type="dxa"/>
            <w:vAlign w:val="bottom"/>
            <w:shd w:val="clear" w:color="auto" w:fill="E5E5E5"/>
          </w:tcPr>
          <w:p>
            <w:pPr>
              <w:spacing w:after="0"/>
              <w:rPr>
                <w:sz w:val="23"/>
                <w:szCs w:val="23"/>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460" w:type="dxa"/>
            <w:vAlign w:val="bottom"/>
            <w:shd w:val="clear" w:color="auto" w:fill="E5E5E5"/>
          </w:tcPr>
          <w:p>
            <w:pPr>
              <w:spacing w:after="0"/>
              <w:rPr>
                <w:sz w:val="23"/>
                <w:szCs w:val="23"/>
                <w:color w:val="auto"/>
              </w:rPr>
            </w:pPr>
          </w:p>
        </w:tc>
        <w:tc>
          <w:tcPr>
            <w:tcW w:w="8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41.0</w:t>
            </w:r>
          </w:p>
        </w:tc>
        <w:tc>
          <w:tcPr>
            <w:tcW w:w="26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340" w:type="dxa"/>
            <w:vAlign w:val="bottom"/>
            <w:shd w:val="clear" w:color="auto" w:fill="E5E5E5"/>
          </w:tcPr>
          <w:p>
            <w:pPr>
              <w:spacing w:after="0"/>
              <w:rPr>
                <w:sz w:val="23"/>
                <w:szCs w:val="23"/>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41.0</w:t>
            </w:r>
          </w:p>
        </w:tc>
        <w:tc>
          <w:tcPr>
            <w:tcW w:w="60" w:type="dxa"/>
            <w:vAlign w:val="bottom"/>
            <w:shd w:val="clear" w:color="auto" w:fill="E5E5E5"/>
          </w:tcPr>
          <w:p>
            <w:pPr>
              <w:spacing w:after="0"/>
              <w:rPr>
                <w:sz w:val="23"/>
                <w:szCs w:val="23"/>
                <w:color w:val="auto"/>
              </w:rPr>
            </w:pPr>
          </w:p>
        </w:tc>
      </w:tr>
      <w:tr>
        <w:trPr>
          <w:trHeight w:val="284"/>
        </w:trPr>
        <w:tc>
          <w:tcPr>
            <w:tcW w:w="2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24"/>
                <w:szCs w:val="24"/>
                <w:color w:val="auto"/>
              </w:rPr>
            </w:pPr>
          </w:p>
        </w:tc>
        <w:tc>
          <w:tcPr>
            <w:tcW w:w="1200" w:type="dxa"/>
            <w:vAlign w:val="bottom"/>
            <w:shd w:val="clear" w:color="auto" w:fill="E5E5E5"/>
          </w:tcPr>
          <w:p>
            <w:pPr>
              <w:ind w:left="480"/>
              <w:spacing w:after="0"/>
              <w:rPr>
                <w:sz w:val="20"/>
                <w:szCs w:val="20"/>
                <w:color w:val="auto"/>
              </w:rPr>
            </w:pPr>
            <w:r>
              <w:rPr>
                <w:rFonts w:ascii="Arial" w:cs="Arial" w:eastAsia="Arial" w:hAnsi="Arial"/>
                <w:sz w:val="18"/>
                <w:szCs w:val="18"/>
                <w:color w:val="1B51BF"/>
                <w:w w:val="97"/>
              </w:rPr>
              <w:t>indefinite</w:t>
            </w:r>
          </w:p>
        </w:tc>
        <w:tc>
          <w:tcPr>
            <w:tcW w:w="26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259.7</w:t>
            </w:r>
          </w:p>
        </w:tc>
        <w:tc>
          <w:tcPr>
            <w:tcW w:w="240" w:type="dxa"/>
            <w:vAlign w:val="bottom"/>
            <w:shd w:val="clear" w:color="auto" w:fill="E5E5E5"/>
          </w:tcPr>
          <w:p>
            <w:pPr>
              <w:spacing w:after="0"/>
              <w:rPr>
                <w:sz w:val="24"/>
                <w:szCs w:val="24"/>
                <w:color w:val="auto"/>
              </w:rPr>
            </w:pPr>
          </w:p>
        </w:tc>
        <w:tc>
          <w:tcPr>
            <w:tcW w:w="13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8.6</w:t>
            </w:r>
          </w:p>
        </w:tc>
        <w:tc>
          <w:tcPr>
            <w:tcW w:w="22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460" w:type="dxa"/>
            <w:vAlign w:val="bottom"/>
            <w:shd w:val="clear" w:color="auto" w:fill="E5E5E5"/>
          </w:tcPr>
          <w:p>
            <w:pPr>
              <w:spacing w:after="0"/>
              <w:rPr>
                <w:sz w:val="24"/>
                <w:szCs w:val="24"/>
                <w:color w:val="auto"/>
              </w:rPr>
            </w:pPr>
          </w:p>
        </w:tc>
        <w:tc>
          <w:tcPr>
            <w:tcW w:w="8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268.3</w:t>
            </w:r>
          </w:p>
        </w:tc>
        <w:tc>
          <w:tcPr>
            <w:tcW w:w="260" w:type="dxa"/>
            <w:vAlign w:val="bottom"/>
            <w:shd w:val="clear" w:color="auto" w:fill="E5E5E5"/>
          </w:tcPr>
          <w:p>
            <w:pPr>
              <w:spacing w:after="0"/>
              <w:rPr>
                <w:sz w:val="24"/>
                <w:szCs w:val="24"/>
                <w:color w:val="auto"/>
              </w:rPr>
            </w:pPr>
          </w:p>
        </w:tc>
        <w:tc>
          <w:tcPr>
            <w:tcW w:w="13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340" w:type="dxa"/>
            <w:vAlign w:val="bottom"/>
            <w:shd w:val="clear" w:color="auto" w:fill="E5E5E5"/>
          </w:tcPr>
          <w:p>
            <w:pPr>
              <w:spacing w:after="0"/>
              <w:rPr>
                <w:sz w:val="24"/>
                <w:szCs w:val="24"/>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268.3</w:t>
            </w:r>
          </w:p>
        </w:tc>
        <w:tc>
          <w:tcPr>
            <w:tcW w:w="60" w:type="dxa"/>
            <w:vAlign w:val="bottom"/>
            <w:shd w:val="clear" w:color="auto" w:fill="E5E5E5"/>
          </w:tcPr>
          <w:p>
            <w:pPr>
              <w:spacing w:after="0"/>
              <w:rPr>
                <w:sz w:val="24"/>
                <w:szCs w:val="24"/>
                <w:color w:val="auto"/>
              </w:rPr>
            </w:pPr>
          </w:p>
        </w:tc>
      </w:tr>
      <w:tr>
        <w:trPr>
          <w:trHeight w:val="135"/>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43"/>
        </w:trPr>
        <w:tc>
          <w:tcPr>
            <w:tcW w:w="2020" w:type="dxa"/>
            <w:vAlign w:val="bottom"/>
            <w:shd w:val="clear" w:color="auto" w:fill="0094FF"/>
          </w:tcPr>
          <w:p>
            <w:pPr>
              <w:spacing w:after="0"/>
              <w:rPr>
                <w:sz w:val="21"/>
                <w:szCs w:val="21"/>
                <w:color w:val="auto"/>
              </w:rPr>
            </w:pPr>
          </w:p>
        </w:tc>
        <w:tc>
          <w:tcPr>
            <w:tcW w:w="60" w:type="dxa"/>
            <w:vAlign w:val="bottom"/>
            <w:shd w:val="clear" w:color="auto" w:fill="0094FF"/>
          </w:tcPr>
          <w:p>
            <w:pPr>
              <w:spacing w:after="0"/>
              <w:rPr>
                <w:sz w:val="21"/>
                <w:szCs w:val="21"/>
                <w:color w:val="auto"/>
              </w:rPr>
            </w:pPr>
          </w:p>
        </w:tc>
        <w:tc>
          <w:tcPr>
            <w:tcW w:w="1200" w:type="dxa"/>
            <w:vAlign w:val="bottom"/>
            <w:shd w:val="clear" w:color="auto" w:fill="0094FF"/>
          </w:tcPr>
          <w:p>
            <w:pPr>
              <w:spacing w:after="0"/>
              <w:rPr>
                <w:sz w:val="21"/>
                <w:szCs w:val="21"/>
                <w:color w:val="auto"/>
              </w:rPr>
            </w:pPr>
          </w:p>
        </w:tc>
        <w:tc>
          <w:tcPr>
            <w:tcW w:w="260" w:type="dxa"/>
            <w:vAlign w:val="bottom"/>
            <w:shd w:val="clear" w:color="auto" w:fill="0094FF"/>
          </w:tcPr>
          <w:p>
            <w:pPr>
              <w:spacing w:after="0"/>
              <w:rPr>
                <w:sz w:val="21"/>
                <w:szCs w:val="21"/>
                <w:color w:val="auto"/>
              </w:rPr>
            </w:pPr>
          </w:p>
        </w:tc>
        <w:tc>
          <w:tcPr>
            <w:tcW w:w="920" w:type="dxa"/>
            <w:vAlign w:val="bottom"/>
            <w:shd w:val="clear" w:color="auto" w:fill="0094FF"/>
          </w:tcPr>
          <w:p>
            <w:pPr>
              <w:spacing w:after="0"/>
              <w:rPr>
                <w:sz w:val="21"/>
                <w:szCs w:val="21"/>
                <w:color w:val="auto"/>
              </w:rPr>
            </w:pPr>
          </w:p>
        </w:tc>
        <w:tc>
          <w:tcPr>
            <w:tcW w:w="240" w:type="dxa"/>
            <w:vAlign w:val="bottom"/>
            <w:shd w:val="clear" w:color="auto" w:fill="0094FF"/>
          </w:tcPr>
          <w:p>
            <w:pPr>
              <w:spacing w:after="0"/>
              <w:rPr>
                <w:sz w:val="21"/>
                <w:szCs w:val="21"/>
                <w:color w:val="auto"/>
              </w:rPr>
            </w:pPr>
          </w:p>
        </w:tc>
        <w:tc>
          <w:tcPr>
            <w:tcW w:w="3060" w:type="dxa"/>
            <w:vAlign w:val="bottom"/>
            <w:gridSpan w:val="4"/>
            <w:shd w:val="clear" w:color="auto" w:fill="0094FF"/>
          </w:tcPr>
          <w:p>
            <w:pPr>
              <w:jc w:val="right"/>
              <w:ind w:right="190"/>
              <w:spacing w:after="0"/>
              <w:rPr>
                <w:sz w:val="20"/>
                <w:szCs w:val="20"/>
                <w:color w:val="auto"/>
              </w:rPr>
            </w:pPr>
            <w:r>
              <w:rPr>
                <w:rFonts w:ascii="Arial" w:cs="Arial" w:eastAsia="Arial" w:hAnsi="Arial"/>
                <w:sz w:val="18"/>
                <w:szCs w:val="18"/>
                <w:color w:val="FFFFFF"/>
              </w:rPr>
              <w:t>December 31, 2018</w:t>
            </w:r>
          </w:p>
        </w:tc>
        <w:tc>
          <w:tcPr>
            <w:tcW w:w="800" w:type="dxa"/>
            <w:vAlign w:val="bottom"/>
            <w:shd w:val="clear" w:color="auto" w:fill="0094FF"/>
          </w:tcPr>
          <w:p>
            <w:pPr>
              <w:spacing w:after="0"/>
              <w:rPr>
                <w:sz w:val="21"/>
                <w:szCs w:val="21"/>
                <w:color w:val="auto"/>
              </w:rPr>
            </w:pPr>
          </w:p>
        </w:tc>
        <w:tc>
          <w:tcPr>
            <w:tcW w:w="260" w:type="dxa"/>
            <w:vAlign w:val="bottom"/>
            <w:shd w:val="clear" w:color="auto" w:fill="0094FF"/>
          </w:tcPr>
          <w:p>
            <w:pPr>
              <w:spacing w:after="0"/>
              <w:rPr>
                <w:sz w:val="21"/>
                <w:szCs w:val="21"/>
                <w:color w:val="auto"/>
              </w:rPr>
            </w:pPr>
          </w:p>
        </w:tc>
        <w:tc>
          <w:tcPr>
            <w:tcW w:w="1360" w:type="dxa"/>
            <w:vAlign w:val="bottom"/>
            <w:shd w:val="clear" w:color="auto" w:fill="0094FF"/>
          </w:tcPr>
          <w:p>
            <w:pPr>
              <w:spacing w:after="0"/>
              <w:rPr>
                <w:sz w:val="21"/>
                <w:szCs w:val="21"/>
                <w:color w:val="auto"/>
              </w:rPr>
            </w:pPr>
          </w:p>
        </w:tc>
        <w:tc>
          <w:tcPr>
            <w:tcW w:w="340" w:type="dxa"/>
            <w:vAlign w:val="bottom"/>
            <w:shd w:val="clear" w:color="auto" w:fill="0094FF"/>
          </w:tcPr>
          <w:p>
            <w:pPr>
              <w:spacing w:after="0"/>
              <w:rPr>
                <w:sz w:val="21"/>
                <w:szCs w:val="21"/>
                <w:color w:val="auto"/>
              </w:rPr>
            </w:pPr>
          </w:p>
        </w:tc>
        <w:tc>
          <w:tcPr>
            <w:tcW w:w="840" w:type="dxa"/>
            <w:vAlign w:val="bottom"/>
            <w:shd w:val="clear" w:color="auto" w:fill="0094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2020" w:type="dxa"/>
            <w:vAlign w:val="bottom"/>
            <w:shd w:val="clear" w:color="auto" w:fill="0094FF"/>
          </w:tcPr>
          <w:p>
            <w:pPr>
              <w:spacing w:after="0"/>
              <w:rPr>
                <w:sz w:val="22"/>
                <w:szCs w:val="22"/>
                <w:color w:val="auto"/>
              </w:rPr>
            </w:pPr>
          </w:p>
        </w:tc>
        <w:tc>
          <w:tcPr>
            <w:tcW w:w="1260" w:type="dxa"/>
            <w:vAlign w:val="bottom"/>
            <w:gridSpan w:val="2"/>
            <w:shd w:val="clear" w:color="auto" w:fill="0094FF"/>
          </w:tcPr>
          <w:p>
            <w:pPr>
              <w:jc w:val="center"/>
              <w:spacing w:after="0"/>
              <w:rPr>
                <w:sz w:val="20"/>
                <w:szCs w:val="20"/>
                <w:color w:val="auto"/>
              </w:rPr>
            </w:pPr>
            <w:r>
              <w:rPr>
                <w:rFonts w:ascii="Arial" w:cs="Arial" w:eastAsia="Arial" w:hAnsi="Arial"/>
                <w:sz w:val="18"/>
                <w:szCs w:val="18"/>
                <w:color w:val="FFFFFF"/>
                <w:w w:val="99"/>
              </w:rPr>
              <w:t>Estimated Life</w:t>
            </w:r>
          </w:p>
        </w:tc>
        <w:tc>
          <w:tcPr>
            <w:tcW w:w="260" w:type="dxa"/>
            <w:vAlign w:val="bottom"/>
            <w:shd w:val="clear" w:color="auto" w:fill="0094FF"/>
          </w:tcPr>
          <w:p>
            <w:pPr>
              <w:spacing w:after="0"/>
              <w:rPr>
                <w:sz w:val="22"/>
                <w:szCs w:val="22"/>
                <w:color w:val="auto"/>
              </w:rPr>
            </w:pPr>
          </w:p>
        </w:tc>
        <w:tc>
          <w:tcPr>
            <w:tcW w:w="92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Cost</w:t>
            </w:r>
          </w:p>
        </w:tc>
        <w:tc>
          <w:tcPr>
            <w:tcW w:w="240" w:type="dxa"/>
            <w:vAlign w:val="bottom"/>
            <w:shd w:val="clear" w:color="auto" w:fill="0094FF"/>
          </w:tcPr>
          <w:p>
            <w:pPr>
              <w:spacing w:after="0"/>
              <w:rPr>
                <w:sz w:val="22"/>
                <w:szCs w:val="22"/>
                <w:color w:val="auto"/>
              </w:rPr>
            </w:pPr>
          </w:p>
        </w:tc>
        <w:tc>
          <w:tcPr>
            <w:tcW w:w="1380" w:type="dxa"/>
            <w:vAlign w:val="bottom"/>
            <w:shd w:val="clear" w:color="auto" w:fill="0094FF"/>
          </w:tcPr>
          <w:p>
            <w:pPr>
              <w:jc w:val="center"/>
              <w:ind w:right="150"/>
              <w:spacing w:after="0"/>
              <w:rPr>
                <w:sz w:val="20"/>
                <w:szCs w:val="20"/>
                <w:color w:val="auto"/>
              </w:rPr>
            </w:pPr>
            <w:r>
              <w:rPr>
                <w:rFonts w:ascii="Arial" w:cs="Arial" w:eastAsia="Arial" w:hAnsi="Arial"/>
                <w:sz w:val="18"/>
                <w:szCs w:val="18"/>
                <w:color w:val="FFFFFF"/>
                <w:w w:val="99"/>
              </w:rPr>
              <w:t>Measurement</w:t>
            </w:r>
          </w:p>
        </w:tc>
        <w:tc>
          <w:tcPr>
            <w:tcW w:w="220" w:type="dxa"/>
            <w:vAlign w:val="bottom"/>
            <w:shd w:val="clear" w:color="auto" w:fill="0094FF"/>
          </w:tcPr>
          <w:p>
            <w:pPr>
              <w:spacing w:after="0"/>
              <w:rPr>
                <w:sz w:val="22"/>
                <w:szCs w:val="22"/>
                <w:color w:val="auto"/>
              </w:rPr>
            </w:pPr>
          </w:p>
        </w:tc>
        <w:tc>
          <w:tcPr>
            <w:tcW w:w="100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w w:val="99"/>
              </w:rPr>
              <w:t>Additions</w:t>
            </w:r>
          </w:p>
        </w:tc>
        <w:tc>
          <w:tcPr>
            <w:tcW w:w="1260" w:type="dxa"/>
            <w:vAlign w:val="bottom"/>
            <w:gridSpan w:val="2"/>
            <w:shd w:val="clear" w:color="auto" w:fill="0094FF"/>
          </w:tcPr>
          <w:p>
            <w:pPr>
              <w:jc w:val="right"/>
              <w:ind w:right="70"/>
              <w:spacing w:after="0"/>
              <w:rPr>
                <w:sz w:val="20"/>
                <w:szCs w:val="20"/>
                <w:color w:val="auto"/>
              </w:rPr>
            </w:pPr>
            <w:r>
              <w:rPr>
                <w:rFonts w:ascii="Arial" w:cs="Arial" w:eastAsia="Arial" w:hAnsi="Arial"/>
                <w:sz w:val="18"/>
                <w:szCs w:val="18"/>
                <w:color w:val="FFFFFF"/>
              </w:rPr>
              <w:t>Gross Total</w:t>
            </w:r>
          </w:p>
        </w:tc>
        <w:tc>
          <w:tcPr>
            <w:tcW w:w="260" w:type="dxa"/>
            <w:vAlign w:val="bottom"/>
            <w:shd w:val="clear" w:color="auto" w:fill="0094FF"/>
          </w:tcPr>
          <w:p>
            <w:pPr>
              <w:spacing w:after="0"/>
              <w:rPr>
                <w:sz w:val="22"/>
                <w:szCs w:val="22"/>
                <w:color w:val="auto"/>
              </w:rPr>
            </w:pPr>
          </w:p>
        </w:tc>
        <w:tc>
          <w:tcPr>
            <w:tcW w:w="1360" w:type="dxa"/>
            <w:vAlign w:val="bottom"/>
            <w:shd w:val="clear" w:color="auto" w:fill="0094FF"/>
          </w:tcPr>
          <w:p>
            <w:pPr>
              <w:jc w:val="right"/>
              <w:ind w:right="210"/>
              <w:spacing w:after="0"/>
              <w:rPr>
                <w:sz w:val="20"/>
                <w:szCs w:val="20"/>
                <w:color w:val="auto"/>
              </w:rPr>
            </w:pPr>
            <w:r>
              <w:rPr>
                <w:rFonts w:ascii="Arial" w:cs="Arial" w:eastAsia="Arial" w:hAnsi="Arial"/>
                <w:sz w:val="18"/>
                <w:szCs w:val="18"/>
                <w:color w:val="FFFFFF"/>
                <w:w w:val="99"/>
              </w:rPr>
              <w:t>Accumulated</w:t>
            </w:r>
          </w:p>
        </w:tc>
        <w:tc>
          <w:tcPr>
            <w:tcW w:w="340" w:type="dxa"/>
            <w:vAlign w:val="bottom"/>
            <w:shd w:val="clear" w:color="auto" w:fill="0094FF"/>
          </w:tcPr>
          <w:p>
            <w:pPr>
              <w:spacing w:after="0"/>
              <w:rPr>
                <w:sz w:val="22"/>
                <w:szCs w:val="22"/>
                <w:color w:val="auto"/>
              </w:rPr>
            </w:pPr>
          </w:p>
        </w:tc>
        <w:tc>
          <w:tcPr>
            <w:tcW w:w="84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Net</w:t>
            </w:r>
          </w:p>
        </w:tc>
        <w:tc>
          <w:tcPr>
            <w:tcW w:w="60" w:type="dxa"/>
            <w:vAlign w:val="bottom"/>
          </w:tcPr>
          <w:p>
            <w:pPr>
              <w:spacing w:after="0"/>
              <w:rPr>
                <w:sz w:val="22"/>
                <w:szCs w:val="22"/>
                <w:color w:val="auto"/>
              </w:rPr>
            </w:pPr>
          </w:p>
        </w:tc>
      </w:tr>
      <w:tr>
        <w:trPr>
          <w:trHeight w:val="203"/>
        </w:trPr>
        <w:tc>
          <w:tcPr>
            <w:tcW w:w="2020" w:type="dxa"/>
            <w:vAlign w:val="bottom"/>
            <w:shd w:val="clear" w:color="auto" w:fill="0094FF"/>
          </w:tcPr>
          <w:p>
            <w:pPr>
              <w:spacing w:after="0"/>
              <w:rPr>
                <w:sz w:val="17"/>
                <w:szCs w:val="17"/>
                <w:color w:val="auto"/>
              </w:rPr>
            </w:pPr>
          </w:p>
        </w:tc>
        <w:tc>
          <w:tcPr>
            <w:tcW w:w="60" w:type="dxa"/>
            <w:vAlign w:val="bottom"/>
            <w:shd w:val="clear" w:color="auto" w:fill="0094FF"/>
          </w:tcPr>
          <w:p>
            <w:pPr>
              <w:spacing w:after="0"/>
              <w:rPr>
                <w:sz w:val="17"/>
                <w:szCs w:val="17"/>
                <w:color w:val="auto"/>
              </w:rPr>
            </w:pPr>
          </w:p>
        </w:tc>
        <w:tc>
          <w:tcPr>
            <w:tcW w:w="120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(years)</w:t>
            </w:r>
          </w:p>
        </w:tc>
        <w:tc>
          <w:tcPr>
            <w:tcW w:w="260" w:type="dxa"/>
            <w:vAlign w:val="bottom"/>
            <w:shd w:val="clear" w:color="auto" w:fill="0094FF"/>
          </w:tcPr>
          <w:p>
            <w:pPr>
              <w:spacing w:after="0"/>
              <w:rPr>
                <w:sz w:val="17"/>
                <w:szCs w:val="17"/>
                <w:color w:val="auto"/>
              </w:rPr>
            </w:pPr>
          </w:p>
        </w:tc>
        <w:tc>
          <w:tcPr>
            <w:tcW w:w="920" w:type="dxa"/>
            <w:vAlign w:val="bottom"/>
            <w:shd w:val="clear" w:color="auto" w:fill="0094FF"/>
          </w:tcPr>
          <w:p>
            <w:pPr>
              <w:spacing w:after="0"/>
              <w:rPr>
                <w:sz w:val="17"/>
                <w:szCs w:val="17"/>
                <w:color w:val="auto"/>
              </w:rPr>
            </w:pPr>
          </w:p>
        </w:tc>
        <w:tc>
          <w:tcPr>
            <w:tcW w:w="240" w:type="dxa"/>
            <w:vAlign w:val="bottom"/>
            <w:shd w:val="clear" w:color="auto" w:fill="0094FF"/>
          </w:tcPr>
          <w:p>
            <w:pPr>
              <w:spacing w:after="0"/>
              <w:rPr>
                <w:sz w:val="17"/>
                <w:szCs w:val="17"/>
                <w:color w:val="auto"/>
              </w:rPr>
            </w:pPr>
          </w:p>
        </w:tc>
        <w:tc>
          <w:tcPr>
            <w:tcW w:w="1380" w:type="dxa"/>
            <w:vAlign w:val="bottom"/>
            <w:shd w:val="clear" w:color="auto" w:fill="0094FF"/>
          </w:tcPr>
          <w:p>
            <w:pPr>
              <w:jc w:val="center"/>
              <w:ind w:right="170"/>
              <w:spacing w:after="0" w:line="202" w:lineRule="exact"/>
              <w:rPr>
                <w:sz w:val="20"/>
                <w:szCs w:val="20"/>
                <w:color w:val="auto"/>
              </w:rPr>
            </w:pPr>
            <w:r>
              <w:rPr>
                <w:rFonts w:ascii="Arial" w:cs="Arial" w:eastAsia="Arial" w:hAnsi="Arial"/>
                <w:sz w:val="18"/>
                <w:szCs w:val="18"/>
                <w:color w:val="FFFFFF"/>
                <w:w w:val="99"/>
              </w:rPr>
              <w:t>Period</w:t>
            </w:r>
          </w:p>
        </w:tc>
        <w:tc>
          <w:tcPr>
            <w:tcW w:w="22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460" w:type="dxa"/>
            <w:vAlign w:val="bottom"/>
            <w:shd w:val="clear" w:color="auto" w:fill="0094FF"/>
          </w:tcPr>
          <w:p>
            <w:pPr>
              <w:spacing w:after="0"/>
              <w:rPr>
                <w:sz w:val="17"/>
                <w:szCs w:val="17"/>
                <w:color w:val="auto"/>
              </w:rPr>
            </w:pPr>
          </w:p>
        </w:tc>
        <w:tc>
          <w:tcPr>
            <w:tcW w:w="800" w:type="dxa"/>
            <w:vAlign w:val="bottom"/>
            <w:shd w:val="clear" w:color="auto" w:fill="0094FF"/>
          </w:tcPr>
          <w:p>
            <w:pPr>
              <w:spacing w:after="0"/>
              <w:rPr>
                <w:sz w:val="17"/>
                <w:szCs w:val="17"/>
                <w:color w:val="auto"/>
              </w:rPr>
            </w:pPr>
          </w:p>
        </w:tc>
        <w:tc>
          <w:tcPr>
            <w:tcW w:w="260" w:type="dxa"/>
            <w:vAlign w:val="bottom"/>
            <w:shd w:val="clear" w:color="auto" w:fill="0094FF"/>
          </w:tcPr>
          <w:p>
            <w:pPr>
              <w:spacing w:after="0"/>
              <w:rPr>
                <w:sz w:val="17"/>
                <w:szCs w:val="17"/>
                <w:color w:val="auto"/>
              </w:rPr>
            </w:pPr>
          </w:p>
        </w:tc>
        <w:tc>
          <w:tcPr>
            <w:tcW w:w="1360" w:type="dxa"/>
            <w:vAlign w:val="bottom"/>
            <w:shd w:val="clear" w:color="auto" w:fill="0094FF"/>
          </w:tcPr>
          <w:p>
            <w:pPr>
              <w:jc w:val="right"/>
              <w:ind w:right="230"/>
              <w:spacing w:after="0" w:line="202" w:lineRule="exact"/>
              <w:rPr>
                <w:sz w:val="20"/>
                <w:szCs w:val="20"/>
                <w:color w:val="auto"/>
              </w:rPr>
            </w:pPr>
            <w:r>
              <w:rPr>
                <w:rFonts w:ascii="Arial" w:cs="Arial" w:eastAsia="Arial" w:hAnsi="Arial"/>
                <w:sz w:val="18"/>
                <w:szCs w:val="18"/>
                <w:color w:val="FFFFFF"/>
              </w:rPr>
              <w:t>Amortization</w:t>
            </w:r>
          </w:p>
        </w:tc>
        <w:tc>
          <w:tcPr>
            <w:tcW w:w="340" w:type="dxa"/>
            <w:vAlign w:val="bottom"/>
            <w:shd w:val="clear" w:color="auto" w:fill="0094FF"/>
          </w:tcPr>
          <w:p>
            <w:pPr>
              <w:spacing w:after="0"/>
              <w:rPr>
                <w:sz w:val="17"/>
                <w:szCs w:val="17"/>
                <w:color w:val="auto"/>
              </w:rPr>
            </w:pPr>
          </w:p>
        </w:tc>
        <w:tc>
          <w:tcPr>
            <w:tcW w:w="840" w:type="dxa"/>
            <w:vAlign w:val="bottom"/>
            <w:shd w:val="clear" w:color="auto" w:fill="0094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20" w:type="dxa"/>
            <w:vAlign w:val="bottom"/>
            <w:shd w:val="clear" w:color="auto" w:fill="0094FF"/>
          </w:tcPr>
          <w:p>
            <w:pPr>
              <w:spacing w:after="0"/>
              <w:rPr>
                <w:sz w:val="20"/>
                <w:szCs w:val="20"/>
                <w:color w:val="auto"/>
              </w:rPr>
            </w:pPr>
          </w:p>
        </w:tc>
        <w:tc>
          <w:tcPr>
            <w:tcW w:w="60" w:type="dxa"/>
            <w:vAlign w:val="bottom"/>
            <w:shd w:val="clear" w:color="auto" w:fill="0094FF"/>
          </w:tcPr>
          <w:p>
            <w:pPr>
              <w:spacing w:after="0"/>
              <w:rPr>
                <w:sz w:val="20"/>
                <w:szCs w:val="20"/>
                <w:color w:val="auto"/>
              </w:rPr>
            </w:pPr>
          </w:p>
        </w:tc>
        <w:tc>
          <w:tcPr>
            <w:tcW w:w="1200" w:type="dxa"/>
            <w:vAlign w:val="bottom"/>
            <w:shd w:val="clear" w:color="auto" w:fill="0094FF"/>
          </w:tcPr>
          <w:p>
            <w:pPr>
              <w:spacing w:after="0"/>
              <w:rPr>
                <w:sz w:val="20"/>
                <w:szCs w:val="20"/>
                <w:color w:val="auto"/>
              </w:rPr>
            </w:pPr>
          </w:p>
        </w:tc>
        <w:tc>
          <w:tcPr>
            <w:tcW w:w="260" w:type="dxa"/>
            <w:vAlign w:val="bottom"/>
            <w:shd w:val="clear" w:color="auto" w:fill="0094FF"/>
          </w:tcPr>
          <w:p>
            <w:pPr>
              <w:spacing w:after="0"/>
              <w:rPr>
                <w:sz w:val="20"/>
                <w:szCs w:val="20"/>
                <w:color w:val="auto"/>
              </w:rPr>
            </w:pPr>
          </w:p>
        </w:tc>
        <w:tc>
          <w:tcPr>
            <w:tcW w:w="920" w:type="dxa"/>
            <w:vAlign w:val="bottom"/>
            <w:shd w:val="clear" w:color="auto" w:fill="0094FF"/>
          </w:tcPr>
          <w:p>
            <w:pPr>
              <w:spacing w:after="0"/>
              <w:rPr>
                <w:sz w:val="20"/>
                <w:szCs w:val="20"/>
                <w:color w:val="auto"/>
              </w:rPr>
            </w:pPr>
          </w:p>
        </w:tc>
        <w:tc>
          <w:tcPr>
            <w:tcW w:w="240" w:type="dxa"/>
            <w:vAlign w:val="bottom"/>
            <w:shd w:val="clear" w:color="auto" w:fill="0094FF"/>
          </w:tcPr>
          <w:p>
            <w:pPr>
              <w:spacing w:after="0"/>
              <w:rPr>
                <w:sz w:val="20"/>
                <w:szCs w:val="20"/>
                <w:color w:val="auto"/>
              </w:rPr>
            </w:pPr>
          </w:p>
        </w:tc>
        <w:tc>
          <w:tcPr>
            <w:tcW w:w="1380" w:type="dxa"/>
            <w:vAlign w:val="bottom"/>
            <w:shd w:val="clear" w:color="auto" w:fill="0094FF"/>
          </w:tcPr>
          <w:p>
            <w:pPr>
              <w:jc w:val="center"/>
              <w:ind w:right="150"/>
              <w:spacing w:after="0"/>
              <w:rPr>
                <w:sz w:val="20"/>
                <w:szCs w:val="20"/>
                <w:color w:val="auto"/>
              </w:rPr>
            </w:pPr>
            <w:r>
              <w:rPr>
                <w:rFonts w:ascii="Arial" w:cs="Arial" w:eastAsia="Arial" w:hAnsi="Arial"/>
                <w:sz w:val="18"/>
                <w:szCs w:val="18"/>
                <w:color w:val="FFFFFF"/>
                <w:w w:val="99"/>
              </w:rPr>
              <w:t>Adjustment</w:t>
            </w:r>
          </w:p>
        </w:tc>
        <w:tc>
          <w:tcPr>
            <w:tcW w:w="220" w:type="dxa"/>
            <w:vAlign w:val="bottom"/>
            <w:shd w:val="clear" w:color="auto" w:fill="0094FF"/>
          </w:tcPr>
          <w:p>
            <w:pPr>
              <w:spacing w:after="0"/>
              <w:rPr>
                <w:sz w:val="20"/>
                <w:szCs w:val="20"/>
                <w:color w:val="auto"/>
              </w:rPr>
            </w:pPr>
          </w:p>
        </w:tc>
        <w:tc>
          <w:tcPr>
            <w:tcW w:w="1000" w:type="dxa"/>
            <w:vAlign w:val="bottom"/>
            <w:shd w:val="clear" w:color="auto" w:fill="0094FF"/>
          </w:tcPr>
          <w:p>
            <w:pPr>
              <w:spacing w:after="0"/>
              <w:rPr>
                <w:sz w:val="20"/>
                <w:szCs w:val="20"/>
                <w:color w:val="auto"/>
              </w:rPr>
            </w:pPr>
          </w:p>
        </w:tc>
        <w:tc>
          <w:tcPr>
            <w:tcW w:w="460" w:type="dxa"/>
            <w:vAlign w:val="bottom"/>
            <w:shd w:val="clear" w:color="auto" w:fill="0094FF"/>
          </w:tcPr>
          <w:p>
            <w:pPr>
              <w:spacing w:after="0"/>
              <w:rPr>
                <w:sz w:val="20"/>
                <w:szCs w:val="20"/>
                <w:color w:val="auto"/>
              </w:rPr>
            </w:pPr>
          </w:p>
        </w:tc>
        <w:tc>
          <w:tcPr>
            <w:tcW w:w="800" w:type="dxa"/>
            <w:vAlign w:val="bottom"/>
            <w:shd w:val="clear" w:color="auto" w:fill="0094FF"/>
          </w:tcPr>
          <w:p>
            <w:pPr>
              <w:spacing w:after="0"/>
              <w:rPr>
                <w:sz w:val="20"/>
                <w:szCs w:val="20"/>
                <w:color w:val="auto"/>
              </w:rPr>
            </w:pPr>
          </w:p>
        </w:tc>
        <w:tc>
          <w:tcPr>
            <w:tcW w:w="260" w:type="dxa"/>
            <w:vAlign w:val="bottom"/>
            <w:shd w:val="clear" w:color="auto" w:fill="0094FF"/>
          </w:tcPr>
          <w:p>
            <w:pPr>
              <w:spacing w:after="0"/>
              <w:rPr>
                <w:sz w:val="20"/>
                <w:szCs w:val="20"/>
                <w:color w:val="auto"/>
              </w:rPr>
            </w:pPr>
          </w:p>
        </w:tc>
        <w:tc>
          <w:tcPr>
            <w:tcW w:w="1360" w:type="dxa"/>
            <w:vAlign w:val="bottom"/>
            <w:shd w:val="clear" w:color="auto" w:fill="0094FF"/>
          </w:tcPr>
          <w:p>
            <w:pPr>
              <w:spacing w:after="0"/>
              <w:rPr>
                <w:sz w:val="20"/>
                <w:szCs w:val="20"/>
                <w:color w:val="auto"/>
              </w:rPr>
            </w:pPr>
          </w:p>
        </w:tc>
        <w:tc>
          <w:tcPr>
            <w:tcW w:w="340" w:type="dxa"/>
            <w:vAlign w:val="bottom"/>
            <w:shd w:val="clear" w:color="auto" w:fill="0094FF"/>
          </w:tcPr>
          <w:p>
            <w:pPr>
              <w:spacing w:after="0"/>
              <w:rPr>
                <w:sz w:val="20"/>
                <w:szCs w:val="20"/>
                <w:color w:val="auto"/>
              </w:rPr>
            </w:pPr>
          </w:p>
        </w:tc>
        <w:tc>
          <w:tcPr>
            <w:tcW w:w="840" w:type="dxa"/>
            <w:vAlign w:val="bottom"/>
            <w:shd w:val="clear" w:color="auto" w:fill="0094FF"/>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20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5-22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667.0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818.4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2"/>
                <w:szCs w:val="22"/>
                <w:color w:val="auto"/>
              </w:rPr>
            </w:pP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IPR&amp;D</w:t>
            </w:r>
          </w:p>
        </w:tc>
        <w:tc>
          <w:tcPr>
            <w:tcW w:w="60" w:type="dxa"/>
            <w:vAlign w:val="bottom"/>
          </w:tcPr>
          <w:p>
            <w:pPr>
              <w:spacing w:after="0"/>
              <w:rPr>
                <w:sz w:val="23"/>
                <w:szCs w:val="23"/>
                <w:color w:val="auto"/>
              </w:rPr>
            </w:pPr>
          </w:p>
        </w:tc>
        <w:tc>
          <w:tcPr>
            <w:tcW w:w="1200" w:type="dxa"/>
            <w:vAlign w:val="bottom"/>
          </w:tcPr>
          <w:p>
            <w:pPr>
              <w:ind w:left="440"/>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3"/>
                <w:szCs w:val="23"/>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3"/>
                <w:szCs w:val="23"/>
                <w:color w:val="auto"/>
              </w:rPr>
            </w:pP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23"/>
                <w:szCs w:val="23"/>
                <w:color w:val="auto"/>
              </w:rPr>
            </w:pPr>
          </w:p>
        </w:tc>
        <w:tc>
          <w:tcPr>
            <w:tcW w:w="1200" w:type="dxa"/>
            <w:vAlign w:val="bottom"/>
          </w:tcPr>
          <w:p>
            <w:pPr>
              <w:ind w:left="440"/>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23"/>
                <w:szCs w:val="23"/>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210.6</w:t>
            </w:r>
          </w:p>
        </w:tc>
        <w:tc>
          <w:tcPr>
            <w:tcW w:w="46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259.7</w:t>
            </w:r>
          </w:p>
        </w:tc>
        <w:tc>
          <w:tcPr>
            <w:tcW w:w="26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259.7</w:t>
            </w:r>
          </w:p>
        </w:tc>
        <w:tc>
          <w:tcPr>
            <w:tcW w:w="60" w:type="dxa"/>
            <w:vAlign w:val="bottom"/>
          </w:tcPr>
          <w:p>
            <w:pPr>
              <w:spacing w:after="0"/>
              <w:rPr>
                <w:sz w:val="23"/>
                <w:szCs w:val="23"/>
                <w:color w:val="auto"/>
              </w:rPr>
            </w:pPr>
          </w:p>
        </w:tc>
      </w:tr>
    </w:tbl>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 xml:space="preserve">During the six months ended June 30, 2019 and 2018, the Company recorded amortization expense for intangible assets of $29.2 million and $7.8 million, respectively. During the three months ended June 30, 2019 and 2018, the Company recorded amortization expense for intangible assets of $14.7 million and 3.9 million, respectively. As of June 30, 2019, the weighted average amortization period remaining for intangible assets was </w:t>
      </w:r>
      <w:r>
        <w:rPr>
          <w:rFonts w:ascii="Arial" w:cs="Arial" w:eastAsia="Arial" w:hAnsi="Arial"/>
          <w:sz w:val="18"/>
          <w:szCs w:val="18"/>
          <w:color w:val="2C2C2C"/>
        </w:rPr>
        <w:t>14.0</w:t>
      </w:r>
      <w:r>
        <w:rPr>
          <w:rFonts w:ascii="Arial" w:cs="Arial" w:eastAsia="Arial" w:hAnsi="Arial"/>
          <w:sz w:val="18"/>
          <w:szCs w:val="18"/>
          <w:b w:val="1"/>
          <w:bCs w:val="1"/>
          <w:color w:val="2C2C2C"/>
        </w:rPr>
        <w:t xml:space="preserve"> years. IPR&amp;D assets are considered to be indefinite-lived until the completion or abandonment of the associated research and development efforts.</w:t>
      </w:r>
    </w:p>
    <w:p>
      <w:pPr>
        <w:spacing w:after="0" w:line="12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00497F"/>
        </w:rPr>
      </w:pPr>
      <w:r>
        <w:rPr>
          <w:rFonts w:ascii="Arial" w:cs="Arial" w:eastAsia="Arial" w:hAnsi="Arial"/>
          <w:sz w:val="20"/>
          <w:szCs w:val="20"/>
          <w:b w:val="1"/>
          <w:bCs w:val="1"/>
          <w:color w:val="00497F"/>
        </w:rPr>
        <w:t>Contingent Consideration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Contingent consideration liabilities associated with business combinations are fair value measurement items. These liabilities represent an obligation of the Company to transfer additional assets to the selling shareholders and owners if future events occur or conditions are met. These liabilities associated with business combinations are measured at fair value at inception and at each subsequent reporting date with the exception of the milestone achievement. The changes in the fair value are primarily due to the expected amount and timing of future net sales, which are inputs that have no observable market (Level 3).</w:t>
      </w:r>
    </w:p>
    <w:p>
      <w:pPr>
        <w:spacing w:after="0" w:line="1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2C2C2C"/>
        </w:rPr>
        <w:t>The Company also has contingent consideration associated with its asset acquisitions. These liabilities are not recorded as level 3 fair value measurements, but rather are accrued when the milestone has been achieved and is payable.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2C2C2C"/>
        </w:rPr>
        <w:t>The following table is a reconciliation of the beginning and ending balance of contingent considerations and is based on level 3 significant unobservable inputs, other than the raxibacumb milestone accrual, which is based on achievement of contractual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166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16649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Milestone achievement - asset acquisition</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Measurement period adjustment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fair value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2019</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900" w:type="dxa"/>
            <w:vAlign w:val="bottom"/>
            <w:shd w:val="clear" w:color="auto" w:fill="E5E5E5"/>
          </w:tcPr>
          <w:p>
            <w:pPr>
              <w:jc w:val="right"/>
              <w:ind w:right="670"/>
              <w:spacing w:after="0"/>
              <w:rPr>
                <w:sz w:val="20"/>
                <w:szCs w:val="20"/>
                <w:color w:val="auto"/>
              </w:rPr>
            </w:pPr>
            <w:r>
              <w:rPr>
                <w:rFonts w:ascii="Arial" w:cs="Arial" w:eastAsia="Arial" w:hAnsi="Arial"/>
                <w:sz w:val="18"/>
                <w:szCs w:val="18"/>
                <w:color w:val="1B51BF"/>
              </w:rPr>
              <w:t>$</w:t>
            </w:r>
          </w:p>
        </w:tc>
        <w:tc>
          <w:tcPr>
            <w:tcW w:w="12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60.0</w:t>
            </w:r>
          </w:p>
        </w:tc>
      </w:tr>
      <w:tr>
        <w:trPr>
          <w:trHeight w:val="243"/>
        </w:trPr>
        <w:tc>
          <w:tcPr>
            <w:tcW w:w="9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1B51BF"/>
              </w:rPr>
              <w:t>10.0</w:t>
            </w:r>
          </w:p>
        </w:tc>
      </w:tr>
      <w:tr>
        <w:trPr>
          <w:trHeight w:val="257"/>
        </w:trPr>
        <w:tc>
          <w:tcPr>
            <w:tcW w:w="9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1B51BF"/>
              </w:rPr>
              <w:t>1.5</w:t>
            </w:r>
          </w:p>
        </w:tc>
      </w:tr>
      <w:tr>
        <w:trPr>
          <w:trHeight w:val="257"/>
        </w:trPr>
        <w:tc>
          <w:tcPr>
            <w:tcW w:w="9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1B51BF"/>
              </w:rPr>
              <w:t>5.5</w:t>
            </w:r>
          </w:p>
        </w:tc>
      </w:tr>
      <w:tr>
        <w:trPr>
          <w:trHeight w:val="264"/>
        </w:trPr>
        <w:tc>
          <w:tcPr>
            <w:tcW w:w="9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(12.0)</w:t>
            </w:r>
          </w:p>
        </w:tc>
      </w:tr>
      <w:tr>
        <w:trPr>
          <w:trHeight w:val="250"/>
        </w:trPr>
        <w:tc>
          <w:tcPr>
            <w:tcW w:w="9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1B51BF"/>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65.0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-848360</wp:posOffset>
            </wp:positionV>
            <wp:extent cx="68580" cy="831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31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118" w:right="239" w:bottom="1440" w:gutter="0" w:footer="0" w:header="0"/>
          <w:type w:val="continuous"/>
        </w:sectPr>
      </w:pPr>
    </w:p>
    <w:p>
      <w:pPr>
        <w:spacing w:after="0" w:line="15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2C2C2C"/>
        </w:rPr>
        <w:t>During the six months ended June 30, 2019, a contingent milestone was achieved related to the Company's acquisition of raxibacumab in October 2017. The acquisition of raxibacumab was accounted for as an asset acquisition and therefore the achievement of the $10.0 million milestone resulted in an increase to the contingent consideration liability with a corresponding increase in intangible assets.</w:t>
      </w:r>
    </w:p>
    <w:p>
      <w:pPr>
        <w:spacing w:after="0" w:line="118"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00497F"/>
        </w:rPr>
      </w:pPr>
      <w:r>
        <w:rPr>
          <w:rFonts w:ascii="Arial" w:cs="Arial" w:eastAsia="Arial" w:hAnsi="Arial"/>
          <w:sz w:val="20"/>
          <w:szCs w:val="20"/>
          <w:b w:val="1"/>
          <w:bCs w:val="1"/>
          <w:color w:val="00497F"/>
        </w:rPr>
        <w:t>Derivative Instruments and Hedging Activities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Risk Management Objective of Using Derivatives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color w:val="2C2C2C"/>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the Company's senior secured credit agreement's payments of variable interest rate debt.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Accounting Policy for Derivative Instruments and Hedging Activities</w:t>
      </w:r>
    </w:p>
    <w:p>
      <w:pPr>
        <w:spacing w:after="0" w:line="17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b w:val="1"/>
          <w:bCs w:val="1"/>
          <w:color w:val="2C2C2C"/>
        </w:rPr>
        <w:t>The Company's interest rate swaps qualify for hedge accounting as cash flow hedges. All derivatives are recorded on the balance sheet at fair value. Hedge accounting provides for the matching of the timing of gain or loss recognition on these interest rate swaps with the recognition of the changes in interest expense on the Company's variable rate debt. For derivatives designated as cash flow hedges of interest rate risk, the gain or loss on the derivative is recorded in accumulated other comprehensive income and subsequently reclassified into interest expense in the same period during which the hedged transaction affects earnings. Amounts reported in accumulated other comprehensive income related to derivatives will be reclassified to interest expense as interest payments are made on the Company’s variable-rate debt. The cash flows from the designated interest rate swaps are classified as a component of operating cash flows, similar to interest expense. If current fair values of designated interest rate swaps re</w:t>
      </w:r>
      <w:r>
        <w:rPr>
          <w:rFonts w:ascii="Arial" w:cs="Arial" w:eastAsia="Arial" w:hAnsi="Arial"/>
          <w:sz w:val="18"/>
          <w:szCs w:val="18"/>
          <w:b w:val="1"/>
          <w:bCs w:val="1"/>
          <w:color w:val="000000"/>
        </w:rPr>
        <w:t>mained static over the next twelve months, the Company would reclassify</w:t>
      </w:r>
      <w:r>
        <w:rPr>
          <w:rFonts w:ascii="Arial" w:cs="Arial" w:eastAsia="Arial" w:hAnsi="Arial"/>
          <w:sz w:val="18"/>
          <w:szCs w:val="18"/>
          <w:b w:val="1"/>
          <w:bCs w:val="1"/>
          <w:color w:val="2C2C2C"/>
        </w:rPr>
        <w:t xml:space="preserve"> $0.4 million </w:t>
      </w:r>
      <w:r>
        <w:rPr>
          <w:rFonts w:ascii="Arial" w:cs="Arial" w:eastAsia="Arial" w:hAnsi="Arial"/>
          <w:sz w:val="18"/>
          <w:szCs w:val="18"/>
          <w:b w:val="1"/>
          <w:bCs w:val="1"/>
          <w:color w:val="000000"/>
        </w:rPr>
        <w:t>of net deferred gains</w:t>
      </w:r>
    </w:p>
    <w:p>
      <w:pPr>
        <w:spacing w:after="0" w:line="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from accumulated other comprehensive loss into income over the next twelve months. All outstanding cash flow hedges mature in October 2023.</w:t>
      </w:r>
    </w:p>
    <w:p>
      <w:pPr>
        <w:spacing w:after="0" w:line="12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b w:val="1"/>
          <w:bCs w:val="1"/>
          <w:color w:val="2C2C2C"/>
        </w:rPr>
        <w:t>As of June 30, 2019, the Company had the following outstanding interest rate derivatives that were designated as cash flow hedges of interest rate risk: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40" w:type="dxa"/>
            <w:vAlign w:val="bottom"/>
            <w:shd w:val="clear" w:color="auto" w:fill="0094FF"/>
          </w:tcPr>
          <w:p>
            <w:pPr>
              <w:spacing w:after="0"/>
              <w:rPr>
                <w:sz w:val="23"/>
                <w:szCs w:val="23"/>
                <w:color w:val="auto"/>
              </w:rPr>
            </w:pPr>
          </w:p>
        </w:tc>
        <w:tc>
          <w:tcPr>
            <w:tcW w:w="3340" w:type="dxa"/>
            <w:vAlign w:val="bottom"/>
            <w:shd w:val="clear" w:color="auto" w:fill="0094FF"/>
          </w:tcPr>
          <w:p>
            <w:pPr>
              <w:spacing w:after="0"/>
              <w:rPr>
                <w:sz w:val="23"/>
                <w:szCs w:val="23"/>
                <w:color w:val="auto"/>
              </w:rPr>
            </w:pPr>
          </w:p>
        </w:tc>
        <w:tc>
          <w:tcPr>
            <w:tcW w:w="214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Number of Instruments</w:t>
            </w:r>
          </w:p>
        </w:tc>
        <w:tc>
          <w:tcPr>
            <w:tcW w:w="560" w:type="dxa"/>
            <w:vAlign w:val="bottom"/>
            <w:shd w:val="clear" w:color="auto" w:fill="0094FF"/>
          </w:tcPr>
          <w:p>
            <w:pPr>
              <w:spacing w:after="0"/>
              <w:rPr>
                <w:sz w:val="23"/>
                <w:szCs w:val="23"/>
                <w:color w:val="auto"/>
              </w:rPr>
            </w:pPr>
          </w:p>
        </w:tc>
        <w:tc>
          <w:tcPr>
            <w:tcW w:w="1740" w:type="dxa"/>
            <w:vAlign w:val="bottom"/>
            <w:shd w:val="clear" w:color="auto" w:fill="0094FF"/>
          </w:tcPr>
          <w:p>
            <w:pPr>
              <w:jc w:val="right"/>
              <w:ind w:right="670"/>
              <w:spacing w:after="0"/>
              <w:rPr>
                <w:sz w:val="20"/>
                <w:szCs w:val="20"/>
                <w:color w:val="auto"/>
              </w:rPr>
            </w:pPr>
            <w:r>
              <w:rPr>
                <w:rFonts w:ascii="Arial" w:cs="Arial" w:eastAsia="Arial" w:hAnsi="Arial"/>
                <w:sz w:val="18"/>
                <w:szCs w:val="18"/>
                <w:color w:val="FFFFFF"/>
              </w:rPr>
              <w:t>Notional</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340" w:type="dxa"/>
            <w:vAlign w:val="bottom"/>
          </w:tcPr>
          <w:p>
            <w:pPr>
              <w:spacing w:after="0"/>
              <w:rPr>
                <w:sz w:val="23"/>
                <w:szCs w:val="23"/>
                <w:color w:val="auto"/>
              </w:rPr>
            </w:pPr>
          </w:p>
        </w:tc>
        <w:tc>
          <w:tcPr>
            <w:tcW w:w="2140" w:type="dxa"/>
            <w:vAlign w:val="bottom"/>
            <w:shd w:val="clear" w:color="auto" w:fill="E5E5E5"/>
          </w:tcPr>
          <w:p>
            <w:pPr>
              <w:jc w:val="right"/>
              <w:ind w:right="930"/>
              <w:spacing w:after="0"/>
              <w:rPr>
                <w:sz w:val="20"/>
                <w:szCs w:val="20"/>
                <w:color w:val="auto"/>
              </w:rPr>
            </w:pPr>
            <w:r>
              <w:rPr>
                <w:rFonts w:ascii="Arial" w:cs="Arial" w:eastAsia="Arial" w:hAnsi="Arial"/>
                <w:sz w:val="18"/>
                <w:szCs w:val="18"/>
                <w:color w:val="1B51BF"/>
              </w:rPr>
              <w:t>7</w:t>
            </w:r>
          </w:p>
        </w:tc>
        <w:tc>
          <w:tcPr>
            <w:tcW w:w="560" w:type="dxa"/>
            <w:vAlign w:val="bottom"/>
            <w:shd w:val="clear" w:color="auto" w:fill="E5E5E5"/>
          </w:tcPr>
          <w:p>
            <w:pPr>
              <w:jc w:val="right"/>
              <w:ind w:right="210"/>
              <w:spacing w:after="0"/>
              <w:rPr>
                <w:sz w:val="20"/>
                <w:szCs w:val="20"/>
                <w:color w:val="auto"/>
              </w:rPr>
            </w:pPr>
            <w:r>
              <w:rPr>
                <w:rFonts w:ascii="Arial" w:cs="Arial" w:eastAsia="Arial" w:hAnsi="Arial"/>
                <w:sz w:val="18"/>
                <w:szCs w:val="18"/>
                <w:color w:val="1B51BF"/>
              </w:rPr>
              <w:t>$</w:t>
            </w:r>
          </w:p>
        </w:tc>
        <w:tc>
          <w:tcPr>
            <w:tcW w:w="17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350.0</w:t>
            </w:r>
          </w:p>
        </w:tc>
      </w:tr>
      <w:tr>
        <w:trPr>
          <w:trHeight w:val="837"/>
        </w:trPr>
        <w:tc>
          <w:tcPr>
            <w:tcW w:w="3640" w:type="dxa"/>
            <w:vAlign w:val="bottom"/>
          </w:tcPr>
          <w:p>
            <w:pPr>
              <w:spacing w:after="0"/>
              <w:rPr>
                <w:sz w:val="24"/>
                <w:szCs w:val="24"/>
                <w:color w:val="auto"/>
              </w:rPr>
            </w:pPr>
          </w:p>
        </w:tc>
        <w:tc>
          <w:tcPr>
            <w:tcW w:w="3340" w:type="dxa"/>
            <w:vAlign w:val="bottom"/>
          </w:tcPr>
          <w:p>
            <w:pPr>
              <w:jc w:val="right"/>
              <w:ind w:right="1090"/>
              <w:spacing w:after="0"/>
              <w:rPr>
                <w:sz w:val="20"/>
                <w:szCs w:val="20"/>
                <w:color w:val="auto"/>
              </w:rPr>
            </w:pPr>
            <w:r>
              <w:rPr>
                <w:rFonts w:ascii="Arial" w:cs="Arial" w:eastAsia="Arial" w:hAnsi="Arial"/>
                <w:sz w:val="18"/>
                <w:szCs w:val="18"/>
                <w:b w:val="1"/>
                <w:bCs w:val="1"/>
                <w:color w:val="2C2C2C"/>
              </w:rPr>
              <w:t>18</w:t>
            </w: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color w:val="2C2C2C"/>
        </w:rPr>
        <w:t>The table below presents the fair value of the Company’s derivative financial instruments designated as hedges as well as their classification on the balance sheet.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shd w:val="clear" w:color="auto" w:fill="0094FF"/>
          </w:tcPr>
          <w:p>
            <w:pPr>
              <w:spacing w:after="0"/>
              <w:rPr>
                <w:sz w:val="21"/>
                <w:szCs w:val="21"/>
                <w:color w:val="auto"/>
              </w:rPr>
            </w:pPr>
          </w:p>
        </w:tc>
        <w:tc>
          <w:tcPr>
            <w:tcW w:w="2600" w:type="dxa"/>
            <w:vAlign w:val="bottom"/>
            <w:gridSpan w:val="3"/>
            <w:shd w:val="clear" w:color="auto" w:fill="0094FF"/>
          </w:tcPr>
          <w:p>
            <w:pPr>
              <w:jc w:val="center"/>
              <w:ind w:left="1110"/>
              <w:spacing w:after="0"/>
              <w:rPr>
                <w:sz w:val="20"/>
                <w:szCs w:val="20"/>
                <w:color w:val="auto"/>
              </w:rPr>
            </w:pPr>
            <w:r>
              <w:rPr>
                <w:rFonts w:ascii="Arial" w:cs="Arial" w:eastAsia="Arial" w:hAnsi="Arial"/>
                <w:sz w:val="18"/>
                <w:szCs w:val="18"/>
                <w:color w:val="FFFFFF"/>
              </w:rPr>
              <w:t>Asset Derivatives</w:t>
            </w:r>
          </w:p>
        </w:tc>
        <w:tc>
          <w:tcPr>
            <w:tcW w:w="1300" w:type="dxa"/>
            <w:vAlign w:val="bottom"/>
            <w:shd w:val="clear" w:color="auto" w:fill="0094FF"/>
          </w:tcPr>
          <w:p>
            <w:pPr>
              <w:spacing w:after="0"/>
              <w:rPr>
                <w:sz w:val="21"/>
                <w:szCs w:val="21"/>
                <w:color w:val="auto"/>
              </w:rPr>
            </w:pPr>
          </w:p>
        </w:tc>
        <w:tc>
          <w:tcPr>
            <w:tcW w:w="1160" w:type="dxa"/>
            <w:vAlign w:val="bottom"/>
            <w:shd w:val="clear" w:color="auto" w:fill="0094FF"/>
          </w:tcPr>
          <w:p>
            <w:pPr>
              <w:spacing w:after="0"/>
              <w:rPr>
                <w:sz w:val="21"/>
                <w:szCs w:val="21"/>
                <w:color w:val="auto"/>
              </w:rPr>
            </w:pPr>
          </w:p>
        </w:tc>
        <w:tc>
          <w:tcPr>
            <w:tcW w:w="1420" w:type="dxa"/>
            <w:vAlign w:val="bottom"/>
            <w:shd w:val="clear" w:color="auto" w:fill="0094FF"/>
          </w:tcPr>
          <w:p>
            <w:pPr>
              <w:spacing w:after="0"/>
              <w:rPr>
                <w:sz w:val="21"/>
                <w:szCs w:val="21"/>
                <w:color w:val="auto"/>
              </w:rPr>
            </w:pPr>
          </w:p>
        </w:tc>
        <w:tc>
          <w:tcPr>
            <w:tcW w:w="2520" w:type="dxa"/>
            <w:vAlign w:val="bottom"/>
            <w:gridSpan w:val="2"/>
            <w:shd w:val="clear" w:color="auto" w:fill="0094FF"/>
          </w:tcPr>
          <w:p>
            <w:pPr>
              <w:ind w:left="360"/>
              <w:spacing w:after="0"/>
              <w:rPr>
                <w:sz w:val="20"/>
                <w:szCs w:val="20"/>
                <w:color w:val="auto"/>
              </w:rPr>
            </w:pPr>
            <w:r>
              <w:rPr>
                <w:rFonts w:ascii="Arial" w:cs="Arial" w:eastAsia="Arial" w:hAnsi="Arial"/>
                <w:sz w:val="18"/>
                <w:szCs w:val="18"/>
                <w:color w:val="FFFFFF"/>
              </w:rPr>
              <w:t>Liability Derivatives</w:t>
            </w:r>
          </w:p>
        </w:tc>
        <w:tc>
          <w:tcPr>
            <w:tcW w:w="1160" w:type="dxa"/>
            <w:vAlign w:val="bottom"/>
            <w:shd w:val="clear" w:color="auto" w:fill="0094FF"/>
          </w:tcPr>
          <w:p>
            <w:pPr>
              <w:spacing w:after="0"/>
              <w:rPr>
                <w:sz w:val="21"/>
                <w:szCs w:val="21"/>
                <w:color w:val="auto"/>
              </w:rPr>
            </w:pPr>
          </w:p>
        </w:tc>
      </w:tr>
      <w:tr>
        <w:trPr>
          <w:trHeight w:val="270"/>
        </w:trPr>
        <w:tc>
          <w:tcPr>
            <w:tcW w:w="1260" w:type="dxa"/>
            <w:vAlign w:val="bottom"/>
            <w:shd w:val="clear" w:color="auto" w:fill="0094FF"/>
          </w:tcPr>
          <w:p>
            <w:pPr>
              <w:spacing w:after="0"/>
              <w:rPr>
                <w:sz w:val="23"/>
                <w:szCs w:val="23"/>
                <w:color w:val="auto"/>
              </w:rPr>
            </w:pPr>
          </w:p>
        </w:tc>
        <w:tc>
          <w:tcPr>
            <w:tcW w:w="2600" w:type="dxa"/>
            <w:vAlign w:val="bottom"/>
            <w:gridSpan w:val="3"/>
            <w:shd w:val="clear" w:color="auto" w:fill="0094FF"/>
          </w:tcPr>
          <w:p>
            <w:pPr>
              <w:ind w:left="720"/>
              <w:spacing w:after="0"/>
              <w:rPr>
                <w:sz w:val="20"/>
                <w:szCs w:val="20"/>
                <w:color w:val="auto"/>
              </w:rPr>
            </w:pPr>
            <w:r>
              <w:rPr>
                <w:rFonts w:ascii="Arial" w:cs="Arial" w:eastAsia="Arial" w:hAnsi="Arial"/>
                <w:sz w:val="18"/>
                <w:szCs w:val="18"/>
                <w:color w:val="FFFFFF"/>
              </w:rPr>
              <w:t>June 30, 2019</w:t>
            </w:r>
          </w:p>
        </w:tc>
        <w:tc>
          <w:tcPr>
            <w:tcW w:w="2460" w:type="dxa"/>
            <w:vAlign w:val="bottom"/>
            <w:gridSpan w:val="2"/>
            <w:shd w:val="clear" w:color="auto" w:fill="0094FF"/>
          </w:tcPr>
          <w:p>
            <w:pPr>
              <w:ind w:left="420"/>
              <w:spacing w:after="0"/>
              <w:rPr>
                <w:sz w:val="20"/>
                <w:szCs w:val="20"/>
                <w:color w:val="auto"/>
              </w:rPr>
            </w:pPr>
            <w:r>
              <w:rPr>
                <w:rFonts w:ascii="Arial" w:cs="Arial" w:eastAsia="Arial" w:hAnsi="Arial"/>
                <w:sz w:val="18"/>
                <w:szCs w:val="18"/>
                <w:color w:val="FFFFFF"/>
              </w:rPr>
              <w:t>December 31, 2018</w:t>
            </w:r>
          </w:p>
        </w:tc>
        <w:tc>
          <w:tcPr>
            <w:tcW w:w="2500" w:type="dxa"/>
            <w:vAlign w:val="bottom"/>
            <w:gridSpan w:val="2"/>
            <w:shd w:val="clear" w:color="auto" w:fill="0094FF"/>
          </w:tcPr>
          <w:p>
            <w:pPr>
              <w:jc w:val="right"/>
              <w:ind w:right="590"/>
              <w:spacing w:after="0"/>
              <w:rPr>
                <w:sz w:val="20"/>
                <w:szCs w:val="20"/>
                <w:color w:val="auto"/>
              </w:rPr>
            </w:pPr>
            <w:r>
              <w:rPr>
                <w:rFonts w:ascii="Arial" w:cs="Arial" w:eastAsia="Arial" w:hAnsi="Arial"/>
                <w:sz w:val="18"/>
                <w:szCs w:val="18"/>
                <w:color w:val="FFFFFF"/>
              </w:rPr>
              <w:t>June 30, 2019</w:t>
            </w:r>
          </w:p>
        </w:tc>
        <w:tc>
          <w:tcPr>
            <w:tcW w:w="2600" w:type="dxa"/>
            <w:vAlign w:val="bottom"/>
            <w:gridSpan w:val="2"/>
            <w:shd w:val="clear" w:color="auto" w:fill="0094FF"/>
          </w:tcPr>
          <w:p>
            <w:pPr>
              <w:ind w:left="560"/>
              <w:spacing w:after="0"/>
              <w:rPr>
                <w:sz w:val="20"/>
                <w:szCs w:val="20"/>
                <w:color w:val="auto"/>
              </w:rPr>
            </w:pPr>
            <w:r>
              <w:rPr>
                <w:rFonts w:ascii="Arial" w:cs="Arial" w:eastAsia="Arial" w:hAnsi="Arial"/>
                <w:sz w:val="18"/>
                <w:szCs w:val="18"/>
                <w:color w:val="FFFFFF"/>
              </w:rPr>
              <w:t>December 31, 2018</w:t>
            </w:r>
          </w:p>
        </w:tc>
      </w:tr>
      <w:tr>
        <w:trPr>
          <w:trHeight w:val="242"/>
        </w:trPr>
        <w:tc>
          <w:tcPr>
            <w:tcW w:w="1260" w:type="dxa"/>
            <w:vAlign w:val="bottom"/>
            <w:shd w:val="clear" w:color="auto" w:fill="0094FF"/>
          </w:tcPr>
          <w:p>
            <w:pPr>
              <w:spacing w:after="0"/>
              <w:rPr>
                <w:sz w:val="21"/>
                <w:szCs w:val="21"/>
                <w:color w:val="auto"/>
              </w:rPr>
            </w:pPr>
          </w:p>
        </w:tc>
        <w:tc>
          <w:tcPr>
            <w:tcW w:w="144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rPr>
              <w:t>Balance Sheet</w:t>
            </w:r>
          </w:p>
        </w:tc>
        <w:tc>
          <w:tcPr>
            <w:tcW w:w="1140" w:type="dxa"/>
            <w:vAlign w:val="bottom"/>
            <w:shd w:val="clear" w:color="auto" w:fill="0094FF"/>
          </w:tcPr>
          <w:p>
            <w:pPr>
              <w:spacing w:after="0"/>
              <w:rPr>
                <w:sz w:val="21"/>
                <w:szCs w:val="21"/>
                <w:color w:val="auto"/>
              </w:rPr>
            </w:pPr>
          </w:p>
        </w:tc>
        <w:tc>
          <w:tcPr>
            <w:tcW w:w="20" w:type="dxa"/>
            <w:vAlign w:val="bottom"/>
            <w:shd w:val="clear" w:color="auto" w:fill="0094FF"/>
          </w:tcPr>
          <w:p>
            <w:pPr>
              <w:spacing w:after="0"/>
              <w:rPr>
                <w:sz w:val="21"/>
                <w:szCs w:val="21"/>
                <w:color w:val="auto"/>
              </w:rPr>
            </w:pPr>
          </w:p>
        </w:tc>
        <w:tc>
          <w:tcPr>
            <w:tcW w:w="1300" w:type="dxa"/>
            <w:vAlign w:val="bottom"/>
            <w:shd w:val="clear" w:color="auto" w:fill="0094FF"/>
          </w:tcPr>
          <w:p>
            <w:pPr>
              <w:jc w:val="center"/>
              <w:ind w:right="30"/>
              <w:spacing w:after="0"/>
              <w:rPr>
                <w:sz w:val="20"/>
                <w:szCs w:val="20"/>
                <w:color w:val="auto"/>
              </w:rPr>
            </w:pPr>
            <w:r>
              <w:rPr>
                <w:rFonts w:ascii="Arial" w:cs="Arial" w:eastAsia="Arial" w:hAnsi="Arial"/>
                <w:sz w:val="18"/>
                <w:szCs w:val="18"/>
                <w:color w:val="FFFFFF"/>
              </w:rPr>
              <w:t>Balance Sheet</w:t>
            </w:r>
          </w:p>
        </w:tc>
        <w:tc>
          <w:tcPr>
            <w:tcW w:w="1160" w:type="dxa"/>
            <w:vAlign w:val="bottom"/>
            <w:shd w:val="clear" w:color="auto" w:fill="0094FF"/>
          </w:tcPr>
          <w:p>
            <w:pPr>
              <w:ind w:left="140"/>
              <w:spacing w:after="0"/>
              <w:rPr>
                <w:sz w:val="20"/>
                <w:szCs w:val="20"/>
                <w:color w:val="auto"/>
              </w:rPr>
            </w:pPr>
            <w:r>
              <w:rPr>
                <w:rFonts w:ascii="Arial" w:cs="Arial" w:eastAsia="Arial" w:hAnsi="Arial"/>
                <w:sz w:val="18"/>
                <w:szCs w:val="18"/>
                <w:color w:val="FFFFFF"/>
              </w:rPr>
              <w:t>Fair Value</w:t>
            </w:r>
          </w:p>
        </w:tc>
        <w:tc>
          <w:tcPr>
            <w:tcW w:w="14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Balance Sheet</w:t>
            </w:r>
          </w:p>
        </w:tc>
        <w:tc>
          <w:tcPr>
            <w:tcW w:w="1080" w:type="dxa"/>
            <w:vAlign w:val="bottom"/>
            <w:shd w:val="clear" w:color="auto" w:fill="0094FF"/>
          </w:tcPr>
          <w:p>
            <w:pPr>
              <w:spacing w:after="0"/>
              <w:rPr>
                <w:sz w:val="21"/>
                <w:szCs w:val="21"/>
                <w:color w:val="auto"/>
              </w:rPr>
            </w:pPr>
          </w:p>
        </w:tc>
        <w:tc>
          <w:tcPr>
            <w:tcW w:w="144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Balance Sheet</w:t>
            </w:r>
          </w:p>
        </w:tc>
        <w:tc>
          <w:tcPr>
            <w:tcW w:w="1160" w:type="dxa"/>
            <w:vAlign w:val="bottom"/>
            <w:shd w:val="clear" w:color="auto" w:fill="0094FF"/>
          </w:tcPr>
          <w:p>
            <w:pPr>
              <w:spacing w:after="0"/>
              <w:rPr>
                <w:sz w:val="21"/>
                <w:szCs w:val="21"/>
                <w:color w:val="auto"/>
              </w:rPr>
            </w:pPr>
          </w:p>
        </w:tc>
      </w:tr>
      <w:tr>
        <w:trPr>
          <w:trHeight w:val="230"/>
        </w:trPr>
        <w:tc>
          <w:tcPr>
            <w:tcW w:w="1260" w:type="dxa"/>
            <w:vAlign w:val="bottom"/>
            <w:shd w:val="clear" w:color="auto" w:fill="0094FF"/>
          </w:tcPr>
          <w:p>
            <w:pPr>
              <w:spacing w:after="0"/>
              <w:rPr>
                <w:sz w:val="20"/>
                <w:szCs w:val="20"/>
                <w:color w:val="auto"/>
              </w:rPr>
            </w:pPr>
          </w:p>
        </w:tc>
        <w:tc>
          <w:tcPr>
            <w:tcW w:w="144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9"/>
              </w:rPr>
              <w:t>Location</w:t>
            </w:r>
          </w:p>
        </w:tc>
        <w:tc>
          <w:tcPr>
            <w:tcW w:w="1160" w:type="dxa"/>
            <w:vAlign w:val="bottom"/>
            <w:gridSpan w:val="2"/>
            <w:shd w:val="clear" w:color="auto" w:fill="0094FF"/>
          </w:tcPr>
          <w:p>
            <w:pPr>
              <w:jc w:val="center"/>
              <w:ind w:right="200"/>
              <w:spacing w:after="0"/>
              <w:rPr>
                <w:sz w:val="20"/>
                <w:szCs w:val="20"/>
                <w:color w:val="auto"/>
              </w:rPr>
            </w:pPr>
            <w:r>
              <w:rPr>
                <w:rFonts w:ascii="Arial" w:cs="Arial" w:eastAsia="Arial" w:hAnsi="Arial"/>
                <w:sz w:val="18"/>
                <w:szCs w:val="18"/>
                <w:color w:val="FFFFFF"/>
                <w:w w:val="97"/>
              </w:rPr>
              <w:t>Fair Value</w:t>
            </w:r>
          </w:p>
        </w:tc>
        <w:tc>
          <w:tcPr>
            <w:tcW w:w="1300" w:type="dxa"/>
            <w:vAlign w:val="bottom"/>
            <w:shd w:val="clear" w:color="auto" w:fill="0094FF"/>
          </w:tcPr>
          <w:p>
            <w:pPr>
              <w:jc w:val="center"/>
              <w:ind w:right="10"/>
              <w:spacing w:after="0"/>
              <w:rPr>
                <w:sz w:val="20"/>
                <w:szCs w:val="20"/>
                <w:color w:val="auto"/>
              </w:rPr>
            </w:pPr>
            <w:r>
              <w:rPr>
                <w:rFonts w:ascii="Arial" w:cs="Arial" w:eastAsia="Arial" w:hAnsi="Arial"/>
                <w:sz w:val="18"/>
                <w:szCs w:val="18"/>
                <w:color w:val="FFFFFF"/>
                <w:w w:val="99"/>
              </w:rPr>
              <w:t>Location</w:t>
            </w:r>
          </w:p>
        </w:tc>
        <w:tc>
          <w:tcPr>
            <w:tcW w:w="1160" w:type="dxa"/>
            <w:vAlign w:val="bottom"/>
            <w:shd w:val="clear" w:color="auto" w:fill="0094FF"/>
          </w:tcPr>
          <w:p>
            <w:pPr>
              <w:spacing w:after="0"/>
              <w:rPr>
                <w:sz w:val="20"/>
                <w:szCs w:val="20"/>
                <w:color w:val="auto"/>
              </w:rPr>
            </w:pPr>
          </w:p>
        </w:tc>
        <w:tc>
          <w:tcPr>
            <w:tcW w:w="14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Location</w:t>
            </w:r>
          </w:p>
        </w:tc>
        <w:tc>
          <w:tcPr>
            <w:tcW w:w="108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Fair Value</w:t>
            </w:r>
          </w:p>
        </w:tc>
        <w:tc>
          <w:tcPr>
            <w:tcW w:w="144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160" w:type="dxa"/>
            <w:vAlign w:val="bottom"/>
            <w:shd w:val="clear" w:color="auto" w:fill="0094FF"/>
          </w:tcPr>
          <w:p>
            <w:pPr>
              <w:ind w:left="140"/>
              <w:spacing w:after="0"/>
              <w:rPr>
                <w:sz w:val="20"/>
                <w:szCs w:val="20"/>
                <w:color w:val="auto"/>
              </w:rPr>
            </w:pPr>
            <w:r>
              <w:rPr>
                <w:rFonts w:ascii="Arial" w:cs="Arial" w:eastAsia="Arial" w:hAnsi="Arial"/>
                <w:sz w:val="18"/>
                <w:szCs w:val="18"/>
                <w:color w:val="FFFFFF"/>
              </w:rPr>
              <w:t>Fair Value</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44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shd w:val="clear" w:color="auto" w:fill="E5E5E5"/>
          </w:tcPr>
          <w:p>
            <w:pPr>
              <w:jc w:val="center"/>
              <w:ind w:right="90"/>
              <w:spacing w:after="0"/>
              <w:rPr>
                <w:sz w:val="20"/>
                <w:szCs w:val="20"/>
                <w:color w:val="auto"/>
              </w:rPr>
            </w:pPr>
            <w:r>
              <w:rPr>
                <w:rFonts w:ascii="Arial" w:cs="Arial" w:eastAsia="Arial" w:hAnsi="Arial"/>
                <w:sz w:val="18"/>
                <w:szCs w:val="18"/>
                <w:color w:val="1B51BF"/>
                <w:w w:val="97"/>
              </w:rPr>
              <w:t>Other</w:t>
            </w:r>
          </w:p>
        </w:tc>
        <w:tc>
          <w:tcPr>
            <w:tcW w:w="1080" w:type="dxa"/>
            <w:vAlign w:val="bottom"/>
            <w:shd w:val="clear" w:color="auto" w:fill="E5E5E5"/>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1160" w:type="dxa"/>
            <w:vAlign w:val="bottom"/>
          </w:tcPr>
          <w:p>
            <w:pPr>
              <w:spacing w:after="0"/>
              <w:rPr>
                <w:sz w:val="19"/>
                <w:szCs w:val="19"/>
                <w:color w:val="auto"/>
              </w:rPr>
            </w:pPr>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Swaps</w:t>
            </w:r>
          </w:p>
        </w:tc>
        <w:tc>
          <w:tcPr>
            <w:tcW w:w="1440" w:type="dxa"/>
            <w:vAlign w:val="bottom"/>
            <w:shd w:val="clear" w:color="auto" w:fill="E5E5E5"/>
          </w:tcPr>
          <w:p>
            <w:pPr>
              <w:ind w:left="120"/>
              <w:spacing w:after="0"/>
              <w:rPr>
                <w:sz w:val="20"/>
                <w:szCs w:val="20"/>
                <w:color w:val="auto"/>
              </w:rPr>
            </w:pPr>
            <w:r>
              <w:rPr>
                <w:rFonts w:ascii="Arial" w:cs="Arial" w:eastAsia="Arial" w:hAnsi="Arial"/>
                <w:sz w:val="18"/>
                <w:szCs w:val="18"/>
                <w:color w:val="1B51BF"/>
              </w:rPr>
              <w:t>Other Assets  $</w:t>
            </w:r>
          </w:p>
        </w:tc>
        <w:tc>
          <w:tcPr>
            <w:tcW w:w="11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0.4</w:t>
            </w:r>
          </w:p>
        </w:tc>
        <w:tc>
          <w:tcPr>
            <w:tcW w:w="2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9"/>
              </w:rPr>
              <w:t>Other Assets</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ind w:left="240"/>
              <w:spacing w:after="0"/>
              <w:rPr>
                <w:sz w:val="20"/>
                <w:szCs w:val="20"/>
                <w:color w:val="auto"/>
              </w:rPr>
            </w:pPr>
            <w:r>
              <w:rPr>
                <w:rFonts w:ascii="Arial" w:cs="Arial" w:eastAsia="Arial" w:hAnsi="Arial"/>
                <w:sz w:val="18"/>
                <w:szCs w:val="18"/>
                <w:color w:val="1B51BF"/>
              </w:rPr>
              <w:t>Liabilities   $</w:t>
            </w:r>
          </w:p>
        </w:tc>
        <w:tc>
          <w:tcPr>
            <w:tcW w:w="10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1.6</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35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b w:val="1"/>
          <w:bCs w:val="1"/>
          <w:color w:val="2C2C2C"/>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we incorporate credit valuation adjustments in the fair value measurements to appropriately reflect both our own nonperformance risk and the respective counterparty’s nonperformance risk. These credit valuation adjustments were concluded to not be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The table below presents the effect of cash flow hedge accounting on accumulated other comprehensive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shd w:val="clear" w:color="auto" w:fill="0094FF"/>
          </w:tcPr>
          <w:p>
            <w:pPr>
              <w:spacing w:after="0"/>
              <w:rPr>
                <w:sz w:val="19"/>
                <w:szCs w:val="19"/>
                <w:color w:val="auto"/>
              </w:rPr>
            </w:pPr>
          </w:p>
        </w:tc>
        <w:tc>
          <w:tcPr>
            <w:tcW w:w="240" w:type="dxa"/>
            <w:vAlign w:val="bottom"/>
            <w:shd w:val="clear" w:color="auto" w:fill="0094FF"/>
          </w:tcPr>
          <w:p>
            <w:pPr>
              <w:spacing w:after="0"/>
              <w:rPr>
                <w:sz w:val="19"/>
                <w:szCs w:val="19"/>
                <w:color w:val="auto"/>
              </w:rPr>
            </w:pPr>
          </w:p>
        </w:tc>
        <w:tc>
          <w:tcPr>
            <w:tcW w:w="2280" w:type="dxa"/>
            <w:vAlign w:val="bottom"/>
            <w:gridSpan w:val="2"/>
            <w:shd w:val="clear" w:color="auto" w:fill="0094FF"/>
          </w:tcPr>
          <w:p>
            <w:pPr>
              <w:jc w:val="center"/>
              <w:ind w:right="110"/>
              <w:spacing w:after="0"/>
              <w:rPr>
                <w:sz w:val="20"/>
                <w:szCs w:val="20"/>
                <w:color w:val="auto"/>
              </w:rPr>
            </w:pPr>
            <w:r>
              <w:rPr>
                <w:rFonts w:ascii="Arial" w:cs="Arial" w:eastAsia="Arial" w:hAnsi="Arial"/>
                <w:sz w:val="18"/>
                <w:szCs w:val="18"/>
                <w:color w:val="FFFFFF"/>
                <w:w w:val="99"/>
              </w:rPr>
              <w:t>Amount of Gain/(Loss)</w:t>
            </w:r>
          </w:p>
        </w:tc>
        <w:tc>
          <w:tcPr>
            <w:tcW w:w="262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Location of Gain or (Loss)</w:t>
            </w:r>
          </w:p>
        </w:tc>
        <w:tc>
          <w:tcPr>
            <w:tcW w:w="300" w:type="dxa"/>
            <w:vAlign w:val="bottom"/>
            <w:shd w:val="clear" w:color="auto" w:fill="0094FF"/>
          </w:tcPr>
          <w:p>
            <w:pPr>
              <w:spacing w:after="0"/>
              <w:rPr>
                <w:sz w:val="19"/>
                <w:szCs w:val="19"/>
                <w:color w:val="auto"/>
              </w:rPr>
            </w:pPr>
          </w:p>
        </w:tc>
        <w:tc>
          <w:tcPr>
            <w:tcW w:w="2340" w:type="dxa"/>
            <w:vAlign w:val="bottom"/>
            <w:gridSpan w:val="3"/>
            <w:shd w:val="clear" w:color="auto" w:fill="0094FF"/>
          </w:tcPr>
          <w:p>
            <w:pPr>
              <w:jc w:val="center"/>
              <w:ind w:right="90"/>
              <w:spacing w:after="0"/>
              <w:rPr>
                <w:sz w:val="20"/>
                <w:szCs w:val="20"/>
                <w:color w:val="auto"/>
              </w:rPr>
            </w:pPr>
            <w:r>
              <w:rPr>
                <w:rFonts w:ascii="Arial" w:cs="Arial" w:eastAsia="Arial" w:hAnsi="Arial"/>
                <w:sz w:val="18"/>
                <w:szCs w:val="18"/>
                <w:color w:val="FFFFFF"/>
                <w:w w:val="99"/>
              </w:rPr>
              <w:t>Amount of Gain or (Loss)</w:t>
            </w:r>
          </w:p>
        </w:tc>
      </w:tr>
      <w:tr>
        <w:trPr>
          <w:trHeight w:val="203"/>
        </w:trPr>
        <w:tc>
          <w:tcPr>
            <w:tcW w:w="3640" w:type="dxa"/>
            <w:vAlign w:val="bottom"/>
            <w:shd w:val="clear" w:color="auto" w:fill="0094FF"/>
          </w:tcPr>
          <w:p>
            <w:pPr>
              <w:spacing w:after="0"/>
              <w:rPr>
                <w:sz w:val="17"/>
                <w:szCs w:val="17"/>
                <w:color w:val="auto"/>
              </w:rPr>
            </w:pPr>
          </w:p>
        </w:tc>
        <w:tc>
          <w:tcPr>
            <w:tcW w:w="240" w:type="dxa"/>
            <w:vAlign w:val="bottom"/>
            <w:shd w:val="clear" w:color="auto" w:fill="0094FF"/>
          </w:tcPr>
          <w:p>
            <w:pPr>
              <w:spacing w:after="0"/>
              <w:rPr>
                <w:sz w:val="17"/>
                <w:szCs w:val="17"/>
                <w:color w:val="auto"/>
              </w:rPr>
            </w:pPr>
          </w:p>
        </w:tc>
        <w:tc>
          <w:tcPr>
            <w:tcW w:w="2280" w:type="dxa"/>
            <w:vAlign w:val="bottom"/>
            <w:gridSpan w:val="2"/>
            <w:shd w:val="clear" w:color="auto" w:fill="0094FF"/>
          </w:tcPr>
          <w:p>
            <w:pPr>
              <w:jc w:val="center"/>
              <w:ind w:right="130"/>
              <w:spacing w:after="0" w:line="202" w:lineRule="exact"/>
              <w:rPr>
                <w:sz w:val="20"/>
                <w:szCs w:val="20"/>
                <w:color w:val="auto"/>
              </w:rPr>
            </w:pPr>
            <w:r>
              <w:rPr>
                <w:rFonts w:ascii="Arial" w:cs="Arial" w:eastAsia="Arial" w:hAnsi="Arial"/>
                <w:sz w:val="18"/>
                <w:szCs w:val="18"/>
                <w:color w:val="FFFFFF"/>
              </w:rPr>
              <w:t>Recognized in OCI on</w:t>
            </w:r>
          </w:p>
        </w:tc>
        <w:tc>
          <w:tcPr>
            <w:tcW w:w="262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rPr>
              <w:t>Reclassified from Accumulated</w:t>
            </w:r>
          </w:p>
        </w:tc>
        <w:tc>
          <w:tcPr>
            <w:tcW w:w="2640" w:type="dxa"/>
            <w:vAlign w:val="bottom"/>
            <w:gridSpan w:val="4"/>
            <w:shd w:val="clear" w:color="auto" w:fill="0094FF"/>
          </w:tcPr>
          <w:p>
            <w:pPr>
              <w:ind w:left="140"/>
              <w:spacing w:after="0" w:line="202" w:lineRule="exact"/>
              <w:rPr>
                <w:sz w:val="20"/>
                <w:szCs w:val="20"/>
                <w:color w:val="auto"/>
              </w:rPr>
            </w:pPr>
            <w:r>
              <w:rPr>
                <w:rFonts w:ascii="Arial" w:cs="Arial" w:eastAsia="Arial" w:hAnsi="Arial"/>
                <w:sz w:val="18"/>
                <w:szCs w:val="18"/>
                <w:color w:val="FFFFFF"/>
              </w:rPr>
              <w:t>Reclassified from Accumulated</w:t>
            </w:r>
          </w:p>
        </w:tc>
      </w:tr>
      <w:tr>
        <w:trPr>
          <w:trHeight w:val="217"/>
        </w:trPr>
        <w:tc>
          <w:tcPr>
            <w:tcW w:w="364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Hedging derivatives</w:t>
            </w:r>
          </w:p>
        </w:tc>
        <w:tc>
          <w:tcPr>
            <w:tcW w:w="240" w:type="dxa"/>
            <w:vAlign w:val="bottom"/>
            <w:shd w:val="clear" w:color="auto" w:fill="0094FF"/>
          </w:tcPr>
          <w:p>
            <w:pPr>
              <w:spacing w:after="0"/>
              <w:rPr>
                <w:sz w:val="18"/>
                <w:szCs w:val="18"/>
                <w:color w:val="auto"/>
              </w:rPr>
            </w:pPr>
          </w:p>
        </w:tc>
        <w:tc>
          <w:tcPr>
            <w:tcW w:w="2280" w:type="dxa"/>
            <w:vAlign w:val="bottom"/>
            <w:gridSpan w:val="2"/>
            <w:shd w:val="clear" w:color="auto" w:fill="0094FF"/>
          </w:tcPr>
          <w:p>
            <w:pPr>
              <w:jc w:val="center"/>
              <w:ind w:right="110"/>
              <w:spacing w:after="0"/>
              <w:rPr>
                <w:sz w:val="20"/>
                <w:szCs w:val="20"/>
                <w:color w:val="auto"/>
              </w:rPr>
            </w:pPr>
            <w:r>
              <w:rPr>
                <w:rFonts w:ascii="Arial" w:cs="Arial" w:eastAsia="Arial" w:hAnsi="Arial"/>
                <w:sz w:val="18"/>
                <w:szCs w:val="18"/>
                <w:color w:val="FFFFFF"/>
                <w:w w:val="99"/>
              </w:rPr>
              <w:t>Derivative</w:t>
            </w:r>
          </w:p>
        </w:tc>
        <w:tc>
          <w:tcPr>
            <w:tcW w:w="262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OCI into Income</w:t>
            </w:r>
          </w:p>
        </w:tc>
        <w:tc>
          <w:tcPr>
            <w:tcW w:w="300" w:type="dxa"/>
            <w:vAlign w:val="bottom"/>
            <w:shd w:val="clear" w:color="auto" w:fill="0094FF"/>
          </w:tcPr>
          <w:p>
            <w:pPr>
              <w:spacing w:after="0"/>
              <w:rPr>
                <w:sz w:val="18"/>
                <w:szCs w:val="18"/>
                <w:color w:val="auto"/>
              </w:rPr>
            </w:pPr>
          </w:p>
        </w:tc>
        <w:tc>
          <w:tcPr>
            <w:tcW w:w="1900" w:type="dxa"/>
            <w:vAlign w:val="bottom"/>
            <w:gridSpan w:val="2"/>
            <w:shd w:val="clear" w:color="auto" w:fill="0094FF"/>
          </w:tcPr>
          <w:p>
            <w:pPr>
              <w:jc w:val="center"/>
              <w:ind w:left="190"/>
              <w:spacing w:after="0"/>
              <w:rPr>
                <w:sz w:val="20"/>
                <w:szCs w:val="20"/>
                <w:color w:val="auto"/>
              </w:rPr>
            </w:pPr>
            <w:r>
              <w:rPr>
                <w:rFonts w:ascii="Arial" w:cs="Arial" w:eastAsia="Arial" w:hAnsi="Arial"/>
                <w:sz w:val="18"/>
                <w:szCs w:val="18"/>
                <w:color w:val="FFFFFF"/>
                <w:w w:val="99"/>
              </w:rPr>
              <w:t>OCI into Income</w:t>
            </w:r>
          </w:p>
        </w:tc>
        <w:tc>
          <w:tcPr>
            <w:tcW w:w="440" w:type="dxa"/>
            <w:vAlign w:val="bottom"/>
            <w:shd w:val="clear" w:color="auto" w:fill="0094FF"/>
          </w:tcPr>
          <w:p>
            <w:pPr>
              <w:spacing w:after="0"/>
              <w:rPr>
                <w:sz w:val="18"/>
                <w:szCs w:val="18"/>
                <w:color w:val="auto"/>
              </w:rPr>
            </w:pPr>
          </w:p>
        </w:tc>
      </w:tr>
      <w:tr>
        <w:trPr>
          <w:trHeight w:val="284"/>
        </w:trPr>
        <w:tc>
          <w:tcPr>
            <w:tcW w:w="3640" w:type="dxa"/>
            <w:vAlign w:val="bottom"/>
            <w:shd w:val="clear" w:color="auto" w:fill="0094FF"/>
          </w:tcPr>
          <w:p>
            <w:pPr>
              <w:spacing w:after="0"/>
              <w:rPr>
                <w:sz w:val="24"/>
                <w:szCs w:val="24"/>
                <w:color w:val="auto"/>
              </w:rPr>
            </w:pPr>
          </w:p>
        </w:tc>
        <w:tc>
          <w:tcPr>
            <w:tcW w:w="128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June 30, 2019</w:t>
            </w:r>
          </w:p>
        </w:tc>
        <w:tc>
          <w:tcPr>
            <w:tcW w:w="124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June 30, 2018</w:t>
            </w:r>
          </w:p>
        </w:tc>
        <w:tc>
          <w:tcPr>
            <w:tcW w:w="2620" w:type="dxa"/>
            <w:vAlign w:val="bottom"/>
            <w:shd w:val="clear" w:color="auto" w:fill="0094FF"/>
          </w:tcPr>
          <w:p>
            <w:pPr>
              <w:spacing w:after="0"/>
              <w:rPr>
                <w:sz w:val="24"/>
                <w:szCs w:val="24"/>
                <w:color w:val="auto"/>
              </w:rPr>
            </w:pPr>
          </w:p>
        </w:tc>
        <w:tc>
          <w:tcPr>
            <w:tcW w:w="1380" w:type="dxa"/>
            <w:vAlign w:val="bottom"/>
            <w:gridSpan w:val="2"/>
            <w:shd w:val="clear" w:color="auto" w:fill="0094FF"/>
          </w:tcPr>
          <w:p>
            <w:pPr>
              <w:ind w:left="160"/>
              <w:spacing w:after="0"/>
              <w:rPr>
                <w:sz w:val="20"/>
                <w:szCs w:val="20"/>
                <w:color w:val="auto"/>
              </w:rPr>
            </w:pPr>
            <w:r>
              <w:rPr>
                <w:rFonts w:ascii="Arial" w:cs="Arial" w:eastAsia="Arial" w:hAnsi="Arial"/>
                <w:sz w:val="18"/>
                <w:szCs w:val="18"/>
                <w:color w:val="FFFFFF"/>
              </w:rPr>
              <w:t>June 30, 2019</w:t>
            </w:r>
          </w:p>
        </w:tc>
        <w:tc>
          <w:tcPr>
            <w:tcW w:w="1260" w:type="dxa"/>
            <w:vAlign w:val="bottom"/>
            <w:gridSpan w:val="2"/>
            <w:shd w:val="clear" w:color="auto" w:fill="0094FF"/>
          </w:tcPr>
          <w:p>
            <w:pPr>
              <w:ind w:left="60"/>
              <w:spacing w:after="0"/>
              <w:rPr>
                <w:sz w:val="20"/>
                <w:szCs w:val="20"/>
                <w:color w:val="auto"/>
              </w:rPr>
            </w:pPr>
            <w:r>
              <w:rPr>
                <w:rFonts w:ascii="Arial" w:cs="Arial" w:eastAsia="Arial" w:hAnsi="Arial"/>
                <w:sz w:val="18"/>
                <w:szCs w:val="18"/>
                <w:color w:val="FFFFFF"/>
              </w:rPr>
              <w:t>June 30, 2018</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w w:val="99"/>
              </w:rPr>
              <w:t>$</w:t>
            </w:r>
          </w:p>
        </w:tc>
        <w:tc>
          <w:tcPr>
            <w:tcW w:w="10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1.2</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Interest expense</w:t>
            </w:r>
          </w:p>
        </w:tc>
        <w:tc>
          <w:tcPr>
            <w:tcW w:w="300" w:type="dxa"/>
            <w:vAlign w:val="bottom"/>
            <w:shd w:val="clear" w:color="auto" w:fill="E5E5E5"/>
          </w:tcPr>
          <w:p>
            <w:pPr>
              <w:ind w:left="120"/>
              <w:spacing w:after="0"/>
              <w:rPr>
                <w:sz w:val="20"/>
                <w:szCs w:val="20"/>
                <w:color w:val="auto"/>
              </w:rPr>
            </w:pPr>
            <w:r>
              <w:rPr>
                <w:rFonts w:ascii="Arial" w:cs="Arial" w:eastAsia="Arial" w:hAnsi="Arial"/>
                <w:sz w:val="18"/>
                <w:szCs w:val="18"/>
                <w:color w:val="1B51BF"/>
              </w:rPr>
              <w:t>$</w:t>
            </w:r>
          </w:p>
        </w:tc>
        <w:tc>
          <w:tcPr>
            <w:tcW w:w="1080" w:type="dxa"/>
            <w:vAlign w:val="bottom"/>
            <w:shd w:val="clear" w:color="auto" w:fill="E5E5E5"/>
          </w:tcPr>
          <w:p>
            <w:pPr>
              <w:ind w:left="780"/>
              <w:spacing w:after="0"/>
              <w:rPr>
                <w:sz w:val="20"/>
                <w:szCs w:val="20"/>
                <w:color w:val="auto"/>
              </w:rPr>
            </w:pPr>
            <w:r>
              <w:rPr>
                <w:rFonts w:ascii="Arial" w:cs="Arial" w:eastAsia="Arial" w:hAnsi="Arial"/>
                <w:sz w:val="18"/>
                <w:szCs w:val="18"/>
                <w:color w:val="1B51BF"/>
              </w:rPr>
              <w: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7"/>
        </w:trPr>
        <w:tc>
          <w:tcPr>
            <w:tcW w:w="3640" w:type="dxa"/>
            <w:vAlign w:val="bottom"/>
          </w:tcPr>
          <w:p>
            <w:pPr>
              <w:spacing w:after="0"/>
              <w:rPr>
                <w:sz w:val="2"/>
                <w:szCs w:val="2"/>
                <w:color w:val="auto"/>
              </w:rPr>
            </w:pPr>
          </w:p>
        </w:tc>
        <w:tc>
          <w:tcPr>
            <w:tcW w:w="240" w:type="dxa"/>
            <w:vAlign w:val="bottom"/>
            <w:shd w:val="clear" w:color="auto" w:fill="E5E5E5"/>
          </w:tcPr>
          <w:p>
            <w:pPr>
              <w:spacing w:after="0"/>
              <w:rPr>
                <w:sz w:val="2"/>
                <w:szCs w:val="2"/>
                <w:color w:val="auto"/>
              </w:rPr>
            </w:pPr>
          </w:p>
        </w:tc>
        <w:tc>
          <w:tcPr>
            <w:tcW w:w="1040" w:type="dxa"/>
            <w:vAlign w:val="bottom"/>
            <w:shd w:val="clear" w:color="auto" w:fill="E5E5E5"/>
          </w:tcPr>
          <w:p>
            <w:pPr>
              <w:spacing w:after="0"/>
              <w:rPr>
                <w:sz w:val="2"/>
                <w:szCs w:val="2"/>
                <w:color w:val="auto"/>
              </w:rPr>
            </w:pPr>
          </w:p>
        </w:tc>
        <w:tc>
          <w:tcPr>
            <w:tcW w:w="1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shd w:val="clear" w:color="auto" w:fill="E5E5E5"/>
          </w:tcPr>
          <w:p>
            <w:pPr>
              <w:spacing w:after="0"/>
              <w:rPr>
                <w:sz w:val="2"/>
                <w:szCs w:val="2"/>
                <w:color w:val="auto"/>
              </w:rPr>
            </w:pPr>
          </w:p>
        </w:tc>
        <w:tc>
          <w:tcPr>
            <w:tcW w:w="1080" w:type="dxa"/>
            <w:vAlign w:val="bottom"/>
            <w:shd w:val="clear" w:color="auto" w:fill="E5E5E5"/>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bl>
    <w:p>
      <w:pPr>
        <w:spacing w:after="0" w:line="35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00497F"/>
        </w:rPr>
        <w:t>10.</w:t>
        <w:tab/>
        <w:t>Debt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components of debt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0094FF"/>
          </w:tcPr>
          <w:p>
            <w:pPr>
              <w:spacing w:after="0"/>
              <w:rPr>
                <w:sz w:val="23"/>
                <w:szCs w:val="23"/>
                <w:color w:val="auto"/>
              </w:rPr>
            </w:pPr>
          </w:p>
        </w:tc>
        <w:tc>
          <w:tcPr>
            <w:tcW w:w="820" w:type="dxa"/>
            <w:vAlign w:val="bottom"/>
            <w:shd w:val="clear" w:color="auto" w:fill="0094FF"/>
          </w:tcPr>
          <w:p>
            <w:pPr>
              <w:spacing w:after="0"/>
              <w:rPr>
                <w:sz w:val="23"/>
                <w:szCs w:val="23"/>
                <w:color w:val="auto"/>
              </w:rPr>
            </w:pPr>
          </w:p>
        </w:tc>
        <w:tc>
          <w:tcPr>
            <w:tcW w:w="198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June 30, 2019</w:t>
            </w:r>
          </w:p>
        </w:tc>
        <w:tc>
          <w:tcPr>
            <w:tcW w:w="660" w:type="dxa"/>
            <w:vAlign w:val="bottom"/>
            <w:shd w:val="clear" w:color="auto" w:fill="0094FF"/>
          </w:tcPr>
          <w:p>
            <w:pPr>
              <w:spacing w:after="0"/>
              <w:rPr>
                <w:sz w:val="23"/>
                <w:szCs w:val="23"/>
                <w:color w:val="auto"/>
              </w:rPr>
            </w:pPr>
          </w:p>
        </w:tc>
        <w:tc>
          <w:tcPr>
            <w:tcW w:w="100" w:type="dxa"/>
            <w:vAlign w:val="bottom"/>
            <w:shd w:val="clear" w:color="auto" w:fill="0094FF"/>
          </w:tcPr>
          <w:p>
            <w:pPr>
              <w:spacing w:after="0"/>
              <w:rPr>
                <w:sz w:val="23"/>
                <w:szCs w:val="23"/>
                <w:color w:val="auto"/>
              </w:rPr>
            </w:pPr>
          </w:p>
        </w:tc>
        <w:tc>
          <w:tcPr>
            <w:tcW w:w="340" w:type="dxa"/>
            <w:vAlign w:val="bottom"/>
            <w:shd w:val="clear" w:color="auto" w:fill="0094FF"/>
          </w:tcPr>
          <w:p>
            <w:pPr>
              <w:spacing w:after="0"/>
              <w:rPr>
                <w:sz w:val="23"/>
                <w:szCs w:val="23"/>
                <w:color w:val="auto"/>
              </w:rPr>
            </w:pPr>
          </w:p>
        </w:tc>
        <w:tc>
          <w:tcPr>
            <w:tcW w:w="2300" w:type="dxa"/>
            <w:vAlign w:val="bottom"/>
            <w:shd w:val="clear" w:color="auto" w:fill="0094FF"/>
          </w:tcPr>
          <w:p>
            <w:pPr>
              <w:jc w:val="right"/>
              <w:ind w:right="430"/>
              <w:spacing w:after="0"/>
              <w:rPr>
                <w:sz w:val="20"/>
                <w:szCs w:val="20"/>
                <w:color w:val="auto"/>
              </w:rPr>
            </w:pPr>
            <w:r>
              <w:rPr>
                <w:rFonts w:ascii="Arial" w:cs="Arial" w:eastAsia="Arial" w:hAnsi="Arial"/>
                <w:sz w:val="18"/>
                <w:szCs w:val="18"/>
                <w:color w:val="FFFFFF"/>
              </w:rPr>
              <w:t>December 31, 2018</w:t>
            </w: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Senior secured credit agreement - Term loan due 2023</w:t>
            </w:r>
          </w:p>
        </w:tc>
        <w:tc>
          <w:tcPr>
            <w:tcW w:w="820" w:type="dxa"/>
            <w:vAlign w:val="bottom"/>
          </w:tcPr>
          <w:p>
            <w:pPr>
              <w:spacing w:after="0"/>
              <w:rPr>
                <w:sz w:val="23"/>
                <w:szCs w:val="23"/>
                <w:color w:val="auto"/>
              </w:rPr>
            </w:pPr>
          </w:p>
        </w:tc>
        <w:tc>
          <w:tcPr>
            <w:tcW w:w="1980" w:type="dxa"/>
            <w:vAlign w:val="bottom"/>
            <w:shd w:val="clear" w:color="auto" w:fill="E5E5E5"/>
          </w:tcPr>
          <w:p>
            <w:pPr>
              <w:jc w:val="right"/>
              <w:ind w:right="1750"/>
              <w:spacing w:after="0"/>
              <w:rPr>
                <w:sz w:val="20"/>
                <w:szCs w:val="20"/>
                <w:color w:val="auto"/>
              </w:rPr>
            </w:pPr>
            <w:r>
              <w:rPr>
                <w:rFonts w:ascii="Arial" w:cs="Arial" w:eastAsia="Arial" w:hAnsi="Arial"/>
                <w:sz w:val="18"/>
                <w:szCs w:val="18"/>
                <w:color w:val="1B51BF"/>
              </w:rPr>
              <w:t>$</w:t>
            </w:r>
          </w:p>
        </w:tc>
        <w:tc>
          <w:tcPr>
            <w:tcW w:w="6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441.6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Senior secured credit agreement - Revolver loan due 2023</w:t>
            </w:r>
          </w:p>
        </w:tc>
        <w:tc>
          <w:tcPr>
            <w:tcW w:w="8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1B51BF"/>
              </w:rPr>
              <w:t>398.0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2.875% Convertible Senior Notes due 2021</w:t>
            </w:r>
          </w:p>
        </w:tc>
        <w:tc>
          <w:tcPr>
            <w:tcW w:w="8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1B51BF"/>
              </w:rPr>
              <w:t>10.6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7"/>
        </w:trPr>
        <w:tc>
          <w:tcPr>
            <w:tcW w:w="5220" w:type="dxa"/>
            <w:vAlign w:val="bottom"/>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3.0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8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1B51BF"/>
              </w:rPr>
              <w:t>853.2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Current portion of long-term debt, net of debt issuance costs</w:t>
            </w:r>
          </w:p>
        </w:tc>
        <w:tc>
          <w:tcPr>
            <w:tcW w:w="8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1B51BF"/>
              </w:rPr>
              <w:t>(10.1)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7"/>
        </w:trPr>
        <w:tc>
          <w:tcPr>
            <w:tcW w:w="522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8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(12.7)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Non-current portion of debt</w:t>
            </w:r>
          </w:p>
        </w:tc>
        <w:tc>
          <w:tcPr>
            <w:tcW w:w="820" w:type="dxa"/>
            <w:vAlign w:val="bottom"/>
          </w:tcPr>
          <w:p>
            <w:pPr>
              <w:spacing w:after="0"/>
              <w:rPr>
                <w:sz w:val="22"/>
                <w:szCs w:val="22"/>
                <w:color w:val="auto"/>
              </w:rPr>
            </w:pPr>
          </w:p>
        </w:tc>
        <w:tc>
          <w:tcPr>
            <w:tcW w:w="1980" w:type="dxa"/>
            <w:vAlign w:val="bottom"/>
          </w:tcPr>
          <w:p>
            <w:pPr>
              <w:jc w:val="right"/>
              <w:ind w:right="1750"/>
              <w:spacing w:after="0"/>
              <w:rPr>
                <w:sz w:val="20"/>
                <w:szCs w:val="20"/>
                <w:color w:val="auto"/>
              </w:rPr>
            </w:pPr>
            <w:r>
              <w:rPr>
                <w:rFonts w:ascii="Arial" w:cs="Arial" w:eastAsia="Arial" w:hAnsi="Arial"/>
                <w:sz w:val="18"/>
                <w:szCs w:val="18"/>
                <w:color w:val="1B51BF"/>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1B51BF"/>
              </w:rPr>
              <w:t>830.4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2C2C2C"/>
              </w:rPr>
              <w:t>19</w:t>
            </w: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2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-1971675</wp:posOffset>
            </wp:positionV>
            <wp:extent cx="1672590" cy="1380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2590" cy="13804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Senior Secured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On September 29, 2017, the Company entered into a senior secured credit agreement (the “2017 Credit Agreement”) with four lending financial institutions. On October 15, 2018, the Company entered into an Amended and Restated Credit Agreement (the "Amended Credit Agreement") with multiple lending institutions, which modified the 2017 Credit Agreement. The Amended Credit Agreement (i) increased the revolving credit facility (the "Revolving Credit Facility") from $200 million to $600 million, (ii) extended the maturity of the Revolving Credit Facility from September 29, 2022 to October 13, 2023, (iii) provided for a term loan in the original principal amount of $450 million (the "Term Loan Facility," and together with the Revolving Credit Facility, the "Senior Secured Credit Facilities"). The Company may request incremental term loan facilities or increases in the Revolving Credit Facility (each an "Incremental Loan") if requirements relating to net leverage ratio will be maintained on a pro forma basis.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Borrowings under the Revolving Credit Facility and the Term Loan Facility will bear interest at a rate per annum equal to (a) a eurocurrency rate plus a margin ranging from 1.25% to 2.00% per annum, depending on the Company's consolidated net leverage ratio or (b) a base rate (which is the highest of the prime rate, the federal funds rate plus 0.50%, and a eurocurrency rate for an interest period of one month plus 1%) plus a margin ranging from 0.25% to 1.00%, depending on the Company's consolidated net leverage ratio. The Company is required to make quarterly payments under the Amended Credit Agreement for accrued and unpaid interest on the outstanding principal balance, based on the above interest rates. In addition, the Company is required to pay commitment fees ranging from 0.15% to 0.30% per annum, depending on the Company's consolidated net leverage ratio, in respect of the average daily unused commitments under the Revolving Credit Facility. The Company is to repay the outstanding principal amount of the Term Loan Facility in quarterly installments based on an annual percentage equal to 2.5% of the original principal amount of the Term Loan Facility during each of the first two years of the Term Loan Facility, 5% of the original principal amount of the Term Loan Facility during the third year of the Term Loan Facility and 7.5% of the original principal amount of the Term Loan Facility during each year of the remainder of the term of the Term Loan Facility until the maturity date of the Term Loan Facility, at which time the entire unpaid principal balance of the Term Loan Facility will be due and payable. The Company has the right to prepay the Term Loan Facility without premium or penalty. The Revolving Credit Facility and the Term Loan Facility mature (unless earlier terminated) on October 13, 2023.</w:t>
      </w:r>
    </w:p>
    <w:p>
      <w:pPr>
        <w:spacing w:after="0" w:line="18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The Amended Credit Agreement also requires mandatory prepayments of the Term Loan Facility in the event the Company or its Subsidiaries (a) incur indebtedness not otherwise permitted under the Amended Credit Agreement or (b) receive cash proceeds in excess of $100 million during the term of the Amended Credit Agreement from certain dispositions of property or from casualty events involving their property, subject to certain reinvestment rights.</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The Amended Credit Agreement contains financial covenants, which were amended in June 2019. The financial covenants require the quarterly presentation of a minimum consolidated 12 month rolling debt service coverage ratio of 2.50 to 1.00, and an amended maximum consolidated net leverage ratio of 4.95 to 1.00 for the quarter ended June 30, 2019, 4.75 to 1.00 for the quarter ending September 30, 2019, 3.75 to 1.00 for the quarterly filing periods from October 1, 2019 through September 29, 2020 and 3.50 to 1.0 thereafter, which may be adjusted to 4.00 to 1.00 for a four quarter period in connection with a material permitted acquisition. The Amended Credit Agreement also contains affirmative and negative covenants, which were also amended in June 2019 to limit the amount of restricted payments as defined in the Amended Credit Agreement to $25 million until the filing of the Company's December 31, 2019 Form 10-K. Negative covenants in the Amended Credit Agreement, among other things, limit the ability of the Company to incur indebtedness and liens, dispose of assets, make investments and enter into certain merger or consolidation transactions. As of the date of these financial statements, the Company is in compliance with all affirmative and negative covenants.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2.875% Convertible Senior Notes due 2021</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On January 29, 2014, the Company issued 2.875% convertible senior notes due 2021 (the "Notes"). The Notes bear interest at a rate of 2.875% per year, payable semi-annually in arrears on January 15 and July 15 of each year. The Notes mature on January 15,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20</w:t>
      </w:r>
    </w:p>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00497F"/>
        </w:rPr>
      </w:pPr>
      <w:r>
        <w:rPr>
          <w:rFonts w:ascii="Arial" w:cs="Arial" w:eastAsia="Arial" w:hAnsi="Arial"/>
          <w:sz w:val="20"/>
          <w:szCs w:val="20"/>
          <w:b w:val="1"/>
          <w:bCs w:val="1"/>
          <w:color w:val="00497F"/>
        </w:rPr>
        <w:t>Revenue recognition</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2C2C2C"/>
        </w:rPr>
        <w:t>The Company operates as one operating segment. Therefore, results of its operations are reported on a consolidated basis for purposes of segment reporting, consistent with internal management reporting. The Company's revenues disaggregated by the major sources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80" w:type="dxa"/>
            <w:vAlign w:val="bottom"/>
            <w:gridSpan w:val="7"/>
            <w:shd w:val="clear" w:color="auto" w:fill="0094FF"/>
          </w:tcPr>
          <w:p>
            <w:pPr>
              <w:jc w:val="center"/>
              <w:ind w:right="50"/>
              <w:spacing w:after="0"/>
              <w:rPr>
                <w:sz w:val="20"/>
                <w:szCs w:val="20"/>
                <w:color w:val="auto"/>
              </w:rPr>
            </w:pPr>
            <w:r>
              <w:rPr>
                <w:rFonts w:ascii="Arial" w:cs="Arial" w:eastAsia="Arial" w:hAnsi="Arial"/>
                <w:sz w:val="18"/>
                <w:szCs w:val="18"/>
                <w:color w:val="FFFFFF"/>
              </w:rPr>
              <w:t>Three Months Ended June 30, 2019</w:t>
            </w:r>
          </w:p>
        </w:tc>
        <w:tc>
          <w:tcPr>
            <w:tcW w:w="1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80" w:type="dxa"/>
            <w:vAlign w:val="bottom"/>
            <w:gridSpan w:val="7"/>
            <w:shd w:val="clear" w:color="auto" w:fill="0094FF"/>
          </w:tcPr>
          <w:p>
            <w:pPr>
              <w:jc w:val="center"/>
              <w:ind w:right="50"/>
              <w:spacing w:after="0"/>
              <w:rPr>
                <w:sz w:val="20"/>
                <w:szCs w:val="20"/>
                <w:color w:val="auto"/>
              </w:rPr>
            </w:pPr>
            <w:r>
              <w:rPr>
                <w:rFonts w:ascii="Arial" w:cs="Arial" w:eastAsia="Arial" w:hAnsi="Arial"/>
                <w:sz w:val="18"/>
                <w:szCs w:val="18"/>
                <w:color w:val="FFFFFF"/>
              </w:rPr>
              <w:t>Three Months Ended June 30, 2018</w:t>
            </w:r>
          </w:p>
        </w:tc>
      </w:tr>
      <w:tr>
        <w:trPr>
          <w:trHeight w:val="242"/>
        </w:trPr>
        <w:tc>
          <w:tcPr>
            <w:tcW w:w="26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2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rPr>
              <w:t>U.S.</w:t>
            </w:r>
          </w:p>
        </w:tc>
        <w:tc>
          <w:tcPr>
            <w:tcW w:w="10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40" w:type="dxa"/>
            <w:vAlign w:val="bottom"/>
            <w:shd w:val="clear" w:color="auto" w:fill="0094FF"/>
          </w:tcPr>
          <w:p>
            <w:pPr>
              <w:spacing w:after="0"/>
              <w:rPr>
                <w:sz w:val="21"/>
                <w:szCs w:val="21"/>
                <w:color w:val="auto"/>
              </w:rPr>
            </w:pPr>
          </w:p>
        </w:tc>
        <w:tc>
          <w:tcPr>
            <w:tcW w:w="104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80"/>
              <w:spacing w:after="0"/>
              <w:rPr>
                <w:sz w:val="20"/>
                <w:szCs w:val="20"/>
                <w:color w:val="auto"/>
              </w:rPr>
            </w:pPr>
            <w:r>
              <w:rPr>
                <w:rFonts w:ascii="Arial" w:cs="Arial" w:eastAsia="Arial" w:hAnsi="Arial"/>
                <w:sz w:val="18"/>
                <w:szCs w:val="18"/>
                <w:color w:val="FFFFFF"/>
              </w:rPr>
              <w:t>U.S.</w:t>
            </w: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r>
      <w:tr>
        <w:trPr>
          <w:trHeight w:val="230"/>
        </w:trPr>
        <w:tc>
          <w:tcPr>
            <w:tcW w:w="26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2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rPr>
              <w:t>Government</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40" w:type="dxa"/>
            <w:vAlign w:val="bottom"/>
            <w:shd w:val="clear" w:color="auto" w:fill="0094FF"/>
          </w:tcPr>
          <w:p>
            <w:pPr>
              <w:spacing w:after="0"/>
              <w:rPr>
                <w:sz w:val="20"/>
                <w:szCs w:val="20"/>
                <w:color w:val="auto"/>
              </w:rPr>
            </w:pPr>
          </w:p>
        </w:tc>
        <w:tc>
          <w:tcPr>
            <w:tcW w:w="104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Total</w:t>
            </w:r>
          </w:p>
        </w:tc>
        <w:tc>
          <w:tcPr>
            <w:tcW w:w="1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80"/>
              <w:spacing w:after="0"/>
              <w:rPr>
                <w:sz w:val="20"/>
                <w:szCs w:val="20"/>
                <w:color w:val="auto"/>
              </w:rPr>
            </w:pPr>
            <w:r>
              <w:rPr>
                <w:rFonts w:ascii="Arial" w:cs="Arial" w:eastAsia="Arial" w:hAnsi="Arial"/>
                <w:sz w:val="18"/>
                <w:szCs w:val="18"/>
                <w:color w:val="FFFFFF"/>
              </w:rPr>
              <w:t>Government</w:t>
            </w: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Total</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94.6</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88.9</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183.5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Contract manufacturing</w:t>
            </w:r>
          </w:p>
        </w:tc>
        <w:tc>
          <w:tcPr>
            <w:tcW w:w="16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18.7</w:t>
            </w: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7"/>
        </w:trPr>
        <w:tc>
          <w:tcPr>
            <w:tcW w:w="262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6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38.3</w:t>
            </w:r>
          </w:p>
        </w:tc>
        <w:tc>
          <w:tcPr>
            <w:tcW w:w="100" w:type="dxa"/>
            <w:vAlign w:val="bottom"/>
            <w:tcBorders>
              <w:bottom w:val="single" w:sz="8" w:color="E5E5E5"/>
            </w:tcBorders>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2.7</w:t>
            </w:r>
          </w:p>
        </w:tc>
        <w:tc>
          <w:tcPr>
            <w:tcW w:w="100" w:type="dxa"/>
            <w:vAlign w:val="bottom"/>
            <w:tcBorders>
              <w:bottom w:val="single" w:sz="8" w:color="E5E5E5"/>
            </w:tcBorders>
            <w:shd w:val="clear" w:color="auto" w:fill="E5E5E5"/>
          </w:tcPr>
          <w:p>
            <w:pPr>
              <w:spacing w:after="0"/>
              <w:rPr>
                <w:sz w:val="24"/>
                <w:szCs w:val="24"/>
                <w:color w:val="auto"/>
              </w:rPr>
            </w:pPr>
          </w:p>
        </w:tc>
        <w:tc>
          <w:tcPr>
            <w:tcW w:w="340" w:type="dxa"/>
            <w:vAlign w:val="bottom"/>
            <w:tcBorders>
              <w:bottom w:val="single" w:sz="8" w:color="auto"/>
            </w:tcBorders>
            <w:shd w:val="clear" w:color="auto" w:fill="E5E5E5"/>
          </w:tcPr>
          <w:p>
            <w:pPr>
              <w:spacing w:after="0"/>
              <w:rPr>
                <w:sz w:val="24"/>
                <w:szCs w:val="24"/>
                <w:color w:val="auto"/>
              </w:rPr>
            </w:pPr>
          </w:p>
        </w:tc>
        <w:tc>
          <w:tcPr>
            <w:tcW w:w="10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41.0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132.9</w:t>
            </w:r>
          </w:p>
        </w:tc>
        <w:tc>
          <w:tcPr>
            <w:tcW w:w="10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110.3</w:t>
            </w:r>
          </w:p>
        </w:tc>
        <w:tc>
          <w:tcPr>
            <w:tcW w:w="100" w:type="dxa"/>
            <w:vAlign w:val="bottom"/>
            <w:tcBorders>
              <w:bottom w:val="single" w:sz="8" w:color="E5E5E5"/>
            </w:tcBorders>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0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243.2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220.2</w:t>
            </w: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278"/>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7"/>
          </w:tcPr>
          <w:p>
            <w:pPr>
              <w:spacing w:after="0"/>
              <w:rPr>
                <w:sz w:val="24"/>
                <w:szCs w:val="24"/>
                <w:color w:val="auto"/>
              </w:rPr>
            </w:pPr>
          </w:p>
        </w:tc>
      </w:tr>
      <w:tr>
        <w:trPr>
          <w:trHeight w:val="257"/>
        </w:trPr>
        <w:tc>
          <w:tcPr>
            <w:tcW w:w="26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80" w:type="dxa"/>
            <w:vAlign w:val="bottom"/>
            <w:gridSpan w:val="7"/>
            <w:shd w:val="clear" w:color="auto" w:fill="0094FF"/>
          </w:tcPr>
          <w:p>
            <w:pPr>
              <w:jc w:val="center"/>
              <w:ind w:right="50"/>
              <w:spacing w:after="0"/>
              <w:rPr>
                <w:sz w:val="20"/>
                <w:szCs w:val="20"/>
                <w:color w:val="auto"/>
              </w:rPr>
            </w:pPr>
            <w:r>
              <w:rPr>
                <w:rFonts w:ascii="Arial" w:cs="Arial" w:eastAsia="Arial" w:hAnsi="Arial"/>
                <w:sz w:val="18"/>
                <w:szCs w:val="18"/>
                <w:color w:val="FFFFFF"/>
              </w:rPr>
              <w:t>Six months ended June 30, 2019</w:t>
            </w:r>
          </w:p>
        </w:tc>
        <w:tc>
          <w:tcPr>
            <w:tcW w:w="1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80" w:type="dxa"/>
            <w:vAlign w:val="bottom"/>
            <w:gridSpan w:val="7"/>
            <w:shd w:val="clear" w:color="auto" w:fill="0094FF"/>
          </w:tcPr>
          <w:p>
            <w:pPr>
              <w:jc w:val="center"/>
              <w:ind w:right="50"/>
              <w:spacing w:after="0"/>
              <w:rPr>
                <w:sz w:val="20"/>
                <w:szCs w:val="20"/>
                <w:color w:val="auto"/>
              </w:rPr>
            </w:pPr>
            <w:r>
              <w:rPr>
                <w:rFonts w:ascii="Arial" w:cs="Arial" w:eastAsia="Arial" w:hAnsi="Arial"/>
                <w:sz w:val="18"/>
                <w:szCs w:val="18"/>
                <w:color w:val="FFFFFF"/>
                <w:w w:val="99"/>
              </w:rPr>
              <w:t>Six Months Ended June 30, 2018</w:t>
            </w:r>
          </w:p>
        </w:tc>
      </w:tr>
      <w:tr>
        <w:trPr>
          <w:trHeight w:val="242"/>
        </w:trPr>
        <w:tc>
          <w:tcPr>
            <w:tcW w:w="26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2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rPr>
              <w:t>U.S.</w:t>
            </w:r>
          </w:p>
        </w:tc>
        <w:tc>
          <w:tcPr>
            <w:tcW w:w="10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40" w:type="dxa"/>
            <w:vAlign w:val="bottom"/>
            <w:shd w:val="clear" w:color="auto" w:fill="0094FF"/>
          </w:tcPr>
          <w:p>
            <w:pPr>
              <w:spacing w:after="0"/>
              <w:rPr>
                <w:sz w:val="21"/>
                <w:szCs w:val="21"/>
                <w:color w:val="auto"/>
              </w:rPr>
            </w:pPr>
          </w:p>
        </w:tc>
        <w:tc>
          <w:tcPr>
            <w:tcW w:w="104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80"/>
              <w:spacing w:after="0"/>
              <w:rPr>
                <w:sz w:val="20"/>
                <w:szCs w:val="20"/>
                <w:color w:val="auto"/>
              </w:rPr>
            </w:pPr>
            <w:r>
              <w:rPr>
                <w:rFonts w:ascii="Arial" w:cs="Arial" w:eastAsia="Arial" w:hAnsi="Arial"/>
                <w:sz w:val="18"/>
                <w:szCs w:val="18"/>
                <w:color w:val="FFFFFF"/>
              </w:rPr>
              <w:t>U.S.</w:t>
            </w: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r>
      <w:tr>
        <w:trPr>
          <w:trHeight w:val="230"/>
        </w:trPr>
        <w:tc>
          <w:tcPr>
            <w:tcW w:w="26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2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rPr>
              <w:t>Government</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40" w:type="dxa"/>
            <w:vAlign w:val="bottom"/>
            <w:shd w:val="clear" w:color="auto" w:fill="0094FF"/>
          </w:tcPr>
          <w:p>
            <w:pPr>
              <w:spacing w:after="0"/>
              <w:rPr>
                <w:sz w:val="20"/>
                <w:szCs w:val="20"/>
                <w:color w:val="auto"/>
              </w:rPr>
            </w:pPr>
          </w:p>
        </w:tc>
        <w:tc>
          <w:tcPr>
            <w:tcW w:w="104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Total</w:t>
            </w:r>
          </w:p>
        </w:tc>
        <w:tc>
          <w:tcPr>
            <w:tcW w:w="1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80"/>
              <w:spacing w:after="0"/>
              <w:rPr>
                <w:sz w:val="20"/>
                <w:szCs w:val="20"/>
                <w:color w:val="auto"/>
              </w:rPr>
            </w:pPr>
            <w:r>
              <w:rPr>
                <w:rFonts w:ascii="Arial" w:cs="Arial" w:eastAsia="Arial" w:hAnsi="Arial"/>
                <w:sz w:val="18"/>
                <w:szCs w:val="18"/>
                <w:color w:val="FFFFFF"/>
              </w:rPr>
              <w:t>Government</w:t>
            </w: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Total</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167.9</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168.6</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336.5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Contract manufacturing</w:t>
            </w:r>
          </w:p>
        </w:tc>
        <w:tc>
          <w:tcPr>
            <w:tcW w:w="16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34.6</w:t>
            </w: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7"/>
        </w:trPr>
        <w:tc>
          <w:tcPr>
            <w:tcW w:w="262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6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58.7</w:t>
            </w:r>
          </w:p>
        </w:tc>
        <w:tc>
          <w:tcPr>
            <w:tcW w:w="100" w:type="dxa"/>
            <w:vAlign w:val="bottom"/>
            <w:tcBorders>
              <w:bottom w:val="single" w:sz="8" w:color="E5E5E5"/>
            </w:tcBorders>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4.1</w:t>
            </w:r>
          </w:p>
        </w:tc>
        <w:tc>
          <w:tcPr>
            <w:tcW w:w="100" w:type="dxa"/>
            <w:vAlign w:val="bottom"/>
            <w:tcBorders>
              <w:bottom w:val="single" w:sz="8" w:color="E5E5E5"/>
            </w:tcBorders>
            <w:shd w:val="clear" w:color="auto" w:fill="E5E5E5"/>
          </w:tcPr>
          <w:p>
            <w:pPr>
              <w:spacing w:after="0"/>
              <w:rPr>
                <w:sz w:val="24"/>
                <w:szCs w:val="24"/>
                <w:color w:val="auto"/>
              </w:rPr>
            </w:pPr>
          </w:p>
        </w:tc>
        <w:tc>
          <w:tcPr>
            <w:tcW w:w="340" w:type="dxa"/>
            <w:vAlign w:val="bottom"/>
            <w:tcBorders>
              <w:bottom w:val="single" w:sz="8" w:color="auto"/>
            </w:tcBorders>
            <w:shd w:val="clear" w:color="auto" w:fill="E5E5E5"/>
          </w:tcPr>
          <w:p>
            <w:pPr>
              <w:spacing w:after="0"/>
              <w:rPr>
                <w:sz w:val="24"/>
                <w:szCs w:val="24"/>
                <w:color w:val="auto"/>
              </w:rPr>
            </w:pPr>
          </w:p>
        </w:tc>
        <w:tc>
          <w:tcPr>
            <w:tcW w:w="10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62.8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226.6</w:t>
            </w:r>
          </w:p>
        </w:tc>
        <w:tc>
          <w:tcPr>
            <w:tcW w:w="100" w:type="dxa"/>
            <w:vAlign w:val="bottom"/>
            <w:shd w:val="clear" w:color="auto" w:fill="E5E5E5"/>
          </w:tcPr>
          <w:p>
            <w:pPr>
              <w:spacing w:after="0"/>
              <w:rPr>
                <w:sz w:val="22"/>
                <w:szCs w:val="22"/>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207.3</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0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433.9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338.0</w:t>
            </w:r>
          </w:p>
        </w:tc>
      </w:tr>
      <w:tr>
        <w:trPr>
          <w:trHeight w:val="20"/>
        </w:trPr>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liabilities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When performance obligations are not transferred to a customer at the end of a reporting period, the amount allocated to those performance obligations is reflected as deferred revenue on the consolidated balance sheets and is deferred until control of these performance obligations is transferred to the customer. The following table presents the rollforward of deferred revenue contract liability balances: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0040" w:type="dxa"/>
            <w:vAlign w:val="bottom"/>
            <w:shd w:val="clear" w:color="auto" w:fill="0094FF"/>
          </w:tcPr>
          <w:p>
            <w:pPr>
              <w:spacing w:after="0"/>
              <w:rPr>
                <w:sz w:val="24"/>
                <w:szCs w:val="24"/>
                <w:color w:val="auto"/>
              </w:rPr>
            </w:pPr>
          </w:p>
        </w:tc>
        <w:tc>
          <w:tcPr>
            <w:tcW w:w="520" w:type="dxa"/>
            <w:vAlign w:val="bottom"/>
            <w:shd w:val="clear" w:color="auto" w:fill="0094FF"/>
          </w:tcPr>
          <w:p>
            <w:pPr>
              <w:spacing w:after="0"/>
              <w:rPr>
                <w:sz w:val="24"/>
                <w:szCs w:val="24"/>
                <w:color w:val="auto"/>
              </w:rPr>
            </w:pPr>
          </w:p>
        </w:tc>
        <w:tc>
          <w:tcPr>
            <w:tcW w:w="860" w:type="dxa"/>
            <w:vAlign w:val="bottom"/>
            <w:shd w:val="clear" w:color="auto" w:fill="0094FF"/>
          </w:tcPr>
          <w:p>
            <w:pPr>
              <w:spacing w:after="0"/>
              <w:rPr>
                <w:sz w:val="24"/>
                <w:szCs w:val="24"/>
                <w:color w:val="auto"/>
              </w:rPr>
            </w:pPr>
          </w:p>
        </w:tc>
      </w:tr>
      <w:tr>
        <w:trPr>
          <w:trHeight w:val="270"/>
        </w:trPr>
        <w:tc>
          <w:tcPr>
            <w:tcW w:w="1004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1B51BF"/>
                <w:w w:val="99"/>
              </w:rPr>
              <w:t>$</w:t>
            </w:r>
          </w:p>
        </w:tc>
        <w:tc>
          <w:tcPr>
            <w:tcW w:w="86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1B51BF"/>
              </w:rPr>
              <w:t>73.1</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color w:val="auto"/>
              </w:rPr>
              <w:t>Deferral of revenue</w:t>
            </w:r>
          </w:p>
        </w:tc>
        <w:tc>
          <w:tcPr>
            <w:tcW w:w="5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1B51BF"/>
              </w:rPr>
              <w:t>23.8</w:t>
            </w:r>
          </w:p>
        </w:tc>
      </w:tr>
      <w:tr>
        <w:trPr>
          <w:trHeight w:val="277"/>
        </w:trPr>
        <w:tc>
          <w:tcPr>
            <w:tcW w:w="1004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(7.4)</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b w:val="1"/>
                <w:bCs w:val="1"/>
                <w:color w:val="auto"/>
              </w:rPr>
              <w:t>June 30, 2019</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1B51BF"/>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1B51BF"/>
              </w:rPr>
              <w:t>89.5</w:t>
            </w:r>
          </w:p>
        </w:tc>
      </w:tr>
      <w:tr>
        <w:trPr>
          <w:trHeight w:val="20"/>
        </w:trPr>
        <w:tc>
          <w:tcPr>
            <w:tcW w:w="10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-711200</wp:posOffset>
            </wp:positionV>
            <wp:extent cx="875030" cy="69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5030" cy="6946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Transaction price allocated to remaining performance obligations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As of June 30, 2019, the Company had expected future revenues associated with performance obligations that have not been satisfied of approximately $533.2 million. The Company expects to recognize a majority of these revenues within the next 24 months, with the remainder recognized thereafter. However, the amount and timing of revenue recognition for unsatisfied performance obligations can materially change due to timing of funding appropriations from the USG and the overall success of the Company's development activities associated with its PHT product candidates that are then receiving development funding support from the USG under development contracts. In addition, the amount of future revenues associated with unsatisfied performance obligations excludes the value associated with unexercised option periods in the Company's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assets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The Company considers unbilled accounts receivables and deferred costs associated with revenue generating contracts, which are not included in inventory or property, plant and equipment, as contract assets. As of June 30, 2019 and December 31, 2018, the Company had contract assets associated with deferred costs of $26.5 million and $1.2 million, respectively, which is reflected as a component of prepaid expenses and other current assets on the Company's consolidated balance sheets.</w:t>
      </w:r>
    </w:p>
    <w:p>
      <w:pPr>
        <w:sectPr>
          <w:pgSz w:w="11900" w:h="16838" w:orient="portrait"/>
          <w:cols w:equalWidth="0" w:num="1">
            <w:col w:w="11420"/>
          </w:cols>
          <w:pgMar w:left="240" w:top="118"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21</w:t>
      </w:r>
    </w:p>
    <w:p>
      <w:pPr>
        <w:sectPr>
          <w:pgSz w:w="11900" w:h="16838" w:orient="portrait"/>
          <w:cols w:equalWidth="0" w:num="1">
            <w:col w:w="11420"/>
          </w:cols>
          <w:pgMar w:left="240" w:top="118"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Accounts receivable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 including unbilled accounts receivable contract assets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0094FF"/>
          </w:tcPr>
          <w:p>
            <w:pPr>
              <w:spacing w:after="0"/>
              <w:rPr>
                <w:sz w:val="23"/>
                <w:szCs w:val="23"/>
                <w:color w:val="auto"/>
              </w:rPr>
            </w:pPr>
          </w:p>
        </w:tc>
        <w:tc>
          <w:tcPr>
            <w:tcW w:w="200" w:type="dxa"/>
            <w:vAlign w:val="bottom"/>
            <w:shd w:val="clear" w:color="auto" w:fill="0094FF"/>
          </w:tcPr>
          <w:p>
            <w:pPr>
              <w:spacing w:after="0"/>
              <w:rPr>
                <w:sz w:val="23"/>
                <w:szCs w:val="23"/>
                <w:color w:val="auto"/>
              </w:rPr>
            </w:pPr>
          </w:p>
        </w:tc>
        <w:tc>
          <w:tcPr>
            <w:tcW w:w="1520" w:type="dxa"/>
            <w:vAlign w:val="bottom"/>
            <w:shd w:val="clear" w:color="auto" w:fill="0094FF"/>
          </w:tcPr>
          <w:p>
            <w:pPr>
              <w:jc w:val="right"/>
              <w:ind w:right="210"/>
              <w:spacing w:after="0"/>
              <w:rPr>
                <w:sz w:val="20"/>
                <w:szCs w:val="20"/>
                <w:color w:val="auto"/>
              </w:rPr>
            </w:pPr>
            <w:r>
              <w:rPr>
                <w:rFonts w:ascii="Arial" w:cs="Arial" w:eastAsia="Arial" w:hAnsi="Arial"/>
                <w:sz w:val="18"/>
                <w:szCs w:val="18"/>
                <w:color w:val="FFFFFF"/>
              </w:rPr>
              <w:t>June 30, 2019</w:t>
            </w:r>
          </w:p>
        </w:tc>
        <w:tc>
          <w:tcPr>
            <w:tcW w:w="100" w:type="dxa"/>
            <w:vAlign w:val="bottom"/>
            <w:shd w:val="clear" w:color="auto" w:fill="0094FF"/>
          </w:tcPr>
          <w:p>
            <w:pPr>
              <w:spacing w:after="0"/>
              <w:rPr>
                <w:sz w:val="23"/>
                <w:szCs w:val="23"/>
                <w:color w:val="auto"/>
              </w:rPr>
            </w:pPr>
          </w:p>
        </w:tc>
        <w:tc>
          <w:tcPr>
            <w:tcW w:w="172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December 31, 2018</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Billed, net</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179.5</w:t>
            </w:r>
          </w:p>
        </w:tc>
        <w:tc>
          <w:tcPr>
            <w:tcW w:w="7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234.0</w:t>
            </w:r>
          </w:p>
        </w:tc>
      </w:tr>
      <w:tr>
        <w:trPr>
          <w:trHeight w:val="277"/>
        </w:trPr>
        <w:tc>
          <w:tcPr>
            <w:tcW w:w="7880" w:type="dxa"/>
            <w:vAlign w:val="bottom"/>
          </w:tcPr>
          <w:p>
            <w:pPr>
              <w:ind w:left="40"/>
              <w:spacing w:after="0"/>
              <w:rPr>
                <w:sz w:val="20"/>
                <w:szCs w:val="20"/>
                <w:color w:val="auto"/>
              </w:rPr>
            </w:pPr>
            <w:r>
              <w:rPr>
                <w:rFonts w:ascii="Arial" w:cs="Arial" w:eastAsia="Arial" w:hAnsi="Arial"/>
                <w:sz w:val="18"/>
                <w:szCs w:val="18"/>
                <w:color w:val="auto"/>
              </w:rPr>
              <w:t>Unbilled</w:t>
            </w:r>
          </w:p>
        </w:tc>
        <w:tc>
          <w:tcPr>
            <w:tcW w:w="200" w:type="dxa"/>
            <w:vAlign w:val="bottom"/>
            <w:tcBorders>
              <w:bottom w:val="single" w:sz="8" w:color="auto"/>
            </w:tcBorders>
            <w:shd w:val="clear" w:color="auto" w:fill="E5E5E5"/>
          </w:tcPr>
          <w:p>
            <w:pPr>
              <w:spacing w:after="0"/>
              <w:rPr>
                <w:sz w:val="24"/>
                <w:szCs w:val="24"/>
                <w:color w:val="auto"/>
              </w:rPr>
            </w:pPr>
          </w:p>
        </w:tc>
        <w:tc>
          <w:tcPr>
            <w:tcW w:w="15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38.6</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218.1</w:t>
            </w:r>
          </w:p>
        </w:tc>
        <w:tc>
          <w:tcPr>
            <w:tcW w:w="7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262.5</w:t>
            </w:r>
          </w:p>
        </w:tc>
      </w:tr>
      <w:tr>
        <w:trPr>
          <w:trHeight w:val="20"/>
        </w:trPr>
        <w:tc>
          <w:tcPr>
            <w:tcW w:w="7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 of June 30, 2019 and December 31, 2018, allowances for doubtful accounts were de minimis.</w:t>
      </w:r>
    </w:p>
    <w:p>
      <w:pPr>
        <w:spacing w:after="0" w:line="8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00497F"/>
        </w:rPr>
      </w:pPr>
      <w:r>
        <w:rPr>
          <w:rFonts w:ascii="Arial" w:cs="Arial" w:eastAsia="Arial" w:hAnsi="Arial"/>
          <w:sz w:val="20"/>
          <w:szCs w:val="20"/>
          <w:b w:val="1"/>
          <w:bCs w:val="1"/>
          <w:color w:val="00497F"/>
        </w:rPr>
        <w:t>Income taxes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The estimated effective annual tax rate for the Company, which excludes discrete adjustments, was 27% and 25% for the six months ended June 30, 2019 and 2018, respectively. The increase in the estimated effective annual tax rate is primarily due to the impact of foreign and state taxes. For each of the six month periods ended June 30, 2019 and 2018, the Company recorded a discrete tax benefit of $3.2 million, primarily due to activity associated with equity awards. For the three months ended June 30, 2019 and 2018, the Company recorded a discrete tax benefit of $1.4 million and $0.9 million, respectively, also primarily due to activity associated with equity awards.</w:t>
      </w:r>
    </w:p>
    <w:p>
      <w:pPr>
        <w:spacing w:after="0" w:line="12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00497F"/>
        </w:rPr>
      </w:pPr>
      <w:r>
        <w:rPr>
          <w:rFonts w:ascii="Arial" w:cs="Arial" w:eastAsia="Arial" w:hAnsi="Arial"/>
          <w:sz w:val="20"/>
          <w:szCs w:val="20"/>
          <w:b w:val="1"/>
          <w:bCs w:val="1"/>
          <w:color w:val="00497F"/>
        </w:rPr>
        <w:t>(Loss) earnings per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The following table presents the calculation of basic and diluted net (loss) income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4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2900" w:type="dxa"/>
            <w:vAlign w:val="bottom"/>
            <w:gridSpan w:val="4"/>
            <w:shd w:val="clear" w:color="auto" w:fill="0094FF"/>
          </w:tcPr>
          <w:p>
            <w:pPr>
              <w:jc w:val="right"/>
              <w:ind w:right="60"/>
              <w:spacing w:after="0"/>
              <w:rPr>
                <w:sz w:val="20"/>
                <w:szCs w:val="20"/>
                <w:color w:val="auto"/>
              </w:rPr>
            </w:pPr>
            <w:r>
              <w:rPr>
                <w:rFonts w:ascii="Arial" w:cs="Arial" w:eastAsia="Arial" w:hAnsi="Arial"/>
                <w:sz w:val="18"/>
                <w:szCs w:val="18"/>
                <w:color w:val="FFFFFF"/>
              </w:rPr>
              <w:t>Three Months Ended June 30,</w:t>
            </w:r>
          </w:p>
        </w:tc>
        <w:tc>
          <w:tcPr>
            <w:tcW w:w="50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3400" w:type="dxa"/>
            <w:vAlign w:val="bottom"/>
            <w:gridSpan w:val="4"/>
            <w:shd w:val="clear" w:color="auto" w:fill="0094FF"/>
          </w:tcPr>
          <w:p>
            <w:pPr>
              <w:jc w:val="right"/>
              <w:ind w:right="570"/>
              <w:spacing w:after="0"/>
              <w:rPr>
                <w:sz w:val="20"/>
                <w:szCs w:val="20"/>
                <w:color w:val="auto"/>
              </w:rPr>
            </w:pPr>
            <w:r>
              <w:rPr>
                <w:rFonts w:ascii="Arial" w:cs="Arial" w:eastAsia="Arial" w:hAnsi="Arial"/>
                <w:sz w:val="18"/>
                <w:szCs w:val="18"/>
                <w:color w:val="FFFFFF"/>
              </w:rPr>
              <w:t>Six Months Ended June 30,</w:t>
            </w:r>
          </w:p>
        </w:tc>
      </w:tr>
      <w:tr>
        <w:trPr>
          <w:trHeight w:val="284"/>
        </w:trPr>
        <w:tc>
          <w:tcPr>
            <w:tcW w:w="4240" w:type="dxa"/>
            <w:vAlign w:val="bottom"/>
            <w:shd w:val="clear" w:color="auto" w:fill="0094FF"/>
          </w:tcPr>
          <w:p>
            <w:pPr>
              <w:spacing w:after="0"/>
              <w:rPr>
                <w:sz w:val="24"/>
                <w:szCs w:val="24"/>
                <w:color w:val="auto"/>
              </w:rPr>
            </w:pPr>
          </w:p>
        </w:tc>
        <w:tc>
          <w:tcPr>
            <w:tcW w:w="112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2019</w:t>
            </w:r>
          </w:p>
        </w:tc>
        <w:tc>
          <w:tcPr>
            <w:tcW w:w="600" w:type="dxa"/>
            <w:vAlign w:val="bottom"/>
            <w:shd w:val="clear" w:color="auto" w:fill="0094FF"/>
          </w:tcPr>
          <w:p>
            <w:pPr>
              <w:spacing w:after="0"/>
              <w:rPr>
                <w:sz w:val="24"/>
                <w:szCs w:val="24"/>
                <w:color w:val="auto"/>
              </w:rPr>
            </w:pPr>
          </w:p>
        </w:tc>
        <w:tc>
          <w:tcPr>
            <w:tcW w:w="1320" w:type="dxa"/>
            <w:vAlign w:val="bottom"/>
            <w:gridSpan w:val="2"/>
            <w:shd w:val="clear" w:color="auto" w:fill="0094FF"/>
          </w:tcPr>
          <w:p>
            <w:pPr>
              <w:jc w:val="right"/>
              <w:ind w:right="160"/>
              <w:spacing w:after="0"/>
              <w:rPr>
                <w:sz w:val="20"/>
                <w:szCs w:val="20"/>
                <w:color w:val="auto"/>
              </w:rPr>
            </w:pPr>
            <w:r>
              <w:rPr>
                <w:rFonts w:ascii="Arial" w:cs="Arial" w:eastAsia="Arial" w:hAnsi="Arial"/>
                <w:sz w:val="18"/>
                <w:szCs w:val="18"/>
                <w:color w:val="FFFFFF"/>
              </w:rPr>
              <w:t>2018</w:t>
            </w:r>
          </w:p>
        </w:tc>
        <w:tc>
          <w:tcPr>
            <w:tcW w:w="50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1580" w:type="dxa"/>
            <w:vAlign w:val="bottom"/>
            <w:shd w:val="clear" w:color="auto" w:fill="0094FF"/>
          </w:tcPr>
          <w:p>
            <w:pPr>
              <w:jc w:val="right"/>
              <w:ind w:right="57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4"/>
                <w:szCs w:val="24"/>
                <w:color w:val="auto"/>
              </w:rPr>
            </w:pPr>
          </w:p>
        </w:tc>
        <w:tc>
          <w:tcPr>
            <w:tcW w:w="400" w:type="dxa"/>
            <w:vAlign w:val="bottom"/>
            <w:shd w:val="clear" w:color="auto" w:fill="0094FF"/>
          </w:tcPr>
          <w:p>
            <w:pPr>
              <w:spacing w:after="0"/>
              <w:rPr>
                <w:sz w:val="24"/>
                <w:szCs w:val="24"/>
                <w:color w:val="auto"/>
              </w:rPr>
            </w:pPr>
          </w:p>
        </w:tc>
        <w:tc>
          <w:tcPr>
            <w:tcW w:w="1320" w:type="dxa"/>
            <w:vAlign w:val="bottom"/>
            <w:shd w:val="clear" w:color="auto" w:fill="0094FF"/>
          </w:tcPr>
          <w:p>
            <w:pPr>
              <w:jc w:val="right"/>
              <w:ind w:right="570"/>
              <w:spacing w:after="0"/>
              <w:rPr>
                <w:sz w:val="20"/>
                <w:szCs w:val="20"/>
                <w:color w:val="auto"/>
              </w:rPr>
            </w:pPr>
            <w:r>
              <w:rPr>
                <w:rFonts w:ascii="Arial" w:cs="Arial" w:eastAsia="Arial" w:hAnsi="Arial"/>
                <w:sz w:val="18"/>
                <w:szCs w:val="18"/>
                <w:color w:val="FFFFFF"/>
              </w:rPr>
              <w:t>2018</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60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158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Net (loss) earnings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980" w:type="dxa"/>
            <w:vAlign w:val="bottom"/>
            <w:shd w:val="clear" w:color="auto" w:fill="E5E5E5"/>
          </w:tcPr>
          <w:p>
            <w:pPr>
              <w:spacing w:after="0"/>
              <w:rPr>
                <w:sz w:val="23"/>
                <w:szCs w:val="23"/>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(9.5)</w:t>
            </w:r>
          </w:p>
        </w:tc>
        <w:tc>
          <w:tcPr>
            <w:tcW w:w="1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3"/>
                <w:szCs w:val="2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(35.6)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5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Weighted-average number of shares—basic</w:t>
            </w:r>
          </w:p>
        </w:tc>
        <w:tc>
          <w:tcPr>
            <w:tcW w:w="14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6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51.5</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7"/>
        </w:trPr>
        <w:tc>
          <w:tcPr>
            <w:tcW w:w="4240" w:type="dxa"/>
            <w:vAlign w:val="bottom"/>
          </w:tcPr>
          <w:p>
            <w:pPr>
              <w:ind w:left="40"/>
              <w:spacing w:after="0"/>
              <w:rPr>
                <w:sz w:val="20"/>
                <w:szCs w:val="20"/>
                <w:color w:val="auto"/>
              </w:rPr>
            </w:pPr>
            <w:r>
              <w:rPr>
                <w:rFonts w:ascii="Arial" w:cs="Arial" w:eastAsia="Arial" w:hAnsi="Arial"/>
                <w:sz w:val="18"/>
                <w:szCs w:val="18"/>
                <w:color w:val="auto"/>
              </w:rPr>
              <w:t>Dilutive securities—equity awards</w:t>
            </w:r>
          </w:p>
        </w:tc>
        <w:tc>
          <w:tcPr>
            <w:tcW w:w="140" w:type="dxa"/>
            <w:vAlign w:val="bottom"/>
            <w:tcBorders>
              <w:bottom w:val="single" w:sz="8" w:color="auto"/>
            </w:tcBorders>
            <w:shd w:val="clear" w:color="auto" w:fill="E5E5E5"/>
          </w:tcPr>
          <w:p>
            <w:pPr>
              <w:spacing w:after="0"/>
              <w:rPr>
                <w:sz w:val="24"/>
                <w:szCs w:val="24"/>
                <w:color w:val="auto"/>
              </w:rPr>
            </w:pPr>
          </w:p>
        </w:tc>
        <w:tc>
          <w:tcPr>
            <w:tcW w:w="980" w:type="dxa"/>
            <w:vAlign w:val="bottom"/>
            <w:tcBorders>
              <w:bottom w:val="single" w:sz="8" w:color="auto"/>
            </w:tcBorders>
            <w:shd w:val="clear" w:color="auto" w:fill="E5E5E5"/>
          </w:tcPr>
          <w:p>
            <w:pPr>
              <w:spacing w:after="0"/>
              <w:rPr>
                <w:sz w:val="24"/>
                <w:szCs w:val="24"/>
                <w:color w:val="auto"/>
              </w:rPr>
            </w:pPr>
          </w:p>
        </w:tc>
        <w:tc>
          <w:tcPr>
            <w:tcW w:w="6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0" w:type="dxa"/>
            <w:vAlign w:val="bottom"/>
            <w:tcBorders>
              <w:bottom w:val="single" w:sz="8" w:color="auto"/>
            </w:tcBorders>
            <w:shd w:val="clear" w:color="auto" w:fill="E5E5E5"/>
          </w:tcPr>
          <w:p>
            <w:pPr>
              <w:spacing w:after="0"/>
              <w:rPr>
                <w:sz w:val="24"/>
                <w:szCs w:val="24"/>
                <w:color w:val="auto"/>
              </w:rPr>
            </w:pPr>
          </w:p>
        </w:tc>
        <w:tc>
          <w:tcPr>
            <w:tcW w:w="158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Weighted-average number of shares—diluted</w:t>
            </w:r>
          </w:p>
        </w:tc>
        <w:tc>
          <w:tcPr>
            <w:tcW w:w="140" w:type="dxa"/>
            <w:vAlign w:val="bottom"/>
            <w:shd w:val="clear" w:color="auto" w:fill="E5E5E5"/>
          </w:tcPr>
          <w:p>
            <w:pPr>
              <w:spacing w:after="0"/>
              <w:rPr>
                <w:sz w:val="21"/>
                <w:szCs w:val="21"/>
                <w:color w:val="auto"/>
              </w:rPr>
            </w:pPr>
          </w:p>
        </w:tc>
        <w:tc>
          <w:tcPr>
            <w:tcW w:w="980" w:type="dxa"/>
            <w:vAlign w:val="bottom"/>
            <w:shd w:val="clear" w:color="auto" w:fill="E5E5E5"/>
          </w:tcPr>
          <w:p>
            <w:pPr>
              <w:spacing w:after="0"/>
              <w:rPr>
                <w:sz w:val="21"/>
                <w:szCs w:val="21"/>
                <w:color w:val="auto"/>
              </w:rPr>
            </w:pPr>
          </w:p>
        </w:tc>
        <w:tc>
          <w:tcPr>
            <w:tcW w:w="6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51.5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Net (loss) earnings per share - basic</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980" w:type="dxa"/>
            <w:vAlign w:val="bottom"/>
            <w:shd w:val="clear" w:color="auto" w:fill="E5E5E5"/>
          </w:tcPr>
          <w:p>
            <w:pPr>
              <w:spacing w:after="0"/>
              <w:rPr>
                <w:sz w:val="24"/>
                <w:szCs w:val="24"/>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(0.18)</w:t>
            </w:r>
          </w:p>
        </w:tc>
        <w:tc>
          <w:tcPr>
            <w:tcW w:w="1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0.91</w:t>
            </w:r>
          </w:p>
        </w:tc>
      </w:tr>
      <w:tr>
        <w:trPr>
          <w:trHeight w:val="284"/>
        </w:trPr>
        <w:tc>
          <w:tcPr>
            <w:tcW w:w="4240" w:type="dxa"/>
            <w:vAlign w:val="bottom"/>
          </w:tcPr>
          <w:p>
            <w:pPr>
              <w:ind w:left="40"/>
              <w:spacing w:after="0"/>
              <w:rPr>
                <w:sz w:val="20"/>
                <w:szCs w:val="20"/>
                <w:color w:val="auto"/>
              </w:rPr>
            </w:pPr>
            <w:r>
              <w:rPr>
                <w:rFonts w:ascii="Arial" w:cs="Arial" w:eastAsia="Arial" w:hAnsi="Arial"/>
                <w:sz w:val="18"/>
                <w:szCs w:val="18"/>
                <w:color w:val="auto"/>
              </w:rPr>
              <w:t>Net (loss) earnings per share - diluted</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980" w:type="dxa"/>
            <w:vAlign w:val="bottom"/>
            <w:shd w:val="clear" w:color="auto" w:fill="E5E5E5"/>
          </w:tcPr>
          <w:p>
            <w:pPr>
              <w:spacing w:after="0"/>
              <w:rPr>
                <w:sz w:val="24"/>
                <w:szCs w:val="24"/>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(0.18)</w:t>
            </w:r>
          </w:p>
        </w:tc>
        <w:tc>
          <w:tcPr>
            <w:tcW w:w="1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4"/>
                <w:szCs w:val="24"/>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0.89</w:t>
            </w:r>
          </w:p>
        </w:tc>
      </w:tr>
    </w:tbl>
    <w:p>
      <w:pPr>
        <w:spacing w:after="0" w:line="3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2C2C2C"/>
        </w:rPr>
        <w:t>For the three and six months ended June 30, 2019 and 2018, basic earnings per share is computed by dividing net gain/(loss) by the weighted average number of shares of common stock outstanding during the period.</w:t>
      </w:r>
    </w:p>
    <w:p>
      <w:pPr>
        <w:spacing w:after="0" w:line="9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b w:val="1"/>
          <w:bCs w:val="1"/>
          <w:color w:val="2C2C2C"/>
        </w:rPr>
        <w:t>For the three and six months ended June 30, 2019 and 2018, diluted earnings per share is computed using the treasury method by dividing net loss by the weighted average number of shares of common stock outstanding during the period, adjusted for the potential dilutive effect of other securities if such securities were converted or exercised and are not anti-dilutive. No adjustment for the potential dilutive effect of dilutive securities is reported as the effect would have been anti-dilutive for the three and six months ended June 30, 2019 due to the Company's net loss. The s</w:t>
      </w:r>
      <w:r>
        <w:rPr>
          <w:rFonts w:ascii="Arial" w:cs="Arial" w:eastAsia="Arial" w:hAnsi="Arial"/>
          <w:sz w:val="18"/>
          <w:szCs w:val="18"/>
          <w:b w:val="1"/>
          <w:bCs w:val="1"/>
          <w:color w:val="000000"/>
        </w:rPr>
        <w:t>hare-based awards that were excluded from the calculation of diluted loss</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per share, because they were anti-dilutive, were 3.0 million for the three and six months ended June 30, 2019.</w:t>
      </w:r>
    </w:p>
    <w:p>
      <w:pPr>
        <w:spacing w:after="0" w:line="12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00497F"/>
        </w:rPr>
      </w:pPr>
      <w:r>
        <w:rPr>
          <w:rFonts w:ascii="Arial" w:cs="Arial" w:eastAsia="Arial" w:hAnsi="Arial"/>
          <w:sz w:val="20"/>
          <w:szCs w:val="20"/>
          <w:b w:val="1"/>
          <w:bCs w:val="1"/>
          <w:color w:val="00497F"/>
        </w:rPr>
        <w:t>Share-based compensation</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2C2C2C"/>
        </w:rPr>
        <w:t>During the six months ended June 30, 2019, the Company granted stock options to purchase 0.3 million shares of common stock and 0.5 million restricted stock units under the Emergent BioSolutions Inc. Stock Incentive Plan. The grants vest over three equal annual installments beginning on the day prior to the anniversary of the grant date.</w:t>
      </w:r>
    </w:p>
    <w:p>
      <w:pPr>
        <w:sectPr>
          <w:pgSz w:w="11900" w:h="16838" w:orient="portrait"/>
          <w:cols w:equalWidth="0" w:num="1">
            <w:col w:w="11420"/>
          </w:cols>
          <w:pgMar w:left="240" w:top="118"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22</w:t>
      </w:r>
    </w:p>
    <w:p>
      <w:pPr>
        <w:sectPr>
          <w:pgSz w:w="11900" w:h="16838" w:orient="portrait"/>
          <w:cols w:equalWidth="0" w:num="1">
            <w:col w:w="11420"/>
          </w:cols>
          <w:pgMar w:left="240" w:top="118"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00497F"/>
        </w:rPr>
      </w:pPr>
      <w:r>
        <w:rPr>
          <w:rFonts w:ascii="Arial" w:cs="Arial" w:eastAsia="Arial" w:hAnsi="Arial"/>
          <w:sz w:val="20"/>
          <w:szCs w:val="20"/>
          <w:b w:val="1"/>
          <w:bCs w:val="1"/>
          <w:color w:val="00497F"/>
        </w:rPr>
        <w:t>Defined benefit plan</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 Company sponsors a defined benefit pension plan covering eligible employees in Switzerland (the Swiss Plan). Under the Swiss Plan, the Company and certain of its employees with annual earnings in excess of government determined amounts are required to make contributions into a fund managed by an independent investment fiduciary. Employer contributions must be in an amount at least equal to the employee’s contribution. The Swiss Plan assets are comprised of an insurance contract that has a fair value consistent with its contract value based on the practicability exception using level 3 inputs. The entire liability is listed as non-current, because plan assets are greater than the expected benefit payments over the next year. The Company recognizes pension expense as a component of selling, general and administrative expense.</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measurement date used for the Swiss Plan is December 31, annually. The expense components of the Swiss Plan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shd w:val="clear" w:color="auto" w:fill="0094FF"/>
          </w:tcPr>
          <w:p>
            <w:pPr>
              <w:spacing w:after="0"/>
              <w:rPr>
                <w:sz w:val="19"/>
                <w:szCs w:val="19"/>
                <w:color w:val="auto"/>
              </w:rPr>
            </w:pPr>
          </w:p>
        </w:tc>
        <w:tc>
          <w:tcPr>
            <w:tcW w:w="180" w:type="dxa"/>
            <w:vAlign w:val="bottom"/>
            <w:shd w:val="clear" w:color="auto" w:fill="0094FF"/>
          </w:tcPr>
          <w:p>
            <w:pPr>
              <w:spacing w:after="0"/>
              <w:rPr>
                <w:sz w:val="19"/>
                <w:szCs w:val="19"/>
                <w:color w:val="auto"/>
              </w:rPr>
            </w:pPr>
          </w:p>
        </w:tc>
        <w:tc>
          <w:tcPr>
            <w:tcW w:w="154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rPr>
              <w:t>Three Months</w:t>
            </w:r>
          </w:p>
        </w:tc>
        <w:tc>
          <w:tcPr>
            <w:tcW w:w="100" w:type="dxa"/>
            <w:vAlign w:val="bottom"/>
            <w:shd w:val="clear" w:color="auto" w:fill="0094FF"/>
          </w:tcPr>
          <w:p>
            <w:pPr>
              <w:spacing w:after="0"/>
              <w:rPr>
                <w:sz w:val="19"/>
                <w:szCs w:val="19"/>
                <w:color w:val="auto"/>
              </w:rPr>
            </w:pPr>
          </w:p>
        </w:tc>
        <w:tc>
          <w:tcPr>
            <w:tcW w:w="140" w:type="dxa"/>
            <w:vAlign w:val="bottom"/>
            <w:shd w:val="clear" w:color="auto" w:fill="0094FF"/>
          </w:tcPr>
          <w:p>
            <w:pPr>
              <w:spacing w:after="0"/>
              <w:rPr>
                <w:sz w:val="19"/>
                <w:szCs w:val="19"/>
                <w:color w:val="auto"/>
              </w:rPr>
            </w:pPr>
          </w:p>
        </w:tc>
        <w:tc>
          <w:tcPr>
            <w:tcW w:w="1580" w:type="dxa"/>
            <w:vAlign w:val="bottom"/>
            <w:shd w:val="clear" w:color="auto" w:fill="0094FF"/>
          </w:tcPr>
          <w:p>
            <w:pPr>
              <w:spacing w:after="0"/>
              <w:rPr>
                <w:sz w:val="19"/>
                <w:szCs w:val="19"/>
                <w:color w:val="auto"/>
              </w:rPr>
            </w:pPr>
          </w:p>
        </w:tc>
      </w:tr>
      <w:tr>
        <w:trPr>
          <w:trHeight w:val="203"/>
        </w:trPr>
        <w:tc>
          <w:tcPr>
            <w:tcW w:w="7880" w:type="dxa"/>
            <w:vAlign w:val="bottom"/>
            <w:shd w:val="clear" w:color="auto" w:fill="0094FF"/>
          </w:tcPr>
          <w:p>
            <w:pPr>
              <w:spacing w:after="0"/>
              <w:rPr>
                <w:sz w:val="17"/>
                <w:szCs w:val="17"/>
                <w:color w:val="auto"/>
              </w:rPr>
            </w:pPr>
          </w:p>
        </w:tc>
        <w:tc>
          <w:tcPr>
            <w:tcW w:w="180" w:type="dxa"/>
            <w:vAlign w:val="bottom"/>
            <w:shd w:val="clear" w:color="auto" w:fill="0094FF"/>
          </w:tcPr>
          <w:p>
            <w:pPr>
              <w:spacing w:after="0"/>
              <w:rPr>
                <w:sz w:val="17"/>
                <w:szCs w:val="17"/>
                <w:color w:val="auto"/>
              </w:rPr>
            </w:pPr>
          </w:p>
        </w:tc>
        <w:tc>
          <w:tcPr>
            <w:tcW w:w="1540" w:type="dxa"/>
            <w:vAlign w:val="bottom"/>
            <w:shd w:val="clear" w:color="auto" w:fill="0094FF"/>
          </w:tcPr>
          <w:p>
            <w:pPr>
              <w:jc w:val="center"/>
              <w:ind w:right="110"/>
              <w:spacing w:after="0" w:line="202" w:lineRule="exact"/>
              <w:rPr>
                <w:sz w:val="20"/>
                <w:szCs w:val="20"/>
                <w:color w:val="auto"/>
              </w:rPr>
            </w:pPr>
            <w:r>
              <w:rPr>
                <w:rFonts w:ascii="Arial" w:cs="Arial" w:eastAsia="Arial" w:hAnsi="Arial"/>
                <w:sz w:val="18"/>
                <w:szCs w:val="18"/>
                <w:color w:val="FFFFFF"/>
                <w:w w:val="99"/>
              </w:rPr>
              <w:t>Ended June 30,</w:t>
            </w:r>
          </w:p>
        </w:tc>
        <w:tc>
          <w:tcPr>
            <w:tcW w:w="100" w:type="dxa"/>
            <w:vAlign w:val="bottom"/>
            <w:shd w:val="clear" w:color="auto" w:fill="0094FF"/>
          </w:tcPr>
          <w:p>
            <w:pPr>
              <w:spacing w:after="0"/>
              <w:rPr>
                <w:sz w:val="17"/>
                <w:szCs w:val="17"/>
                <w:color w:val="auto"/>
              </w:rPr>
            </w:pPr>
          </w:p>
        </w:tc>
        <w:tc>
          <w:tcPr>
            <w:tcW w:w="140" w:type="dxa"/>
            <w:vAlign w:val="bottom"/>
            <w:shd w:val="clear" w:color="auto" w:fill="0094FF"/>
          </w:tcPr>
          <w:p>
            <w:pPr>
              <w:spacing w:after="0"/>
              <w:rPr>
                <w:sz w:val="17"/>
                <w:szCs w:val="17"/>
                <w:color w:val="auto"/>
              </w:rPr>
            </w:pPr>
          </w:p>
        </w:tc>
        <w:tc>
          <w:tcPr>
            <w:tcW w:w="1580" w:type="dxa"/>
            <w:vAlign w:val="bottom"/>
            <w:shd w:val="clear" w:color="auto" w:fill="0094FF"/>
          </w:tcPr>
          <w:p>
            <w:pPr>
              <w:jc w:val="right"/>
              <w:ind w:right="50"/>
              <w:spacing w:after="0" w:line="202" w:lineRule="exact"/>
              <w:rPr>
                <w:sz w:val="20"/>
                <w:szCs w:val="20"/>
                <w:color w:val="auto"/>
              </w:rPr>
            </w:pPr>
            <w:r>
              <w:rPr>
                <w:rFonts w:ascii="Arial" w:cs="Arial" w:eastAsia="Arial" w:hAnsi="Arial"/>
                <w:sz w:val="18"/>
                <w:szCs w:val="18"/>
                <w:color w:val="FFFFFF"/>
                <w:w w:val="98"/>
              </w:rPr>
              <w:t>Six months ended</w:t>
            </w:r>
          </w:p>
        </w:tc>
      </w:tr>
      <w:tr>
        <w:trPr>
          <w:trHeight w:val="230"/>
        </w:trPr>
        <w:tc>
          <w:tcPr>
            <w:tcW w:w="7880" w:type="dxa"/>
            <w:vAlign w:val="bottom"/>
            <w:shd w:val="clear" w:color="auto" w:fill="0094FF"/>
          </w:tcPr>
          <w:p>
            <w:pPr>
              <w:spacing w:after="0"/>
              <w:rPr>
                <w:sz w:val="20"/>
                <w:szCs w:val="20"/>
                <w:color w:val="auto"/>
              </w:rPr>
            </w:pPr>
          </w:p>
        </w:tc>
        <w:tc>
          <w:tcPr>
            <w:tcW w:w="180" w:type="dxa"/>
            <w:vAlign w:val="bottom"/>
            <w:shd w:val="clear" w:color="auto" w:fill="0094FF"/>
          </w:tcPr>
          <w:p>
            <w:pPr>
              <w:spacing w:after="0"/>
              <w:rPr>
                <w:sz w:val="20"/>
                <w:szCs w:val="20"/>
                <w:color w:val="auto"/>
              </w:rPr>
            </w:pPr>
          </w:p>
        </w:tc>
        <w:tc>
          <w:tcPr>
            <w:tcW w:w="154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2019</w:t>
            </w:r>
          </w:p>
        </w:tc>
        <w:tc>
          <w:tcPr>
            <w:tcW w:w="100" w:type="dxa"/>
            <w:vAlign w:val="bottom"/>
            <w:shd w:val="clear" w:color="auto" w:fill="0094FF"/>
          </w:tcPr>
          <w:p>
            <w:pPr>
              <w:spacing w:after="0"/>
              <w:rPr>
                <w:sz w:val="20"/>
                <w:szCs w:val="20"/>
                <w:color w:val="auto"/>
              </w:rPr>
            </w:pPr>
          </w:p>
        </w:tc>
        <w:tc>
          <w:tcPr>
            <w:tcW w:w="140" w:type="dxa"/>
            <w:vAlign w:val="bottom"/>
            <w:shd w:val="clear" w:color="auto" w:fill="0094FF"/>
          </w:tcPr>
          <w:p>
            <w:pPr>
              <w:spacing w:after="0"/>
              <w:rPr>
                <w:sz w:val="20"/>
                <w:szCs w:val="20"/>
                <w:color w:val="auto"/>
              </w:rPr>
            </w:pPr>
          </w:p>
        </w:tc>
        <w:tc>
          <w:tcPr>
            <w:tcW w:w="1580" w:type="dxa"/>
            <w:vAlign w:val="bottom"/>
            <w:shd w:val="clear" w:color="auto" w:fill="0094FF"/>
          </w:tcPr>
          <w:p>
            <w:pPr>
              <w:jc w:val="right"/>
              <w:ind w:right="190"/>
              <w:spacing w:after="0"/>
              <w:rPr>
                <w:sz w:val="20"/>
                <w:szCs w:val="20"/>
                <w:color w:val="auto"/>
              </w:rPr>
            </w:pPr>
            <w:r>
              <w:rPr>
                <w:rFonts w:ascii="Arial" w:cs="Arial" w:eastAsia="Arial" w:hAnsi="Arial"/>
                <w:sz w:val="18"/>
                <w:szCs w:val="18"/>
                <w:color w:val="FFFFFF"/>
              </w:rPr>
              <w:t>June 30, 2019</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Net service cost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0.3</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5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0.6</w:t>
            </w:r>
          </w:p>
        </w:tc>
      </w:tr>
      <w:tr>
        <w:trPr>
          <w:trHeight w:val="277"/>
        </w:trPr>
        <w:tc>
          <w:tcPr>
            <w:tcW w:w="7880" w:type="dxa"/>
            <w:vAlign w:val="bottom"/>
          </w:tcPr>
          <w:p>
            <w:pPr>
              <w:ind w:left="40"/>
              <w:spacing w:after="0"/>
              <w:rPr>
                <w:sz w:val="20"/>
                <w:szCs w:val="20"/>
                <w:color w:val="auto"/>
              </w:rPr>
            </w:pPr>
            <w:r>
              <w:rPr>
                <w:rFonts w:ascii="Arial" w:cs="Arial" w:eastAsia="Arial" w:hAnsi="Arial"/>
                <w:sz w:val="18"/>
                <w:szCs w:val="18"/>
                <w:color w:val="auto"/>
              </w:rPr>
              <w:t>Expected return on plan assets, net of expenses</w:t>
            </w:r>
          </w:p>
        </w:tc>
        <w:tc>
          <w:tcPr>
            <w:tcW w:w="180" w:type="dxa"/>
            <w:vAlign w:val="bottom"/>
            <w:tcBorders>
              <w:bottom w:val="single" w:sz="8" w:color="auto"/>
            </w:tcBorders>
            <w:shd w:val="clear" w:color="auto" w:fill="E5E5E5"/>
          </w:tcPr>
          <w:p>
            <w:pPr>
              <w:spacing w:after="0"/>
              <w:rPr>
                <w:sz w:val="24"/>
                <w:szCs w:val="24"/>
                <w:color w:val="auto"/>
              </w:rPr>
            </w:pPr>
          </w:p>
        </w:tc>
        <w:tc>
          <w:tcPr>
            <w:tcW w:w="154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(0.1)</w:t>
            </w:r>
          </w:p>
        </w:tc>
        <w:tc>
          <w:tcPr>
            <w:tcW w:w="100" w:type="dxa"/>
            <w:vAlign w:val="bottom"/>
            <w:tcBorders>
              <w:bottom w:val="single" w:sz="8" w:color="E5E5E5"/>
            </w:tcBorders>
            <w:shd w:val="clear" w:color="auto" w:fill="E5E5E5"/>
          </w:tcPr>
          <w:p>
            <w:pPr>
              <w:spacing w:after="0"/>
              <w:rPr>
                <w:sz w:val="24"/>
                <w:szCs w:val="24"/>
                <w:color w:val="auto"/>
              </w:rPr>
            </w:pPr>
          </w:p>
        </w:tc>
        <w:tc>
          <w:tcPr>
            <w:tcW w:w="140" w:type="dxa"/>
            <w:vAlign w:val="bottom"/>
            <w:tcBorders>
              <w:bottom w:val="single" w:sz="8" w:color="auto"/>
            </w:tcBorders>
            <w:shd w:val="clear" w:color="auto" w:fill="E5E5E5"/>
          </w:tcPr>
          <w:p>
            <w:pPr>
              <w:spacing w:after="0"/>
              <w:rPr>
                <w:sz w:val="24"/>
                <w:szCs w:val="24"/>
                <w:color w:val="auto"/>
              </w:rPr>
            </w:pP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(0.1)</w:t>
            </w:r>
          </w:p>
        </w:tc>
      </w:tr>
      <w:tr>
        <w:trPr>
          <w:trHeight w:val="257"/>
        </w:trPr>
        <w:tc>
          <w:tcPr>
            <w:tcW w:w="7880" w:type="dxa"/>
            <w:vAlign w:val="bottom"/>
          </w:tcPr>
          <w:p>
            <w:pPr>
              <w:ind w:left="180"/>
              <w:spacing w:after="0"/>
              <w:rPr>
                <w:sz w:val="20"/>
                <w:szCs w:val="20"/>
                <w:color w:val="auto"/>
              </w:rPr>
            </w:pPr>
            <w:r>
              <w:rPr>
                <w:rFonts w:ascii="Arial" w:cs="Arial" w:eastAsia="Arial" w:hAnsi="Arial"/>
                <w:sz w:val="18"/>
                <w:szCs w:val="18"/>
                <w:color w:val="auto"/>
              </w:rPr>
              <w:t>Total pension expense</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5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0.2</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5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0.5</w:t>
            </w:r>
          </w:p>
        </w:tc>
      </w:tr>
      <w:tr>
        <w:trPr>
          <w:trHeight w:val="20"/>
        </w:trPr>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0"/>
          <w:szCs w:val="20"/>
          <w:b w:val="1"/>
          <w:bCs w:val="1"/>
          <w:color w:val="00497F"/>
        </w:rPr>
      </w:pPr>
      <w:r>
        <w:rPr>
          <w:rFonts w:ascii="Arial" w:cs="Arial" w:eastAsia="Arial" w:hAnsi="Arial"/>
          <w:sz w:val="20"/>
          <w:szCs w:val="20"/>
          <w:b w:val="1"/>
          <w:bCs w:val="1"/>
          <w:color w:val="00497F"/>
        </w:rPr>
        <w:t>Commitments and Contingencies</w:t>
      </w:r>
    </w:p>
    <w:p>
      <w:pPr>
        <w:spacing w:after="0" w:line="166" w:lineRule="exact"/>
        <w:rPr>
          <w:rFonts w:ascii="Arial" w:cs="Arial" w:eastAsia="Arial" w:hAnsi="Arial"/>
          <w:sz w:val="20"/>
          <w:szCs w:val="20"/>
          <w:b w:val="1"/>
          <w:bCs w:val="1"/>
          <w:color w:val="00497F"/>
        </w:rPr>
      </w:pPr>
    </w:p>
    <w:p>
      <w:pPr>
        <w:ind w:left="340"/>
        <w:spacing w:after="0"/>
        <w:rPr>
          <w:rFonts w:ascii="Arial" w:cs="Arial" w:eastAsia="Arial" w:hAnsi="Arial"/>
          <w:sz w:val="20"/>
          <w:szCs w:val="20"/>
          <w:b w:val="1"/>
          <w:bCs w:val="1"/>
          <w:color w:val="00497F"/>
        </w:rPr>
      </w:pPr>
      <w:r>
        <w:rPr>
          <w:rFonts w:ascii="Arial" w:cs="Arial" w:eastAsia="Arial" w:hAnsi="Arial"/>
          <w:sz w:val="18"/>
          <w:szCs w:val="18"/>
          <w:b w:val="1"/>
          <w:bCs w:val="1"/>
          <w:color w:val="0094FF"/>
        </w:rPr>
        <w:t>ANDA Litigation - Perrigo 4mg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On September 14, 2018, Adapt Pharma Inc., Adapt Pharma Operations Limited and Adapt Pharma Ltd. (collectively, Adapt Pharma), and Opiant Pharmaceuticals, Inc. (Opiant), received notice from Perrigo UK FINCO Limited Partnership (Perrigo) that Perrigo had filed an Abbreviated New Drug Application (ANDA) with the FDA, seeking regulatory approval to market a generic version of NARCAN® (naloxone hydrochloride) Nasal Spray 4mg/spray before the expiration of U.S. 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w:t>
      </w:r>
    </w:p>
    <w:p>
      <w:pPr>
        <w:spacing w:after="0" w:line="1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On October 25, 2018, Emergent BioSolutions’ Adapt Pharma subsidiaries and Opiant (collectively,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As a result of timely filing the first lawsuit in accordance with the Hatch-Waxman Act, a 30-month stay of approval will be imposed by the FDA on Perrigo’s ANDA, which is expected to remain in effect until March 2021 absent an earlier judgment, unfavorable to the Plaintiffs, by the Court.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Teva 2mg</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On or about February 27, 2018, Adapt Pharma Inc. and Adapt Pharma Operations Limited and Opiant received notice from Teva Pharmaceuticals Industries Ltd.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Teva 4mg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of the '253 Patent. Adapt Pharma Inc. and Adapt Pharma Operations Limited and Opiant received additional notices from Teva relating to the '747, the '177, the '965, the '838, and the ‘937 Patents. Teva's notice letters assert that the commercial manufacture, use or sale of</w:t>
      </w:r>
    </w:p>
    <w:p>
      <w:pPr>
        <w:sectPr>
          <w:pgSz w:w="11900" w:h="16838" w:orient="portrait"/>
          <w:cols w:equalWidth="0" w:num="1">
            <w:col w:w="11420"/>
          </w:cols>
          <w:pgMar w:left="240" w:top="118"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23</w:t>
      </w:r>
    </w:p>
    <w:p>
      <w:pPr>
        <w:sectPr>
          <w:pgSz w:w="11900" w:h="16838" w:orient="portrait"/>
          <w:cols w:equalWidth="0" w:num="1">
            <w:col w:w="11420"/>
          </w:cols>
          <w:pgMar w:left="240" w:top="118"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w:t>
      </w:r>
    </w:p>
    <w:p>
      <w:pPr>
        <w:spacing w:after="0" w:line="1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In the complaints described in the paragraphs above, the Plaintiffs seek,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Shareholder Class Action Lawsuit filed July 19, 2016</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2C2C2C"/>
        </w:rPr>
        <w:t xml:space="preserve">On July 19, 2016, Plaintiff William Sponn (Sponn), filed a putative class action complaint in the United States District Court for the District of Maryland on behalf of purchasers of the Company’s common stock between January 11, 2016 and June 21, 2016, inclusive (the Class Period), seeking to pursue remedies under the Exchange Act against the Company and certain of its senior officers and directors (collectively, the Defendants). The complaint alleged, among other things, that the Defendants made materially false and misleading statements about the government’s demand for BioThrax and expectations that the Company’s five-year exclusive procurement contract with </w:t>
      </w:r>
      <w:r>
        <w:rPr>
          <w:rFonts w:ascii="Arial" w:cs="Arial" w:eastAsia="Arial" w:hAnsi="Arial"/>
          <w:sz w:val="18"/>
          <w:szCs w:val="18"/>
          <w:b w:val="1"/>
          <w:bCs w:val="1"/>
          <w:color w:val="000000"/>
        </w:rPr>
        <w:t>the U.S. Department of Health and Human Services (HHS)</w:t>
      </w:r>
      <w:r>
        <w:rPr>
          <w:rFonts w:ascii="Arial" w:cs="Arial" w:eastAsia="Arial" w:hAnsi="Arial"/>
          <w:sz w:val="18"/>
          <w:szCs w:val="18"/>
          <w:b w:val="1"/>
          <w:bCs w:val="1"/>
          <w:color w:val="2C2C2C"/>
        </w:rPr>
        <w:t xml:space="preserve"> would be renewed, and omitted certain material facts. Sponn sought unspecified damages, including legal costs. On October 25, 2016, the court added City of Cape Coral Municipal Firefighters’ Retirement Plan and City of Sunrise Police Officers’ Retirement Plan as plaintiffs and appointed them Lead Plaintiffs and Robbins Geller Rudman &amp; Dowd LLP as Lead Counsel. On December 27, 2016, the plaintiffs filed an amended complaint that cited the same class period, named the same defendants and made similar allegations to the original complaint. The Defendants filed a Motion to Dismiss on February 27, 2017. The plaintiffs filed an opposition brief on April 28, 2017. The Defendants’ Motion to Dismiss was heard and denied on July 6, 2017. The Defendants filed an answer on July 28, 2017. The parties then engaged in the discovery process. The plaintiffs filed an amended motion for class certification and appointment of Lead Plaintiffs, Sponn, and Geoffrey L. Flagstad (Flagstad) as Class Representatives on December 20, 2017. A hearing on that motion was heard on May 2, 2018. On June 8, 2018 the Court granted class certification with a shortened class period, from May 5, 2016 to June 21, 2016. In that same order, the court appointed Flagstad as Class Representative and Robbins Geller Rudman &amp; Dowd LLP as Class Counsel. The Defendants have denied, and continue to deny, any and all allegations of fault, liability, wrongdoing, or damages. However, recognizing the risk, time, and expense of litigating any case to trial, on August 27, 2018, the Defendants reached an agreement in principle with plaintiffs to settle all of the related claims of any individual plaintiff that purchased or acquired Company stock from January 11, 2016 to June 21, 2016, for $6.5 million, an amount that was paid by the Company’s insurance carrier. The settlement required no payment by any of the Defendants. The Defendants continue to deny any and all liability. The parties executed the settlement agreement on October 16, 2018 and filed the agreement with the court on October 17, 2018. The court granted preliminary approval of the settlement on October 18, 2018. At the time of the approval of the settlement on January 22, 2019, there were no objections to the settlement, but there were two shareholders who had submitted opt-outs so that they could be excluded from the settlement. On January 25, 2019, the court issued an order and final judgment approving the settlement. The time to file a notice of appeal has passed. Defendants continue to believe that the allegations in the complaint are without merit.</w:t>
      </w:r>
    </w:p>
    <w:p>
      <w:pPr>
        <w:spacing w:after="0" w:line="179"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00497F"/>
        </w:rPr>
      </w:pPr>
      <w:r>
        <w:rPr>
          <w:rFonts w:ascii="Arial" w:cs="Arial" w:eastAsia="Arial" w:hAnsi="Arial"/>
          <w:sz w:val="20"/>
          <w:szCs w:val="20"/>
          <w:b w:val="1"/>
          <w:bCs w:val="1"/>
          <w:color w:val="00497F"/>
        </w:rPr>
        <w:t>Supplemental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provides a reconciliation of cash, cash equivalents and restricted cash: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40" w:type="dxa"/>
            <w:vAlign w:val="bottom"/>
            <w:shd w:val="clear" w:color="auto" w:fill="0094FF"/>
          </w:tcPr>
          <w:p>
            <w:pPr>
              <w:spacing w:after="0"/>
              <w:rPr>
                <w:sz w:val="23"/>
                <w:szCs w:val="23"/>
                <w:color w:val="auto"/>
              </w:rPr>
            </w:pPr>
          </w:p>
        </w:tc>
        <w:tc>
          <w:tcPr>
            <w:tcW w:w="2220" w:type="dxa"/>
            <w:vAlign w:val="bottom"/>
            <w:shd w:val="clear" w:color="auto" w:fill="0094FF"/>
          </w:tcPr>
          <w:p>
            <w:pPr>
              <w:spacing w:after="0"/>
              <w:rPr>
                <w:sz w:val="23"/>
                <w:szCs w:val="23"/>
                <w:color w:val="auto"/>
              </w:rPr>
            </w:pPr>
          </w:p>
        </w:tc>
        <w:tc>
          <w:tcPr>
            <w:tcW w:w="32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430"/>
              <w:spacing w:after="0"/>
              <w:rPr>
                <w:sz w:val="20"/>
                <w:szCs w:val="20"/>
                <w:color w:val="auto"/>
              </w:rPr>
            </w:pPr>
            <w:r>
              <w:rPr>
                <w:rFonts w:ascii="Arial" w:cs="Arial" w:eastAsia="Arial" w:hAnsi="Arial"/>
                <w:sz w:val="18"/>
                <w:szCs w:val="18"/>
                <w:color w:val="FFFFFF"/>
              </w:rPr>
              <w:t>June 30, 2019</w:t>
            </w:r>
          </w:p>
        </w:tc>
        <w:tc>
          <w:tcPr>
            <w:tcW w:w="100" w:type="dxa"/>
            <w:vAlign w:val="bottom"/>
            <w:shd w:val="clear" w:color="auto" w:fill="0094FF"/>
          </w:tcPr>
          <w:p>
            <w:pPr>
              <w:spacing w:after="0"/>
              <w:rPr>
                <w:sz w:val="23"/>
                <w:szCs w:val="23"/>
                <w:color w:val="auto"/>
              </w:rPr>
            </w:pPr>
          </w:p>
        </w:tc>
        <w:tc>
          <w:tcPr>
            <w:tcW w:w="220" w:type="dxa"/>
            <w:vAlign w:val="bottom"/>
            <w:shd w:val="clear" w:color="auto" w:fill="0094FF"/>
          </w:tcPr>
          <w:p>
            <w:pPr>
              <w:spacing w:after="0"/>
              <w:rPr>
                <w:sz w:val="23"/>
                <w:szCs w:val="23"/>
                <w:color w:val="auto"/>
              </w:rPr>
            </w:pPr>
          </w:p>
        </w:tc>
        <w:tc>
          <w:tcPr>
            <w:tcW w:w="1960" w:type="dxa"/>
            <w:vAlign w:val="bottom"/>
            <w:shd w:val="clear" w:color="auto" w:fill="0094FF"/>
          </w:tcPr>
          <w:p>
            <w:pPr>
              <w:jc w:val="right"/>
              <w:ind w:right="210"/>
              <w:spacing w:after="0"/>
              <w:rPr>
                <w:sz w:val="20"/>
                <w:szCs w:val="20"/>
                <w:color w:val="auto"/>
              </w:rPr>
            </w:pPr>
            <w:r>
              <w:rPr>
                <w:rFonts w:ascii="Arial" w:cs="Arial" w:eastAsia="Arial" w:hAnsi="Arial"/>
                <w:sz w:val="18"/>
                <w:szCs w:val="18"/>
                <w:color w:val="FFFFFF"/>
              </w:rPr>
              <w:t>December 31, 2018</w:t>
            </w:r>
          </w:p>
        </w:tc>
        <w:tc>
          <w:tcPr>
            <w:tcW w:w="0" w:type="dxa"/>
            <w:vAlign w:val="bottom"/>
          </w:tcPr>
          <w:p>
            <w:pPr>
              <w:spacing w:after="0"/>
              <w:rPr>
                <w:sz w:val="1"/>
                <w:szCs w:val="1"/>
                <w:color w:val="auto"/>
              </w:rPr>
            </w:pP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20" w:type="dxa"/>
            <w:vAlign w:val="bottom"/>
          </w:tcPr>
          <w:p>
            <w:pPr>
              <w:spacing w:after="0"/>
              <w:rPr>
                <w:sz w:val="22"/>
                <w:szCs w:val="22"/>
                <w:color w:val="auto"/>
              </w:rPr>
            </w:pPr>
          </w:p>
        </w:tc>
        <w:tc>
          <w:tcPr>
            <w:tcW w:w="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177.4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7"/>
        </w:trPr>
        <w:tc>
          <w:tcPr>
            <w:tcW w:w="47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20" w:type="dxa"/>
            <w:vAlign w:val="bottom"/>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18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0.2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220" w:type="dxa"/>
            <w:vAlign w:val="bottom"/>
          </w:tcPr>
          <w:p>
            <w:pPr>
              <w:spacing w:after="0"/>
              <w:rPr>
                <w:sz w:val="22"/>
                <w:szCs w:val="22"/>
                <w:color w:val="auto"/>
              </w:rPr>
            </w:pPr>
          </w:p>
        </w:tc>
        <w:tc>
          <w:tcPr>
            <w:tcW w:w="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1B51BF"/>
              </w:rPr>
              <w:t>$</w:t>
            </w:r>
          </w:p>
        </w:tc>
        <w:tc>
          <w:tcPr>
            <w:tcW w:w="18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177.6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20" w:type="dxa"/>
            <w:vAlign w:val="bottom"/>
            <w:vMerge w:val="restart"/>
          </w:tcPr>
          <w:p>
            <w:pPr>
              <w:jc w:val="right"/>
              <w:ind w:right="1070"/>
              <w:spacing w:after="0"/>
              <w:rPr>
                <w:sz w:val="20"/>
                <w:szCs w:val="20"/>
                <w:color w:val="auto"/>
              </w:rPr>
            </w:pPr>
            <w:r>
              <w:rPr>
                <w:rFonts w:ascii="Arial" w:cs="Arial" w:eastAsia="Arial" w:hAnsi="Arial"/>
                <w:sz w:val="18"/>
                <w:szCs w:val="18"/>
                <w:b w:val="1"/>
                <w:bCs w:val="1"/>
                <w:color w:val="2C2C2C"/>
              </w:rPr>
              <w:t>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80" w:right="108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ind w:right="360"/>
        <w:spacing w:after="0" w:line="255" w:lineRule="auto"/>
        <w:rPr>
          <w:sz w:val="20"/>
          <w:szCs w:val="20"/>
          <w:color w:val="auto"/>
        </w:rPr>
      </w:pPr>
      <w:r>
        <w:rPr>
          <w:rFonts w:ascii="Arial" w:cs="Arial" w:eastAsia="Arial" w:hAnsi="Arial"/>
          <w:sz w:val="20"/>
          <w:szCs w:val="20"/>
          <w:b w:val="1"/>
          <w:bCs w:val="1"/>
          <w:color w:val="00497F"/>
        </w:rPr>
        <w:t>ITEM 2. MANAGEMENT'S DISCUSSION AND ANALYSIS OF FINANCIAL CONDITION AND RESULTS OF OPERATIONS</w:t>
      </w:r>
    </w:p>
    <w:p>
      <w:pPr>
        <w:spacing w:after="0" w:line="123" w:lineRule="exact"/>
        <w:rPr>
          <w:sz w:val="20"/>
          <w:szCs w:val="20"/>
          <w:color w:val="auto"/>
        </w:rPr>
      </w:pPr>
    </w:p>
    <w:p>
      <w:pPr>
        <w:jc w:val="both"/>
        <w:ind w:right="60" w:firstLine="324"/>
        <w:spacing w:after="0" w:line="252" w:lineRule="auto"/>
        <w:rPr>
          <w:sz w:val="20"/>
          <w:szCs w:val="20"/>
          <w:color w:val="auto"/>
        </w:rPr>
      </w:pPr>
      <w:r>
        <w:rPr>
          <w:rFonts w:ascii="Arial" w:cs="Arial" w:eastAsia="Arial" w:hAnsi="Arial"/>
          <w:sz w:val="18"/>
          <w:szCs w:val="18"/>
          <w:b w:val="1"/>
          <w:bCs w:val="1"/>
          <w:color w:val="2C2C2C"/>
        </w:rPr>
        <w:t>The following discussion and analysis of our financial condition and results of operations should be read in conjunction with our unaudited condensed consolidated financial statements and accompanying notes and other financial information included elsewhere in this quarterly report on Form 10-Q and our audited consolidated financial statements and related notes included in our Annual Report on Form 10-K for the year ended December 31, 2018. Some of the information contained in this discussion and analysis or set forth elsewhere in this quarterly report on Form 10-Q, includes information with respect to our plans and strategy for our business and financing, as well as forward-looking statements that involve risks and uncertainties. You should carefully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Overview</w:t>
      </w:r>
    </w:p>
    <w:p>
      <w:pPr>
        <w:spacing w:after="0" w:line="166"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b w:val="1"/>
          <w:bCs w:val="1"/>
          <w:color w:val="2C2C2C"/>
        </w:rPr>
        <w:t xml:space="preserve">We are a global life sciences company focused on providing to civilian and military populations a portfolio of innovative preparedness and response products and solutions that address accidental, deliberate and naturally occurring </w:t>
      </w:r>
      <w:r>
        <w:rPr>
          <w:rFonts w:ascii="Arial" w:cs="Arial" w:eastAsia="Arial" w:hAnsi="Arial"/>
          <w:sz w:val="18"/>
          <w:szCs w:val="18"/>
          <w:b w:val="1"/>
          <w:bCs w:val="1"/>
          <w:color w:val="000000"/>
        </w:rPr>
        <w:t>PHTs</w:t>
      </w:r>
      <w:r>
        <w:rPr>
          <w:rFonts w:ascii="Arial" w:cs="Arial" w:eastAsia="Arial" w:hAnsi="Arial"/>
          <w:sz w:val="18"/>
          <w:szCs w:val="18"/>
          <w:b w:val="1"/>
          <w:bCs w:val="1"/>
          <w:color w:val="2C2C2C"/>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left="340" w:right="20" w:hanging="334"/>
        <w:spacing w:after="0" w:line="262" w:lineRule="auto"/>
        <w:tabs>
          <w:tab w:leader="none" w:pos="340" w:val="left"/>
        </w:tabs>
        <w:numPr>
          <w:ilvl w:val="0"/>
          <w:numId w:val="20"/>
        </w:numPr>
        <w:rPr>
          <w:rFonts w:ascii="Arial" w:cs="Arial" w:eastAsia="Arial" w:hAnsi="Arial"/>
          <w:sz w:val="18"/>
          <w:szCs w:val="18"/>
          <w:b w:val="1"/>
          <w:bCs w:val="1"/>
          <w:color w:val="2C2C2C"/>
        </w:rPr>
      </w:pPr>
      <w:r>
        <w:rPr>
          <w:rFonts w:ascii="Arial" w:cs="Arial" w:eastAsia="Arial" w:hAnsi="Arial"/>
          <w:sz w:val="18"/>
          <w:szCs w:val="18"/>
          <w:b w:val="1"/>
          <w:bCs w:val="1"/>
          <w:color w:val="2C2C2C"/>
        </w:rPr>
        <w:t>ACAM2000® (Smallpox (Vaccinia) Vaccine, Live), the only smallpox vaccine licensed by the FDA for active immunization against smallpox disease for persons determined to be at high risk for smallpox infection;</w:t>
      </w:r>
    </w:p>
    <w:p>
      <w:pPr>
        <w:spacing w:after="0" w:line="28" w:lineRule="exact"/>
        <w:rPr>
          <w:rFonts w:ascii="Arial" w:cs="Arial" w:eastAsia="Arial" w:hAnsi="Arial"/>
          <w:sz w:val="18"/>
          <w:szCs w:val="18"/>
          <w:b w:val="1"/>
          <w:bCs w:val="1"/>
          <w:color w:val="2C2C2C"/>
        </w:rPr>
      </w:pPr>
    </w:p>
    <w:p>
      <w:pPr>
        <w:jc w:val="both"/>
        <w:ind w:left="340" w:hanging="334"/>
        <w:spacing w:after="0" w:line="269" w:lineRule="auto"/>
        <w:tabs>
          <w:tab w:leader="none" w:pos="340" w:val="left"/>
        </w:tabs>
        <w:numPr>
          <w:ilvl w:val="0"/>
          <w:numId w:val="20"/>
        </w:numPr>
        <w:rPr>
          <w:rFonts w:ascii="Arial" w:cs="Arial" w:eastAsia="Arial" w:hAnsi="Arial"/>
          <w:sz w:val="18"/>
          <w:szCs w:val="18"/>
          <w:b w:val="1"/>
          <w:bCs w:val="1"/>
          <w:color w:val="2C2C2C"/>
        </w:rPr>
      </w:pPr>
      <w:r>
        <w:rPr>
          <w:rFonts w:ascii="Arial" w:cs="Arial" w:eastAsia="Arial" w:hAnsi="Arial"/>
          <w:sz w:val="18"/>
          <w:szCs w:val="18"/>
          <w:b w:val="1"/>
          <w:bCs w:val="1"/>
          <w:color w:val="2C2C2C"/>
        </w:rPr>
        <w:t>Vivotif® (Typhoid Vaccine Live Oral Ty21a), the only oral vaccine licensed by the FDA for the prevention of typhoid fever; and</w:t>
      </w:r>
    </w:p>
    <w:p>
      <w:pPr>
        <w:spacing w:after="0" w:line="114" w:lineRule="exact"/>
        <w:rPr>
          <w:rFonts w:ascii="Arial" w:cs="Arial" w:eastAsia="Arial" w:hAnsi="Arial"/>
          <w:sz w:val="18"/>
          <w:szCs w:val="18"/>
          <w:b w:val="1"/>
          <w:bCs w:val="1"/>
          <w:color w:val="2C2C2C"/>
        </w:rPr>
      </w:pPr>
    </w:p>
    <w:p>
      <w:pPr>
        <w:ind w:left="340" w:right="20" w:hanging="334"/>
        <w:spacing w:after="0" w:line="287" w:lineRule="auto"/>
        <w:tabs>
          <w:tab w:leader="none" w:pos="340" w:val="left"/>
        </w:tabs>
        <w:numPr>
          <w:ilvl w:val="0"/>
          <w:numId w:val="20"/>
        </w:numPr>
        <w:rPr>
          <w:rFonts w:ascii="Arial" w:cs="Arial" w:eastAsia="Arial" w:hAnsi="Arial"/>
          <w:sz w:val="18"/>
          <w:szCs w:val="18"/>
          <w:b w:val="1"/>
          <w:bCs w:val="1"/>
          <w:color w:val="2C2C2C"/>
        </w:rPr>
      </w:pPr>
      <w:r>
        <w:rPr>
          <w:rFonts w:ascii="Arial" w:cs="Arial" w:eastAsia="Arial" w:hAnsi="Arial"/>
          <w:sz w:val="18"/>
          <w:szCs w:val="18"/>
          <w:b w:val="1"/>
          <w:bCs w:val="1"/>
          <w:color w:val="2C2C2C"/>
        </w:rPr>
        <w:t>Vaxchora® (Cholera Vaccine, Live, Oral), the only FDA-licensed vaccine for the prevention of cholera.</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0094FF"/>
        </w:rPr>
        <w:t>Devices</w:t>
      </w:r>
    </w:p>
    <w:p>
      <w:pPr>
        <w:spacing w:after="0" w:line="142" w:lineRule="exact"/>
        <w:rPr>
          <w:sz w:val="20"/>
          <w:szCs w:val="20"/>
          <w:color w:val="auto"/>
        </w:rPr>
      </w:pPr>
    </w:p>
    <w:p>
      <w:pPr>
        <w:jc w:val="both"/>
        <w:ind w:left="340" w:hanging="334"/>
        <w:spacing w:after="0" w:line="259"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NARCAN® (naloxone HCl) Nasal Spray, the first needle-free formulation of naloxone approved by the FDA and Health Canada, for the emergency treatment of known or suspected opioid overdose as manifested by respiratory and/or central nervous system depression;</w:t>
      </w:r>
    </w:p>
    <w:p>
      <w:pPr>
        <w:spacing w:after="0" w:line="31" w:lineRule="exact"/>
        <w:rPr>
          <w:rFonts w:ascii="Arial" w:cs="Arial" w:eastAsia="Arial" w:hAnsi="Arial"/>
          <w:sz w:val="18"/>
          <w:szCs w:val="18"/>
          <w:b w:val="1"/>
          <w:bCs w:val="1"/>
          <w:color w:val="2C2C2C"/>
        </w:rPr>
      </w:pPr>
    </w:p>
    <w:p>
      <w:pPr>
        <w:jc w:val="both"/>
        <w:ind w:left="340" w:hanging="334"/>
        <w:spacing w:after="0" w:line="259"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RSDL® (Reactive Skin Decontamination Lotion Kit), the only medical device cleared by the FDA to remove or neutralize the following chemical warfare agents from the skin: tabun, sarin, soman, cyclohexyl sarin, VR, VX, mustard gas and T-2 toxin; and</w:t>
      </w:r>
    </w:p>
    <w:p>
      <w:pPr>
        <w:spacing w:after="0" w:line="31" w:lineRule="exact"/>
        <w:rPr>
          <w:rFonts w:ascii="Arial" w:cs="Arial" w:eastAsia="Arial" w:hAnsi="Arial"/>
          <w:sz w:val="18"/>
          <w:szCs w:val="18"/>
          <w:b w:val="1"/>
          <w:bCs w:val="1"/>
          <w:color w:val="2C2C2C"/>
        </w:rPr>
      </w:pPr>
    </w:p>
    <w:p>
      <w:pPr>
        <w:jc w:val="both"/>
        <w:ind w:left="340" w:right="20" w:hanging="334"/>
        <w:spacing w:after="0" w:line="255"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Trobigard® (atropine sulfate, obidoxime chloride), an auto-injector device designed for intramuscular self-injection of atropine sulfate and obidoxime chloride, as a nerve agent countermeasure. This product is not currently approved or cleared by the FDA or any similar regulatory body, and is only distributed to authorized government buyers for use outside the United States. This product is not distributed in the United States.</w:t>
      </w:r>
    </w:p>
    <w:p>
      <w:pPr>
        <w:spacing w:after="0" w:line="23" w:lineRule="exact"/>
        <w:rPr>
          <w:sz w:val="20"/>
          <w:szCs w:val="20"/>
          <w:color w:val="auto"/>
        </w:rPr>
      </w:pPr>
    </w:p>
    <w:p>
      <w:pPr>
        <w:sectPr>
          <w:pgSz w:w="11900" w:h="16838" w:orient="portrait"/>
          <w:cols w:equalWidth="0" w:num="2">
            <w:col w:w="5540" w:space="720"/>
            <w:col w:w="5160"/>
          </w:cols>
          <w:pgMar w:left="240" w:top="118" w:right="239" w:bottom="1440" w:gutter="0" w:footer="0" w:header="0"/>
          <w:type w:val="continuous"/>
        </w:sectPr>
      </w:pPr>
    </w:p>
    <w:p>
      <w:pPr>
        <w:jc w:val="both"/>
        <w:ind w:right="60" w:firstLine="324"/>
        <w:spacing w:after="0" w:line="253" w:lineRule="auto"/>
        <w:rPr>
          <w:sz w:val="20"/>
          <w:szCs w:val="20"/>
          <w:color w:val="auto"/>
        </w:rPr>
      </w:pPr>
      <w:r>
        <w:rPr>
          <w:rFonts w:ascii="Arial" w:cs="Arial" w:eastAsia="Arial" w:hAnsi="Arial"/>
          <w:sz w:val="18"/>
          <w:szCs w:val="18"/>
          <w:b w:val="1"/>
          <w:bCs w:val="1"/>
          <w:color w:val="2C2C2C"/>
        </w:rPr>
        <w:t>We are focused on the following four distinct PHT categories: CBRNE; EID; travelers’ diseases; and opioids. We have a product portfolio of eleven products (vaccines, antibody therapeutics, and drug-device combination products) that generate a majority of our revenue. We also have a development pipeline consisting of a diversified mix of both pre-clinical and clinical stage product candidates (vaccines, antibody therapeutics, and drug-device combination products). Finally, we have a fully-integrated portfolio of contract development and manufacturing services. We continue to pursue acquiring and developing products and solutions that provide an opportunity to serve both government and commercial (non-government) customers.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Our product portfolio includes: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0094FF"/>
        </w:rPr>
        <w:t>Vaccines and Anti-Infectives</w:t>
      </w:r>
    </w:p>
    <w:p>
      <w:pPr>
        <w:spacing w:after="0" w:line="142" w:lineRule="exact"/>
        <w:rPr>
          <w:sz w:val="20"/>
          <w:szCs w:val="20"/>
          <w:color w:val="auto"/>
        </w:rPr>
      </w:pPr>
    </w:p>
    <w:p>
      <w:pPr>
        <w:jc w:val="both"/>
        <w:ind w:left="660" w:right="60" w:hanging="328"/>
        <w:spacing w:after="0" w:line="262" w:lineRule="auto"/>
        <w:tabs>
          <w:tab w:leader="none" w:pos="660" w:val="left"/>
        </w:tabs>
        <w:numPr>
          <w:ilvl w:val="0"/>
          <w:numId w:val="22"/>
        </w:numPr>
        <w:rPr>
          <w:rFonts w:ascii="Arial" w:cs="Arial" w:eastAsia="Arial" w:hAnsi="Arial"/>
          <w:sz w:val="18"/>
          <w:szCs w:val="18"/>
          <w:b w:val="1"/>
          <w:bCs w:val="1"/>
          <w:color w:val="2C2C2C"/>
        </w:rPr>
      </w:pPr>
      <w:r>
        <w:rPr>
          <w:rFonts w:ascii="Arial" w:cs="Arial" w:eastAsia="Arial" w:hAnsi="Arial"/>
          <w:sz w:val="18"/>
          <w:szCs w:val="18"/>
          <w:b w:val="1"/>
          <w:bCs w:val="1"/>
          <w:color w:val="2C2C2C"/>
        </w:rPr>
        <w:t>BioThrax® (Anthrax Vaccine Adsorbed), the only vaccine licensed by the FDA for the general use prophylaxis and post-exposure prophylaxis of anthrax disease;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0094FF"/>
        </w:rPr>
        <w:t>Antibody Therapeutics</w:t>
      </w:r>
    </w:p>
    <w:p>
      <w:pPr>
        <w:spacing w:after="0" w:line="142" w:lineRule="exact"/>
        <w:rPr>
          <w:sz w:val="20"/>
          <w:szCs w:val="20"/>
          <w:color w:val="auto"/>
        </w:rPr>
      </w:pPr>
    </w:p>
    <w:p>
      <w:pPr>
        <w:jc w:val="both"/>
        <w:ind w:left="340" w:hanging="334"/>
        <w:spacing w:after="0" w:line="262" w:lineRule="auto"/>
        <w:tabs>
          <w:tab w:leader="none" w:pos="340"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raxibacumab (Anthrax Monoclonal), the first fully human monoclonal antibody therapeutic licensed by the FDA for the treatment and prophylaxis of inhalational anthrax;</w:t>
      </w:r>
    </w:p>
    <w:p>
      <w:pPr>
        <w:spacing w:after="0" w:line="28" w:lineRule="exact"/>
        <w:rPr>
          <w:rFonts w:ascii="Arial" w:cs="Arial" w:eastAsia="Arial" w:hAnsi="Arial"/>
          <w:sz w:val="18"/>
          <w:szCs w:val="18"/>
          <w:b w:val="1"/>
          <w:bCs w:val="1"/>
          <w:color w:val="2C2C2C"/>
        </w:rPr>
      </w:pPr>
    </w:p>
    <w:p>
      <w:pPr>
        <w:jc w:val="both"/>
        <w:ind w:left="340" w:hanging="334"/>
        <w:spacing w:after="0" w:line="262" w:lineRule="auto"/>
        <w:tabs>
          <w:tab w:leader="none" w:pos="340"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Anthrasil® (Anthrax Immune Globulin Intravenous (Human)), the only polyclonal antibody therapeutic licensed by the FDA and Health Canada for the treatment of inhalational anthrax;</w:t>
      </w:r>
    </w:p>
    <w:p>
      <w:pPr>
        <w:spacing w:after="0" w:line="28" w:lineRule="exact"/>
        <w:rPr>
          <w:rFonts w:ascii="Arial" w:cs="Arial" w:eastAsia="Arial" w:hAnsi="Arial"/>
          <w:sz w:val="18"/>
          <w:szCs w:val="18"/>
          <w:b w:val="1"/>
          <w:bCs w:val="1"/>
          <w:color w:val="2C2C2C"/>
        </w:rPr>
      </w:pPr>
    </w:p>
    <w:p>
      <w:pPr>
        <w:jc w:val="both"/>
        <w:ind w:left="340" w:right="20" w:hanging="334"/>
        <w:spacing w:after="0" w:line="262" w:lineRule="auto"/>
        <w:tabs>
          <w:tab w:leader="none" w:pos="340"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BAT® (Botulism Antitoxin Heptavalent (A,B,C,D,E,F,G)-(Equine)), the only heptavalent antibody therapeutic licensed by the FDA and Health Canada for the treatment of botulism; and</w:t>
      </w:r>
    </w:p>
    <w:p>
      <w:pPr>
        <w:spacing w:after="0" w:line="28" w:lineRule="exact"/>
        <w:rPr>
          <w:rFonts w:ascii="Arial" w:cs="Arial" w:eastAsia="Arial" w:hAnsi="Arial"/>
          <w:sz w:val="18"/>
          <w:szCs w:val="18"/>
          <w:b w:val="1"/>
          <w:bCs w:val="1"/>
          <w:color w:val="2C2C2C"/>
        </w:rPr>
      </w:pPr>
    </w:p>
    <w:p>
      <w:pPr>
        <w:jc w:val="both"/>
        <w:ind w:left="340" w:right="20" w:hanging="334"/>
        <w:spacing w:after="0" w:line="269" w:lineRule="auto"/>
        <w:tabs>
          <w:tab w:leader="none" w:pos="340"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VIGIV (Vaccinia Immune Globulin Intravenous (Human)), the only polyclonal antibody therapeutic licensed by the FDA and Health</w:t>
      </w:r>
    </w:p>
    <w:p>
      <w:pPr>
        <w:spacing w:after="0" w:line="907" w:lineRule="exact"/>
        <w:rPr>
          <w:sz w:val="20"/>
          <w:szCs w:val="20"/>
          <w:color w:val="auto"/>
        </w:rPr>
      </w:pPr>
    </w:p>
    <w:p>
      <w:pPr>
        <w:sectPr>
          <w:pgSz w:w="11900" w:h="16838" w:orient="portrait"/>
          <w:cols w:equalWidth="0" w:num="2">
            <w:col w:w="5540" w:space="720"/>
            <w:col w:w="5160"/>
          </w:cols>
          <w:pgMar w:left="240" w:top="118"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jc w:val="center"/>
        <w:ind w:right="332"/>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748" w:right="108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088"/>
          </w:cols>
          <w:pgMar w:left="572" w:top="118" w:right="239" w:bottom="1440" w:gutter="0" w:footer="0" w:header="0"/>
        </w:sectPr>
      </w:pPr>
    </w:p>
    <w:p>
      <w:pPr>
        <w:spacing w:after="0" w:line="228" w:lineRule="exact"/>
        <w:rPr>
          <w:sz w:val="20"/>
          <w:szCs w:val="20"/>
          <w:color w:val="auto"/>
        </w:rPr>
      </w:pPr>
    </w:p>
    <w:p>
      <w:pPr>
        <w:ind w:left="328"/>
        <w:spacing w:after="0" w:line="334" w:lineRule="auto"/>
        <w:rPr>
          <w:sz w:val="20"/>
          <w:szCs w:val="20"/>
          <w:color w:val="auto"/>
        </w:rPr>
      </w:pPr>
      <w:r>
        <w:rPr>
          <w:rFonts w:ascii="Arial" w:cs="Arial" w:eastAsia="Arial" w:hAnsi="Arial"/>
          <w:sz w:val="18"/>
          <w:szCs w:val="18"/>
          <w:b w:val="1"/>
          <w:bCs w:val="1"/>
          <w:color w:val="2C2C2C"/>
        </w:rPr>
        <w:t>Canada to address certain complications from smallpox vaccination.</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8"/>
          <w:szCs w:val="18"/>
          <w:color w:val="0094FF"/>
        </w:rPr>
        <w:t>Highlights and Business Accomplishments for 2019</w:t>
      </w:r>
    </w:p>
    <w:p>
      <w:pPr>
        <w:spacing w:after="0" w:line="149" w:lineRule="exact"/>
        <w:rPr>
          <w:sz w:val="20"/>
          <w:szCs w:val="20"/>
          <w:color w:val="auto"/>
        </w:rPr>
      </w:pPr>
    </w:p>
    <w:p>
      <w:pPr>
        <w:jc w:val="both"/>
        <w:ind w:left="328" w:hanging="328"/>
        <w:spacing w:after="0" w:line="259"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June 3, 2019, we announced a contract award by the Office of the Assistant Secretary for Preparedness and Response (ASPR) in the U.S. Department of Health</w:t>
      </w:r>
    </w:p>
    <w:p>
      <w:pPr>
        <w:jc w:val="both"/>
        <w:ind w:left="328"/>
        <w:spacing w:after="0" w:line="253" w:lineRule="auto"/>
        <w:rPr>
          <w:rFonts w:ascii="Arial" w:cs="Arial" w:eastAsia="Arial" w:hAnsi="Arial"/>
          <w:sz w:val="18"/>
          <w:szCs w:val="18"/>
          <w:b w:val="1"/>
          <w:bCs w:val="1"/>
          <w:color w:val="2C2C2C"/>
        </w:rPr>
      </w:pPr>
      <w:r>
        <w:rPr>
          <w:rFonts w:ascii="Arial" w:cs="Arial" w:eastAsia="Arial" w:hAnsi="Arial"/>
          <w:sz w:val="18"/>
          <w:szCs w:val="18"/>
          <w:b w:val="1"/>
          <w:bCs w:val="1"/>
          <w:color w:val="2C2C2C"/>
        </w:rPr>
        <w:t>and Human Services (HHS) valued at approximately $535 million over 10 years for the continued supply of Vaccinia Immune Globulin Intravenous (VIGIV) into the U.S. Strategic National Stockpile (SNS) in support of smallpox preparedness.</w:t>
      </w:r>
    </w:p>
    <w:p>
      <w:pPr>
        <w:spacing w:after="0" w:line="34" w:lineRule="exact"/>
        <w:rPr>
          <w:rFonts w:ascii="Arial" w:cs="Arial" w:eastAsia="Arial" w:hAnsi="Arial"/>
          <w:sz w:val="18"/>
          <w:szCs w:val="18"/>
          <w:b w:val="1"/>
          <w:bCs w:val="1"/>
          <w:color w:val="2C2C2C"/>
        </w:rPr>
      </w:pPr>
    </w:p>
    <w:p>
      <w:pPr>
        <w:jc w:val="both"/>
        <w:ind w:left="328" w:hanging="328"/>
        <w:spacing w:after="0" w:line="256"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May 15, 2019, we announced that BARDA informed the company that it will begin procuring AV7909 (anthrax vaccine adsorbed with CPG 7909 adjuvant) for delivery into the Strategic National Stockpile (SNS). Subject to the fulfillment of certain contractual obligations, the company plans to initiate deliveries of AV7909 in the second half of 2019.</w:t>
      </w:r>
    </w:p>
    <w:p>
      <w:pPr>
        <w:spacing w:after="0" w:line="34" w:lineRule="exact"/>
        <w:rPr>
          <w:rFonts w:ascii="Arial" w:cs="Arial" w:eastAsia="Arial" w:hAnsi="Arial"/>
          <w:sz w:val="18"/>
          <w:szCs w:val="18"/>
          <w:b w:val="1"/>
          <w:bCs w:val="1"/>
          <w:color w:val="2C2C2C"/>
        </w:rPr>
      </w:pPr>
    </w:p>
    <w:p>
      <w:pPr>
        <w:jc w:val="both"/>
        <w:ind w:left="328" w:hanging="328"/>
        <w:spacing w:after="0" w:line="254"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April 16, 2019, we announced results from an interim analysis of our Phase 2 clinical study evaluating the safety and immunogenicity of the Company’s chikungunya virus virus-like particle vaccine candidate across a series of dosing regimens. The interim analysis has shown that with a single dose administered, up to 98% of study participants produced a neutralizing antibody response against the chikungunya virus by day 7. Further, the immune response was shown to be persistent through the six-month visit, following the one-dose regimen.</w:t>
      </w:r>
    </w:p>
    <w:p>
      <w:pPr>
        <w:spacing w:after="0" w:line="34" w:lineRule="exact"/>
        <w:rPr>
          <w:rFonts w:ascii="Arial" w:cs="Arial" w:eastAsia="Arial" w:hAnsi="Arial"/>
          <w:sz w:val="18"/>
          <w:szCs w:val="18"/>
          <w:b w:val="1"/>
          <w:bCs w:val="1"/>
          <w:color w:val="2C2C2C"/>
        </w:rPr>
      </w:pPr>
    </w:p>
    <w:p>
      <w:pPr>
        <w:jc w:val="both"/>
        <w:ind w:left="328" w:hanging="328"/>
        <w:spacing w:after="0" w:line="255"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March 19, 2019, we announced the initiation of a Phase 3 trial to evaluate the lot consistency, immunogenicity, and safety of AV7909 (anthrax vaccine adsorbed with CPG 7909 adjuvant) following a two-dose schedule administered intramuscularly in healthy adults. AV7909 is being developed for post-exposure prophylaxis of disease resulting from suspected or confirmed Bacillus anthracis exposure.</w:t>
      </w:r>
    </w:p>
    <w:p>
      <w:pPr>
        <w:spacing w:after="0" w:line="36" w:lineRule="exact"/>
        <w:rPr>
          <w:rFonts w:ascii="Arial" w:cs="Arial" w:eastAsia="Arial" w:hAnsi="Arial"/>
          <w:sz w:val="18"/>
          <w:szCs w:val="18"/>
          <w:b w:val="1"/>
          <w:bCs w:val="1"/>
          <w:color w:val="2C2C2C"/>
        </w:rPr>
      </w:pPr>
    </w:p>
    <w:p>
      <w:pPr>
        <w:jc w:val="both"/>
        <w:ind w:left="328" w:hanging="328"/>
        <w:spacing w:after="0" w:line="254"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February 28, 2019, we announced that we have signed an indefinite-delivery, indefinite-quantity contract with the U.S. Department of State to establish a long-term, reliable, and stable supply chain for medical countermeasures that address the treatment prosed by chemical warfare agents. The contract is comprised of a five-year base period of performance along with five one-year option periods with a total contract value of a minimum of approximately $7 million to a maximum of $100 million over the contract’s period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b w:val="1"/>
          <w:bCs w:val="1"/>
          <w:color w:val="2C2C2C"/>
        </w:rPr>
        <w:t>performance. We will be supplying two of our current medical countermeasures addressing chemical threats; Trobigard® auto-injector and RSDL®kit.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0094FF"/>
        </w:rPr>
        <w:t>Financial Operations Overview</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20"/>
          <w:szCs w:val="20"/>
          <w:color w:val="0094FF"/>
        </w:rPr>
        <w:t>Revenues</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We generate revenues from the sale of our eleven marketed products, the performance of contract development and manufacturing services, and our performance of research and development services under contracts and grants that we receive from the USG and others. The USG is the largest purchaser of our CBRNE products and primarily purchases our products for the U.S. Strategic National Stockpile (SNS), a national repository of medical countermeasures including critical antibiotics, vaccines, chemical antidotes, antitoxins, and other critical medical supplies. The USG primarily purchases our products under long-term firm fixed price procurement contracts. The majority of our historical product sales were derived from BioThrax purchases by the USG.</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Our opioid overdose treatment, NARCAN® Nasal Spray, is sold commercially through physician-directed or standing order prescriptions at retail pharmacies, as well as to state health departments, local law enforcement agencies, community-based organizations, substance abuse centers, and federal agencies. Our travelers’ disease products, comprising Vivotif and Vaxchora, are sold to wholesalers and distributors, as well as directly to healthcare practitioners. We sell Vivotif and Vaxchora to private travel clinics, retail pharmacies and integrated hospital networks.</w:t>
      </w:r>
    </w:p>
    <w:p>
      <w:pPr>
        <w:spacing w:after="0" w:line="13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2C2C2C"/>
        </w:rPr>
        <w:t>We also generate revenue from the performance of contract development and manufacturing services for third-parties. Our services include fill/finish activities as well as the production of bulk drug substances on behalf of our customers.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We have received contracts and grants funding from the USG and other non-governmental organizations to perform research and development activities related to programs addressing certain CBRNE threats and emerging infectious disease.</w:t>
      </w:r>
    </w:p>
    <w:p>
      <w:pPr>
        <w:spacing w:after="0" w:line="12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2C2C2C"/>
        </w:rPr>
        <w:t>Our revenue, operating results and profitability have varied, and we expect that they will continue to vary on a quarterly basis.</w:t>
      </w:r>
    </w:p>
    <w:p>
      <w:pPr>
        <w:spacing w:after="0" w:line="1181" w:lineRule="exact"/>
        <w:rPr>
          <w:sz w:val="20"/>
          <w:szCs w:val="20"/>
          <w:color w:val="auto"/>
        </w:rPr>
      </w:pPr>
    </w:p>
    <w:p>
      <w:pPr>
        <w:sectPr>
          <w:pgSz w:w="11900" w:h="16838" w:orient="portrait"/>
          <w:cols w:equalWidth="0" w:num="2">
            <w:col w:w="5148" w:space="460"/>
            <w:col w:w="5480"/>
          </w:cols>
          <w:pgMar w:left="572" w:top="118" w:right="239" w:bottom="1440" w:gutter="0" w:footer="0" w:header="0"/>
          <w:type w:val="continuous"/>
        </w:sectPr>
      </w:pPr>
    </w:p>
    <w:p>
      <w:pPr>
        <w:spacing w:after="0" w:line="85" w:lineRule="exact"/>
        <w:rPr>
          <w:sz w:val="20"/>
          <w:szCs w:val="20"/>
          <w:color w:val="auto"/>
        </w:rPr>
      </w:pPr>
    </w:p>
    <w:p>
      <w:pPr>
        <w:jc w:val="center"/>
        <w:ind w:right="332"/>
        <w:spacing w:after="0"/>
        <w:rPr>
          <w:sz w:val="20"/>
          <w:szCs w:val="20"/>
          <w:color w:val="auto"/>
        </w:rPr>
      </w:pPr>
      <w:r>
        <w:rPr>
          <w:rFonts w:ascii="Arial" w:cs="Arial" w:eastAsia="Arial" w:hAnsi="Arial"/>
          <w:sz w:val="16"/>
          <w:szCs w:val="16"/>
          <w:b w:val="1"/>
          <w:bCs w:val="1"/>
          <w:color w:val="2C2C2C"/>
        </w:rPr>
        <w:t>26</w:t>
      </w:r>
    </w:p>
    <w:p>
      <w:pPr>
        <w:sectPr>
          <w:pgSz w:w="11900" w:h="16838" w:orient="portrait"/>
          <w:cols w:equalWidth="0" w:num="1">
            <w:col w:w="11088"/>
          </w:cols>
          <w:pgMar w:left="572" w:top="118" w:right="239" w:bottom="1440" w:gutter="0" w:footer="0" w:header="0"/>
          <w:type w:val="continuous"/>
        </w:sectPr>
      </w:pPr>
    </w:p>
    <w:bookmarkStart w:id="26" w:name="page27"/>
    <w:bookmarkEnd w:id="26"/>
    <w:p>
      <w:pPr>
        <w:jc w:val="center"/>
        <w:ind w:right="-1079"/>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32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Critical Accounting Policies and Estimates</w:t>
      </w:r>
    </w:p>
    <w:p>
      <w:pPr>
        <w:spacing w:after="0" w:line="188" w:lineRule="exact"/>
        <w:rPr>
          <w:sz w:val="20"/>
          <w:szCs w:val="20"/>
          <w:color w:val="auto"/>
        </w:rPr>
      </w:pPr>
    </w:p>
    <w:p>
      <w:pPr>
        <w:jc w:val="both"/>
        <w:ind w:right="4860" w:firstLine="324"/>
        <w:spacing w:after="0" w:line="252" w:lineRule="auto"/>
        <w:rPr>
          <w:sz w:val="20"/>
          <w:szCs w:val="20"/>
          <w:color w:val="auto"/>
        </w:rPr>
      </w:pPr>
      <w:r>
        <w:rPr>
          <w:rFonts w:ascii="Arial" w:cs="Arial" w:eastAsia="Arial" w:hAnsi="Arial"/>
          <w:sz w:val="18"/>
          <w:szCs w:val="18"/>
          <w:color w:val="2C2C2C"/>
        </w:rPr>
        <w:t>During the six months ended June 30, 2019, there have been no significant changes to our critical accounting policies and estimates contained in our Annual Report on Form 10-K for the year ended December 31, 2018, as filed with the SEC, except for the adoption of the new lease standard (see Note 2 and Note 6 to the accompanying condensed consolidated financial statements).</w:t>
      </w: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2C2C2C"/>
        </w:rPr>
        <w:t>27</w:t>
      </w:r>
    </w:p>
    <w:p>
      <w:pPr>
        <w:sectPr>
          <w:pgSz w:w="11900" w:h="16838" w:orient="portrait"/>
          <w:cols w:equalWidth="0" w:num="1">
            <w:col w:w="10340"/>
          </w:cols>
          <w:pgMar w:left="240" w:top="118" w:right="13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60" w:type="dxa"/>
            <w:vAlign w:val="bottom"/>
            <w:shd w:val="clear" w:color="auto" w:fill="0094FF"/>
          </w:tcPr>
          <w:p>
            <w:pPr>
              <w:spacing w:after="0"/>
              <w:rPr>
                <w:sz w:val="22"/>
                <w:szCs w:val="22"/>
                <w:color w:val="auto"/>
              </w:rPr>
            </w:pPr>
          </w:p>
        </w:tc>
        <w:tc>
          <w:tcPr>
            <w:tcW w:w="180" w:type="dxa"/>
            <w:vAlign w:val="bottom"/>
            <w:shd w:val="clear" w:color="auto" w:fill="0094FF"/>
          </w:tcPr>
          <w:p>
            <w:pPr>
              <w:spacing w:after="0"/>
              <w:rPr>
                <w:sz w:val="22"/>
                <w:szCs w:val="22"/>
                <w:color w:val="auto"/>
              </w:rPr>
            </w:pPr>
          </w:p>
        </w:tc>
        <w:tc>
          <w:tcPr>
            <w:tcW w:w="700" w:type="dxa"/>
            <w:vAlign w:val="bottom"/>
            <w:tcBorders>
              <w:right w:val="single" w:sz="8" w:color="0094FF"/>
            </w:tcBorders>
            <w:shd w:val="clear" w:color="auto" w:fill="0094FF"/>
          </w:tcPr>
          <w:p>
            <w:pPr>
              <w:spacing w:after="0"/>
              <w:rPr>
                <w:sz w:val="22"/>
                <w:szCs w:val="22"/>
                <w:color w:val="auto"/>
              </w:rPr>
            </w:pPr>
          </w:p>
        </w:tc>
        <w:tc>
          <w:tcPr>
            <w:tcW w:w="3300" w:type="dxa"/>
            <w:vAlign w:val="bottom"/>
            <w:gridSpan w:val="7"/>
            <w:shd w:val="clear" w:color="auto" w:fill="0094FF"/>
          </w:tcPr>
          <w:p>
            <w:pPr>
              <w:jc w:val="right"/>
              <w:ind w:right="830"/>
              <w:spacing w:after="0"/>
              <w:rPr>
                <w:sz w:val="20"/>
                <w:szCs w:val="20"/>
                <w:color w:val="auto"/>
              </w:rPr>
            </w:pPr>
            <w:r>
              <w:rPr>
                <w:rFonts w:ascii="Arial" w:cs="Arial" w:eastAsia="Arial" w:hAnsi="Arial"/>
                <w:sz w:val="18"/>
                <w:szCs w:val="18"/>
                <w:color w:val="FFFFFF"/>
                <w:w w:val="97"/>
              </w:rPr>
              <w:t>Three Months Ended June 30,</w:t>
            </w:r>
          </w:p>
        </w:tc>
        <w:tc>
          <w:tcPr>
            <w:tcW w:w="200" w:type="dxa"/>
            <w:vAlign w:val="bottom"/>
            <w:shd w:val="clear" w:color="auto" w:fill="0094FF"/>
          </w:tcPr>
          <w:p>
            <w:pPr>
              <w:spacing w:after="0"/>
              <w:rPr>
                <w:sz w:val="22"/>
                <w:szCs w:val="22"/>
                <w:color w:val="auto"/>
              </w:rPr>
            </w:pPr>
          </w:p>
        </w:tc>
        <w:tc>
          <w:tcPr>
            <w:tcW w:w="700" w:type="dxa"/>
            <w:vAlign w:val="bottom"/>
            <w:shd w:val="clear" w:color="auto" w:fill="0094FF"/>
          </w:tcPr>
          <w:p>
            <w:pPr>
              <w:spacing w:after="0"/>
              <w:rPr>
                <w:sz w:val="22"/>
                <w:szCs w:val="22"/>
                <w:color w:val="auto"/>
              </w:rPr>
            </w:pPr>
          </w:p>
        </w:tc>
        <w:tc>
          <w:tcPr>
            <w:tcW w:w="3180" w:type="dxa"/>
            <w:vAlign w:val="bottom"/>
            <w:gridSpan w:val="7"/>
            <w:shd w:val="clear" w:color="auto" w:fill="0094FF"/>
          </w:tcPr>
          <w:p>
            <w:pPr>
              <w:jc w:val="right"/>
              <w:ind w:right="830"/>
              <w:spacing w:after="0"/>
              <w:rPr>
                <w:sz w:val="20"/>
                <w:szCs w:val="20"/>
                <w:color w:val="auto"/>
              </w:rPr>
            </w:pPr>
            <w:r>
              <w:rPr>
                <w:rFonts w:ascii="Arial" w:cs="Arial" w:eastAsia="Arial" w:hAnsi="Arial"/>
                <w:sz w:val="18"/>
                <w:szCs w:val="18"/>
                <w:color w:val="FFFFFF"/>
              </w:rPr>
              <w:t>Six Months Ended June 30,</w:t>
            </w:r>
          </w:p>
        </w:tc>
      </w:tr>
      <w:tr>
        <w:trPr>
          <w:trHeight w:val="284"/>
        </w:trPr>
        <w:tc>
          <w:tcPr>
            <w:tcW w:w="3160" w:type="dxa"/>
            <w:vAlign w:val="bottom"/>
            <w:shd w:val="clear" w:color="auto" w:fill="0094FF"/>
          </w:tcPr>
          <w:p>
            <w:pPr>
              <w:spacing w:after="0"/>
              <w:rPr>
                <w:sz w:val="24"/>
                <w:szCs w:val="24"/>
                <w:color w:val="auto"/>
              </w:rPr>
            </w:pPr>
          </w:p>
        </w:tc>
        <w:tc>
          <w:tcPr>
            <w:tcW w:w="180" w:type="dxa"/>
            <w:vAlign w:val="bottom"/>
            <w:shd w:val="clear" w:color="auto" w:fill="0094FF"/>
          </w:tcPr>
          <w:p>
            <w:pPr>
              <w:spacing w:after="0"/>
              <w:rPr>
                <w:sz w:val="24"/>
                <w:szCs w:val="24"/>
                <w:color w:val="auto"/>
              </w:rPr>
            </w:pPr>
          </w:p>
        </w:tc>
        <w:tc>
          <w:tcPr>
            <w:tcW w:w="700" w:type="dxa"/>
            <w:vAlign w:val="bottom"/>
            <w:tcBorders>
              <w:right w:val="single" w:sz="8" w:color="0094FF"/>
            </w:tcBorders>
            <w:shd w:val="clear" w:color="auto" w:fill="0094FF"/>
          </w:tcPr>
          <w:p>
            <w:pPr>
              <w:jc w:val="right"/>
              <w:ind w:right="15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4"/>
                <w:szCs w:val="24"/>
                <w:color w:val="auto"/>
              </w:rPr>
            </w:pPr>
          </w:p>
        </w:tc>
        <w:tc>
          <w:tcPr>
            <w:tcW w:w="180" w:type="dxa"/>
            <w:vAlign w:val="bottom"/>
            <w:shd w:val="clear" w:color="auto" w:fill="0094FF"/>
          </w:tcPr>
          <w:p>
            <w:pPr>
              <w:spacing w:after="0"/>
              <w:rPr>
                <w:sz w:val="24"/>
                <w:szCs w:val="24"/>
                <w:color w:val="auto"/>
              </w:rPr>
            </w:pPr>
          </w:p>
        </w:tc>
        <w:tc>
          <w:tcPr>
            <w:tcW w:w="720" w:type="dxa"/>
            <w:vAlign w:val="bottom"/>
            <w:shd w:val="clear" w:color="auto" w:fill="0094FF"/>
          </w:tcPr>
          <w:p>
            <w:pPr>
              <w:jc w:val="right"/>
              <w:ind w:right="170"/>
              <w:spacing w:after="0"/>
              <w:rPr>
                <w:sz w:val="20"/>
                <w:szCs w:val="20"/>
                <w:color w:val="auto"/>
              </w:rPr>
            </w:pPr>
            <w:r>
              <w:rPr>
                <w:rFonts w:ascii="Arial" w:cs="Arial" w:eastAsia="Arial" w:hAnsi="Arial"/>
                <w:sz w:val="18"/>
                <w:szCs w:val="18"/>
                <w:color w:val="FFFFFF"/>
              </w:rPr>
              <w:t>2018</w:t>
            </w:r>
          </w:p>
        </w:tc>
        <w:tc>
          <w:tcPr>
            <w:tcW w:w="10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780" w:type="dxa"/>
            <w:vAlign w:val="bottom"/>
            <w:shd w:val="clear" w:color="auto" w:fill="0094FF"/>
          </w:tcPr>
          <w:p>
            <w:pPr>
              <w:jc w:val="right"/>
              <w:ind w:right="50"/>
              <w:spacing w:after="0"/>
              <w:rPr>
                <w:sz w:val="20"/>
                <w:szCs w:val="20"/>
                <w:color w:val="auto"/>
              </w:rPr>
            </w:pPr>
            <w:r>
              <w:rPr>
                <w:rFonts w:ascii="Arial" w:cs="Arial" w:eastAsia="Arial" w:hAnsi="Arial"/>
                <w:sz w:val="18"/>
                <w:szCs w:val="18"/>
                <w:color w:val="FFFFFF"/>
                <w:w w:val="98"/>
              </w:rPr>
              <w:t>Change</w:t>
            </w:r>
          </w:p>
        </w:tc>
        <w:tc>
          <w:tcPr>
            <w:tcW w:w="126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 Change</w:t>
            </w:r>
          </w:p>
        </w:tc>
        <w:tc>
          <w:tcPr>
            <w:tcW w:w="200" w:type="dxa"/>
            <w:vAlign w:val="bottom"/>
            <w:shd w:val="clear" w:color="auto" w:fill="0094FF"/>
          </w:tcPr>
          <w:p>
            <w:pPr>
              <w:spacing w:after="0"/>
              <w:rPr>
                <w:sz w:val="24"/>
                <w:szCs w:val="24"/>
                <w:color w:val="auto"/>
              </w:rPr>
            </w:pPr>
          </w:p>
        </w:tc>
        <w:tc>
          <w:tcPr>
            <w:tcW w:w="70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4"/>
                <w:szCs w:val="24"/>
                <w:color w:val="auto"/>
              </w:rPr>
            </w:pPr>
          </w:p>
        </w:tc>
        <w:tc>
          <w:tcPr>
            <w:tcW w:w="180" w:type="dxa"/>
            <w:vAlign w:val="bottom"/>
            <w:shd w:val="clear" w:color="auto" w:fill="0094FF"/>
          </w:tcPr>
          <w:p>
            <w:pPr>
              <w:spacing w:after="0"/>
              <w:rPr>
                <w:sz w:val="24"/>
                <w:szCs w:val="24"/>
                <w:color w:val="auto"/>
              </w:rPr>
            </w:pPr>
          </w:p>
        </w:tc>
        <w:tc>
          <w:tcPr>
            <w:tcW w:w="720" w:type="dxa"/>
            <w:vAlign w:val="bottom"/>
            <w:shd w:val="clear" w:color="auto" w:fill="0094FF"/>
          </w:tcPr>
          <w:p>
            <w:pPr>
              <w:jc w:val="right"/>
              <w:ind w:right="170"/>
              <w:spacing w:after="0"/>
              <w:rPr>
                <w:sz w:val="20"/>
                <w:szCs w:val="20"/>
                <w:color w:val="auto"/>
              </w:rPr>
            </w:pPr>
            <w:r>
              <w:rPr>
                <w:rFonts w:ascii="Arial" w:cs="Arial" w:eastAsia="Arial" w:hAnsi="Arial"/>
                <w:sz w:val="18"/>
                <w:szCs w:val="18"/>
                <w:color w:val="FFFFFF"/>
              </w:rPr>
              <w:t>2018</w:t>
            </w:r>
          </w:p>
        </w:tc>
        <w:tc>
          <w:tcPr>
            <w:tcW w:w="10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780" w:type="dxa"/>
            <w:vAlign w:val="bottom"/>
            <w:shd w:val="clear" w:color="auto" w:fill="0094FF"/>
          </w:tcPr>
          <w:p>
            <w:pPr>
              <w:jc w:val="right"/>
              <w:ind w:right="50"/>
              <w:spacing w:after="0"/>
              <w:rPr>
                <w:sz w:val="20"/>
                <w:szCs w:val="20"/>
                <w:color w:val="auto"/>
              </w:rPr>
            </w:pPr>
            <w:r>
              <w:rPr>
                <w:rFonts w:ascii="Arial" w:cs="Arial" w:eastAsia="Arial" w:hAnsi="Arial"/>
                <w:sz w:val="18"/>
                <w:szCs w:val="18"/>
                <w:color w:val="FFFFFF"/>
                <w:w w:val="98"/>
              </w:rPr>
              <w:t>Change</w:t>
            </w:r>
          </w:p>
        </w:tc>
        <w:tc>
          <w:tcPr>
            <w:tcW w:w="1140" w:type="dxa"/>
            <w:vAlign w:val="bottom"/>
            <w:shd w:val="clear" w:color="auto" w:fill="0094FF"/>
          </w:tcPr>
          <w:p>
            <w:pPr>
              <w:jc w:val="right"/>
              <w:ind w:right="10"/>
              <w:spacing w:after="0"/>
              <w:rPr>
                <w:sz w:val="20"/>
                <w:szCs w:val="20"/>
                <w:color w:val="auto"/>
              </w:rPr>
            </w:pPr>
            <w:r>
              <w:rPr>
                <w:rFonts w:ascii="Arial" w:cs="Arial" w:eastAsia="Arial" w:hAnsi="Arial"/>
                <w:sz w:val="18"/>
                <w:szCs w:val="18"/>
                <w:color w:val="FFFFFF"/>
              </w:rPr>
              <w:t>% Change</w:t>
            </w: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Product sales net:</w:t>
            </w:r>
          </w:p>
        </w:tc>
        <w:tc>
          <w:tcPr>
            <w:tcW w:w="180" w:type="dxa"/>
            <w:vAlign w:val="bottom"/>
            <w:shd w:val="clear" w:color="auto" w:fill="E5E5E5"/>
          </w:tcPr>
          <w:p>
            <w:pPr>
              <w:spacing w:after="0"/>
              <w:rPr>
                <w:sz w:val="22"/>
                <w:szCs w:val="22"/>
                <w:color w:val="auto"/>
              </w:rPr>
            </w:pPr>
          </w:p>
        </w:tc>
        <w:tc>
          <w:tcPr>
            <w:tcW w:w="700" w:type="dxa"/>
            <w:vAlign w:val="bottom"/>
            <w:tcBorders>
              <w:right w:val="single" w:sz="8" w:color="E5E5E5"/>
            </w:tcBorders>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3160" w:type="dxa"/>
            <w:vAlign w:val="bottom"/>
          </w:tcPr>
          <w:p>
            <w:pPr>
              <w:ind w:left="280"/>
              <w:spacing w:after="0"/>
              <w:rPr>
                <w:sz w:val="20"/>
                <w:szCs w:val="20"/>
                <w:color w:val="auto"/>
              </w:rPr>
            </w:pPr>
            <w:r>
              <w:rPr>
                <w:rFonts w:ascii="Arial" w:cs="Arial" w:eastAsia="Arial" w:hAnsi="Arial"/>
                <w:sz w:val="18"/>
                <w:szCs w:val="18"/>
                <w:color w:val="auto"/>
              </w:rPr>
              <w:t>NARCAN Nasal Spray</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73.0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138.5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0"/>
        </w:trPr>
        <w:tc>
          <w:tcPr>
            <w:tcW w:w="3160" w:type="dxa"/>
            <w:vAlign w:val="bottom"/>
          </w:tcPr>
          <w:p>
            <w:pPr>
              <w:ind w:left="280"/>
              <w:spacing w:after="0"/>
              <w:rPr>
                <w:sz w:val="20"/>
                <w:szCs w:val="20"/>
                <w:color w:val="auto"/>
              </w:rPr>
            </w:pPr>
            <w:r>
              <w:rPr>
                <w:rFonts w:ascii="Arial" w:cs="Arial" w:eastAsia="Arial" w:hAnsi="Arial"/>
                <w:sz w:val="18"/>
                <w:szCs w:val="18"/>
                <w:color w:val="auto"/>
              </w:rPr>
              <w:t>ACAM2000</w:t>
            </w:r>
          </w:p>
        </w:tc>
        <w:tc>
          <w:tcPr>
            <w:tcW w:w="180" w:type="dxa"/>
            <w:vAlign w:val="bottom"/>
            <w:shd w:val="clear" w:color="auto" w:fill="E5E5E5"/>
          </w:tcPr>
          <w:p>
            <w:pPr>
              <w:spacing w:after="0"/>
              <w:rPr>
                <w:sz w:val="23"/>
                <w:szCs w:val="23"/>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3160" w:type="dxa"/>
            <w:vAlign w:val="bottom"/>
          </w:tcPr>
          <w:p>
            <w:pPr>
              <w:ind w:left="280"/>
              <w:spacing w:after="0"/>
              <w:rPr>
                <w:sz w:val="20"/>
                <w:szCs w:val="20"/>
                <w:color w:val="auto"/>
              </w:rPr>
            </w:pPr>
            <w:r>
              <w:rPr>
                <w:rFonts w:ascii="Arial" w:cs="Arial" w:eastAsia="Arial" w:hAnsi="Arial"/>
                <w:sz w:val="18"/>
                <w:szCs w:val="18"/>
                <w:color w:val="auto"/>
              </w:rPr>
              <w:t>BioThrax</w:t>
            </w:r>
          </w:p>
        </w:tc>
        <w:tc>
          <w:tcPr>
            <w:tcW w:w="180" w:type="dxa"/>
            <w:vAlign w:val="bottom"/>
            <w:shd w:val="clear" w:color="auto" w:fill="E5E5E5"/>
          </w:tcPr>
          <w:p>
            <w:pPr>
              <w:spacing w:after="0"/>
              <w:rPr>
                <w:sz w:val="23"/>
                <w:szCs w:val="23"/>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316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76.0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65 %</w:t>
            </w:r>
          </w:p>
        </w:tc>
        <w:tc>
          <w:tcPr>
            <w:tcW w:w="20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106.4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Total product sales, net</w:t>
            </w:r>
          </w:p>
        </w:tc>
        <w:tc>
          <w:tcPr>
            <w:tcW w:w="180" w:type="dxa"/>
            <w:vAlign w:val="bottom"/>
            <w:shd w:val="clear" w:color="auto" w:fill="E5E5E5"/>
          </w:tcPr>
          <w:p>
            <w:pPr>
              <w:spacing w:after="0"/>
              <w:rPr>
                <w:sz w:val="21"/>
                <w:szCs w:val="21"/>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183.5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2 %</w:t>
            </w:r>
          </w:p>
        </w:tc>
        <w:tc>
          <w:tcPr>
            <w:tcW w:w="20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80.7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rPr>
              <w:t>Contract manufacturing</w:t>
            </w:r>
          </w:p>
        </w:tc>
        <w:tc>
          <w:tcPr>
            <w:tcW w:w="180" w:type="dxa"/>
            <w:vAlign w:val="bottom"/>
            <w:shd w:val="clear" w:color="auto" w:fill="E5E5E5"/>
          </w:tcPr>
          <w:p>
            <w:pPr>
              <w:spacing w:after="0"/>
              <w:rPr>
                <w:sz w:val="23"/>
                <w:szCs w:val="23"/>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18.7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7"/>
        </w:trPr>
        <w:tc>
          <w:tcPr>
            <w:tcW w:w="316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41.0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62.8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E5E5E5"/>
          </w:tcPr>
          <w:p>
            <w:pPr>
              <w:spacing w:after="0"/>
              <w:rPr>
                <w:sz w:val="21"/>
                <w:szCs w:val="21"/>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243.2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567"/>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E5E5E5"/>
          </w:tcPr>
          <w:p>
            <w:pPr>
              <w:spacing w:after="0"/>
              <w:rPr>
                <w:sz w:val="24"/>
                <w:szCs w:val="24"/>
                <w:color w:val="auto"/>
              </w:rPr>
            </w:pPr>
          </w:p>
        </w:tc>
        <w:tc>
          <w:tcPr>
            <w:tcW w:w="700" w:type="dxa"/>
            <w:vAlign w:val="bottom"/>
            <w:tcBorders>
              <w:right w:val="single" w:sz="8" w:color="E5E5E5"/>
            </w:tcBorders>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2"/>
        </w:trPr>
        <w:tc>
          <w:tcPr>
            <w:tcW w:w="3160" w:type="dxa"/>
            <w:vAlign w:val="bottom"/>
          </w:tcPr>
          <w:p>
            <w:pPr>
              <w:ind w:left="280"/>
              <w:spacing w:after="0"/>
              <w:rPr>
                <w:sz w:val="20"/>
                <w:szCs w:val="20"/>
                <w:color w:val="auto"/>
              </w:rPr>
            </w:pPr>
            <w:r>
              <w:rPr>
                <w:rFonts w:ascii="Arial" w:cs="Arial" w:eastAsia="Arial" w:hAnsi="Arial"/>
                <w:sz w:val="18"/>
                <w:szCs w:val="18"/>
                <w:color w:val="auto"/>
              </w:rPr>
              <w:t>Cost of product sales and contract</w:t>
            </w:r>
          </w:p>
        </w:tc>
        <w:tc>
          <w:tcPr>
            <w:tcW w:w="180" w:type="dxa"/>
            <w:vAlign w:val="bottom"/>
            <w:shd w:val="clear" w:color="auto" w:fill="E5E5E5"/>
          </w:tcPr>
          <w:p>
            <w:pPr>
              <w:spacing w:after="0"/>
              <w:rPr>
                <w:sz w:val="21"/>
                <w:szCs w:val="21"/>
                <w:color w:val="auto"/>
              </w:rPr>
            </w:pPr>
          </w:p>
        </w:tc>
        <w:tc>
          <w:tcPr>
            <w:tcW w:w="700" w:type="dxa"/>
            <w:vAlign w:val="bottom"/>
            <w:tcBorders>
              <w:right w:val="single" w:sz="8" w:color="E5E5E5"/>
            </w:tcBorders>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7"/>
        </w:trPr>
        <w:tc>
          <w:tcPr>
            <w:tcW w:w="3160" w:type="dxa"/>
            <w:vAlign w:val="bottom"/>
          </w:tcPr>
          <w:p>
            <w:pPr>
              <w:ind w:left="280"/>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E5E5E5"/>
          </w:tcPr>
          <w:p>
            <w:pPr>
              <w:spacing w:after="0"/>
              <w:rPr>
                <w:sz w:val="18"/>
                <w:szCs w:val="18"/>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100.8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3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E5E5E5"/>
          </w:tcPr>
          <w:p>
            <w:pPr>
              <w:spacing w:after="0"/>
              <w:rPr>
                <w:sz w:val="23"/>
                <w:szCs w:val="23"/>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63.9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42"/>
        </w:trPr>
        <w:tc>
          <w:tcPr>
            <w:tcW w:w="3160" w:type="dxa"/>
            <w:vAlign w:val="bottom"/>
          </w:tcPr>
          <w:p>
            <w:pPr>
              <w:ind w:left="28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E5E5E5"/>
          </w:tcPr>
          <w:p>
            <w:pPr>
              <w:spacing w:after="0"/>
              <w:rPr>
                <w:sz w:val="21"/>
                <w:szCs w:val="21"/>
                <w:color w:val="auto"/>
              </w:rPr>
            </w:pPr>
          </w:p>
        </w:tc>
        <w:tc>
          <w:tcPr>
            <w:tcW w:w="700" w:type="dxa"/>
            <w:vAlign w:val="bottom"/>
            <w:tcBorders>
              <w:right w:val="single" w:sz="8" w:color="E5E5E5"/>
            </w:tcBorders>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7"/>
        </w:trPr>
        <w:tc>
          <w:tcPr>
            <w:tcW w:w="316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E5E5E5"/>
          </w:tcPr>
          <w:p>
            <w:pPr>
              <w:spacing w:after="0"/>
              <w:rPr>
                <w:sz w:val="18"/>
                <w:szCs w:val="18"/>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70.8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7"/>
        </w:trPr>
        <w:tc>
          <w:tcPr>
            <w:tcW w:w="316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14.7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29.2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E5E5E5"/>
          </w:tcPr>
          <w:p>
            <w:pPr>
              <w:spacing w:after="0"/>
              <w:rPr>
                <w:sz w:val="21"/>
                <w:szCs w:val="21"/>
                <w:color w:val="auto"/>
              </w:rPr>
            </w:pPr>
          </w:p>
        </w:tc>
        <w:tc>
          <w:tcPr>
            <w:tcW w:w="700" w:type="dxa"/>
            <w:vAlign w:val="bottom"/>
            <w:tcBorders>
              <w:righ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1B51BF"/>
              </w:rPr>
              <w:t>250.2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187.6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567"/>
        </w:trPr>
        <w:tc>
          <w:tcPr>
            <w:tcW w:w="31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E5E5E5"/>
          </w:tcPr>
          <w:p>
            <w:pPr>
              <w:spacing w:after="0"/>
              <w:rPr>
                <w:sz w:val="24"/>
                <w:szCs w:val="24"/>
                <w:color w:val="auto"/>
              </w:rPr>
            </w:pPr>
          </w:p>
        </w:tc>
        <w:tc>
          <w:tcPr>
            <w:tcW w:w="70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(7.0)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567"/>
        </w:trPr>
        <w:tc>
          <w:tcPr>
            <w:tcW w:w="3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24"/>
                <w:szCs w:val="24"/>
                <w:color w:val="auto"/>
              </w:rPr>
            </w:pPr>
          </w:p>
        </w:tc>
        <w:tc>
          <w:tcPr>
            <w:tcW w:w="700" w:type="dxa"/>
            <w:vAlign w:val="bottom"/>
            <w:tcBorders>
              <w:right w:val="single" w:sz="8" w:color="E5E5E5"/>
            </w:tcBorders>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3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E5E5E5"/>
          </w:tcPr>
          <w:p>
            <w:pPr>
              <w:spacing w:after="0"/>
              <w:rPr>
                <w:sz w:val="24"/>
                <w:szCs w:val="24"/>
                <w:color w:val="auto"/>
              </w:rPr>
            </w:pPr>
          </w:p>
        </w:tc>
        <w:tc>
          <w:tcPr>
            <w:tcW w:w="70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64"/>
        </w:trPr>
        <w:tc>
          <w:tcPr>
            <w:tcW w:w="316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1B51BF"/>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1B51BF"/>
              </w:rPr>
              <w:t>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50"/>
        </w:trPr>
        <w:tc>
          <w:tcPr>
            <w:tcW w:w="316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B51BF"/>
              </w:rPr>
              <w:t>(8.1)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B51BF"/>
              </w:rPr>
              <w:t>(18.6)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574"/>
        </w:trPr>
        <w:tc>
          <w:tcPr>
            <w:tcW w:w="31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E5E5E5"/>
          </w:tcPr>
          <w:p>
            <w:pPr>
              <w:spacing w:after="0"/>
              <w:rPr>
                <w:sz w:val="24"/>
                <w:szCs w:val="24"/>
                <w:color w:val="auto"/>
              </w:rPr>
            </w:pPr>
          </w:p>
        </w:tc>
        <w:tc>
          <w:tcPr>
            <w:tcW w:w="70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1B51BF"/>
              </w:rPr>
              <w:t>(15.1)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64"/>
        </w:trPr>
        <w:tc>
          <w:tcPr>
            <w:tcW w:w="3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(5.6)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(17.4)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700" w:type="dxa"/>
            <w:vAlign w:val="bottom"/>
          </w:tcPr>
          <w:p>
            <w:pPr>
              <w:jc w:val="right"/>
              <w:spacing w:after="0"/>
              <w:rPr>
                <w:sz w:val="20"/>
                <w:szCs w:val="20"/>
                <w:color w:val="auto"/>
              </w:rPr>
            </w:pPr>
            <w:r>
              <w:rPr>
                <w:rFonts w:ascii="Arial" w:cs="Arial" w:eastAsia="Arial" w:hAnsi="Arial"/>
                <w:sz w:val="18"/>
                <w:szCs w:val="18"/>
                <w:color w:val="1B51BF"/>
              </w:rPr>
              <w:t>(9.5)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20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700" w:type="dxa"/>
            <w:vAlign w:val="bottom"/>
          </w:tcPr>
          <w:p>
            <w:pPr>
              <w:jc w:val="right"/>
              <w:spacing w:after="0"/>
              <w:rPr>
                <w:sz w:val="20"/>
                <w:szCs w:val="20"/>
                <w:color w:val="auto"/>
              </w:rPr>
            </w:pPr>
            <w:r>
              <w:rPr>
                <w:rFonts w:ascii="Arial" w:cs="Arial" w:eastAsia="Arial" w:hAnsi="Arial"/>
                <w:sz w:val="18"/>
                <w:szCs w:val="18"/>
                <w:color w:val="1B51BF"/>
              </w:rPr>
              <w:t>(35.6)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-1242695</wp:posOffset>
            </wp:positionV>
            <wp:extent cx="56578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51435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-1242695</wp:posOffset>
            </wp:positionV>
            <wp:extent cx="57467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75" cy="51435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-539750</wp:posOffset>
            </wp:positionV>
            <wp:extent cx="3232785" cy="523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2785" cy="523240"/>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NM - Not meaningful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28</w:t>
      </w:r>
    </w:p>
    <w:p>
      <w:pPr>
        <w:sectPr>
          <w:pgSz w:w="11900" w:h="16838" w:orient="portrait"/>
          <w:cols w:equalWidth="0" w:num="1">
            <w:col w:w="11420"/>
          </w:cols>
          <w:pgMar w:left="240" w:top="11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32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201" w:lineRule="exact"/>
        <w:rPr>
          <w:sz w:val="20"/>
          <w:szCs w:val="20"/>
          <w:color w:val="auto"/>
        </w:rPr>
      </w:pPr>
    </w:p>
    <w:p>
      <w:pPr>
        <w:ind w:left="340"/>
        <w:spacing w:after="0"/>
        <w:tabs>
          <w:tab w:leader="none" w:pos="6240" w:val="left"/>
        </w:tabs>
        <w:rPr>
          <w:sz w:val="20"/>
          <w:szCs w:val="20"/>
          <w:color w:val="auto"/>
        </w:rPr>
      </w:pPr>
      <w:r>
        <w:rPr>
          <w:rFonts w:ascii="Arial" w:cs="Arial" w:eastAsia="Arial" w:hAnsi="Arial"/>
          <w:sz w:val="18"/>
          <w:szCs w:val="18"/>
          <w:b w:val="1"/>
          <w:bCs w:val="1"/>
          <w:color w:val="0094FF"/>
        </w:rPr>
        <w:t>Product Sales, net</w:t>
      </w:r>
      <w:r>
        <w:rPr>
          <w:sz w:val="20"/>
          <w:szCs w:val="20"/>
          <w:color w:val="auto"/>
        </w:rPr>
        <w:tab/>
      </w:r>
      <w:r>
        <w:rPr>
          <w:rFonts w:ascii="Arial" w:cs="Arial" w:eastAsia="Arial" w:hAnsi="Arial"/>
          <w:sz w:val="17"/>
          <w:szCs w:val="17"/>
          <w:b w:val="1"/>
          <w:bCs w:val="1"/>
          <w:color w:val="0094FF"/>
        </w:rPr>
        <w:t>BioThrax</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220" w:type="dxa"/>
            <w:vAlign w:val="bottom"/>
            <w:shd w:val="clear" w:color="auto" w:fill="006EBF"/>
          </w:tcPr>
          <w:p>
            <w:pPr>
              <w:spacing w:after="0"/>
              <w:rPr>
                <w:sz w:val="23"/>
                <w:szCs w:val="23"/>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NARCAN Nasal Spray</w:t>
            </w:r>
          </w:p>
        </w:tc>
        <w:tc>
          <w:tcPr>
            <w:tcW w:w="260" w:type="dxa"/>
            <w:vAlign w:val="bottom"/>
            <w:shd w:val="clear" w:color="auto" w:fill="ABCDE5"/>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Other Product Sales</w:t>
            </w:r>
          </w:p>
        </w:tc>
      </w:tr>
      <w:tr>
        <w:trPr>
          <w:trHeight w:val="270"/>
        </w:trPr>
        <w:tc>
          <w:tcPr>
            <w:tcW w:w="220" w:type="dxa"/>
            <w:vAlign w:val="bottom"/>
            <w:shd w:val="clear" w:color="auto" w:fill="0094FF"/>
          </w:tcPr>
          <w:p>
            <w:pPr>
              <w:spacing w:after="0"/>
              <w:rPr>
                <w:sz w:val="23"/>
                <w:szCs w:val="23"/>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ACAM2000</w:t>
            </w:r>
          </w:p>
        </w:tc>
        <w:tc>
          <w:tcPr>
            <w:tcW w:w="260" w:type="dxa"/>
            <w:vAlign w:val="bottom"/>
            <w:shd w:val="clear" w:color="auto" w:fill="A0A0A0"/>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w w:val="99"/>
              </w:rPr>
              <w:t>Contract Manufacturing</w:t>
            </w:r>
          </w:p>
        </w:tc>
      </w:tr>
      <w:tr>
        <w:trPr>
          <w:trHeight w:val="270"/>
        </w:trPr>
        <w:tc>
          <w:tcPr>
            <w:tcW w:w="220" w:type="dxa"/>
            <w:vAlign w:val="bottom"/>
            <w:shd w:val="clear" w:color="auto" w:fill="BFE4FF"/>
          </w:tcPr>
          <w:p>
            <w:pPr>
              <w:spacing w:after="0"/>
              <w:rPr>
                <w:sz w:val="23"/>
                <w:szCs w:val="23"/>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BioThrax</w:t>
            </w:r>
          </w:p>
        </w:tc>
        <w:tc>
          <w:tcPr>
            <w:tcW w:w="260" w:type="dxa"/>
            <w:vAlign w:val="bottom"/>
            <w:shd w:val="clear" w:color="auto" w:fill="656565"/>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Contracts and Grants</w:t>
            </w:r>
          </w:p>
        </w:tc>
      </w:tr>
      <w:tr>
        <w:trPr>
          <w:trHeight w:val="378"/>
        </w:trPr>
        <w:tc>
          <w:tcPr>
            <w:tcW w:w="2480" w:type="dxa"/>
            <w:vAlign w:val="bottom"/>
            <w:gridSpan w:val="2"/>
          </w:tcPr>
          <w:p>
            <w:pPr>
              <w:ind w:left="220"/>
              <w:spacing w:after="0"/>
              <w:rPr>
                <w:sz w:val="20"/>
                <w:szCs w:val="20"/>
                <w:color w:val="auto"/>
              </w:rPr>
            </w:pPr>
            <w:r>
              <w:rPr>
                <w:rFonts w:ascii="Arial" w:cs="Arial" w:eastAsia="Arial" w:hAnsi="Arial"/>
                <w:sz w:val="18"/>
                <w:szCs w:val="18"/>
                <w:b w:val="1"/>
                <w:bCs w:val="1"/>
                <w:color w:val="0094FF"/>
              </w:rPr>
              <w:t>NARCAN Nasal Spray</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-4270375</wp:posOffset>
            </wp:positionV>
            <wp:extent cx="2581275" cy="3327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81275" cy="3327400"/>
                    </a:xfrm>
                    <a:prstGeom prst="rect">
                      <a:avLst/>
                    </a:prstGeom>
                    <a:noFill/>
                  </pic:spPr>
                </pic:pic>
              </a:graphicData>
            </a:graphic>
          </wp:anchor>
        </w:drawing>
      </w:r>
    </w:p>
    <w:p>
      <w:pPr>
        <w:spacing w:after="0" w:line="11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2C2C2C"/>
        </w:rPr>
        <w:t>NARCAN Nasal Spray was acquired in October 2018 in connection with the Company's acquisition of Adapt resulting in an increase in product sales in the current quarter and year-to-date periods.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ACAM2000</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The decrease in ACAM2000 sales for the three and six months ended June 30, 2019 was primarily due to the volume of ACAM2000 delivered to the SNS during the three and six months ended June 30, 2019 as compared to the three and six months ended June 30, 2018. Substantially all of the ACAM2000 product sales revenues during the six months ended June 30, 2019 and 2018 were made to the USG under a long-term procurement contract at a consistent value per dose. Delivery obligations under this long-term procurement contract were fully satisfied during the quarter ended March 31, 2019.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The decrease in BioThrax sales for the three and six months ended June 30, 2019 was primarily due to the number of BioThrax deliveries to the SNS during the period as compared to the three and six months ended June 30, 2018. The USG purchased fewer units of BioThrax during the three and six months ended June 30, 2019 partially in anticipation of the transition to the Company's next generation anthrax vaccine, AV7909, which we expect to begin delivering to the SNS in the second half of 2019. The decrease in units delivered was slightly offset by contractual per unit pricing increases. Substantially all of the BioThrax product sales revenues are made to the USG under a long-term procurement contract. The fluctuations in BioThrax revenue are largely related to changes in volume depending on when the USG requests delivery. The USG delivery schedule varies based on funding and management of the SNS inventory.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Other Product Sales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The increase in the Company's other product sales during the three and six months ended June 30, 2019 was primarily due to the contribution of products associated with the PaxVax acquisition as well as increased sales of raxibacumab, which was partially offset by a decrease in Trobigard sales compared to the three and six months ended June 30, 2018.</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Contract Manufacturing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decrease in contract manufacturing revenue for the three and six months ended June 30, 2019 compared to comparative periods in 2018 is due to Canton contract manufacturing activities in 2018 that did not recur in 2019. The six months ended June 30, 2019 was further impacted by a contract to perform design, construction and validation of manufacturing capability for a third party at our Lansing, Michigan site during the first quarter of 2018 for which no similar services were provided during the six months ended June 30, 2019.</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Contracts and Grants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increase in contracts and grants revenue for the three and six months ended June 30, 2019 primarily reflects research and development activities related to development funding for AV7909 for clinical trial activities and manufacturing. These increases were partially offset by a reduction in development funding for ACAM2000 for stability testing which were recorded during the three and six months ended June 30, 2018 for which no similar services were provided in current period.</w:t>
      </w:r>
    </w:p>
    <w:p>
      <w:pPr>
        <w:spacing w:after="0" w:line="602" w:lineRule="exact"/>
        <w:rPr>
          <w:sz w:val="20"/>
          <w:szCs w:val="20"/>
          <w:color w:val="auto"/>
        </w:rPr>
      </w:pPr>
    </w:p>
    <w:p>
      <w:pPr>
        <w:sectPr>
          <w:pgSz w:w="11900" w:h="16838" w:orient="portrait"/>
          <w:cols w:equalWidth="0" w:num="2">
            <w:col w:w="5480" w:space="460"/>
            <w:col w:w="5480"/>
          </w:cols>
          <w:pgMar w:left="240" w:top="118" w:right="2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29</w:t>
      </w:r>
    </w:p>
    <w:p>
      <w:pPr>
        <w:sectPr>
          <w:pgSz w:w="11900" w:h="16838" w:orient="portrait"/>
          <w:cols w:equalWidth="0" w:num="1">
            <w:col w:w="11420"/>
          </w:cols>
          <w:pgMar w:left="240" w:top="118"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32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223" w:lineRule="exact"/>
        <w:rPr>
          <w:sz w:val="20"/>
          <w:szCs w:val="20"/>
          <w:color w:val="auto"/>
        </w:rPr>
      </w:pPr>
    </w:p>
    <w:p>
      <w:pPr>
        <w:ind w:left="340"/>
        <w:spacing w:after="0"/>
        <w:tabs>
          <w:tab w:leader="none" w:pos="6240" w:val="left"/>
        </w:tabs>
        <w:rPr>
          <w:sz w:val="20"/>
          <w:szCs w:val="20"/>
          <w:color w:val="auto"/>
        </w:rPr>
      </w:pPr>
      <w:r>
        <w:rPr>
          <w:rFonts w:ascii="Arial" w:cs="Arial" w:eastAsia="Arial" w:hAnsi="Arial"/>
          <w:sz w:val="18"/>
          <w:szCs w:val="18"/>
          <w:color w:val="0094FF"/>
        </w:rPr>
        <w:t>Cost of Product Sales and Contract Manufacturing</w:t>
      </w:r>
      <w:r>
        <w:rPr>
          <w:sz w:val="20"/>
          <w:szCs w:val="20"/>
          <w:color w:val="auto"/>
        </w:rPr>
        <w:tab/>
      </w:r>
      <w:r>
        <w:rPr>
          <w:rFonts w:ascii="Arial" w:cs="Arial" w:eastAsia="Arial" w:hAnsi="Arial"/>
          <w:sz w:val="17"/>
          <w:szCs w:val="17"/>
          <w:color w:val="0094FF"/>
        </w:rPr>
        <w:t>Research and Development Expenses (Gross and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6350</wp:posOffset>
            </wp:positionV>
            <wp:extent cx="5960110" cy="2675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0110" cy="2675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214630"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630" cy="171450"/>
                    </a:xfrm>
                    <a:prstGeom prst="rect">
                      <a:avLst/>
                    </a:prstGeom>
                    <a:noFill/>
                    <a:ln>
                      <a:noFill/>
                    </a:ln>
                  </pic:spPr>
                </pic:pic>
              </a:graphicData>
            </a:graphic>
          </wp:inline>
        </w:drawing>
      </w:r>
      <w:r>
        <w:rPr>
          <w:rFonts w:ascii="Arial" w:cs="Arial" w:eastAsia="Arial" w:hAnsi="Arial"/>
          <w:sz w:val="18"/>
          <w:szCs w:val="18"/>
          <w:color w:val="auto"/>
        </w:rPr>
        <w:t xml:space="preserve"> Cost of Product Sales and Contract Manufacturing</w:t>
      </w:r>
    </w:p>
    <w:p>
      <w:pPr>
        <w:spacing w:after="0" w:line="26" w:lineRule="exact"/>
        <w:rPr>
          <w:sz w:val="20"/>
          <w:szCs w:val="20"/>
          <w:color w:val="auto"/>
        </w:rPr>
      </w:pPr>
    </w:p>
    <w:p>
      <w:pPr>
        <w:ind w:left="380" w:right="1160" w:hanging="224"/>
        <w:spacing w:after="0" w:line="186" w:lineRule="auto"/>
        <w:tabs>
          <w:tab w:leader="none" w:pos="380" w:val="left"/>
        </w:tabs>
        <w:numPr>
          <w:ilvl w:val="0"/>
          <w:numId w:val="25"/>
        </w:numPr>
        <w:rPr>
          <w:rFonts w:ascii="Arial" w:cs="Arial" w:eastAsia="Arial" w:hAnsi="Arial"/>
          <w:sz w:val="31"/>
          <w:szCs w:val="31"/>
          <w:color w:val="auto"/>
          <w:vertAlign w:val="subscript"/>
        </w:rPr>
      </w:pPr>
      <w:r>
        <w:rPr>
          <w:rFonts w:ascii="Arial" w:cs="Arial" w:eastAsia="Arial" w:hAnsi="Arial"/>
          <w:sz w:val="16"/>
          <w:szCs w:val="16"/>
          <w:color w:val="auto"/>
        </w:rPr>
        <w:t>Gross profit margin for product sales and contract manufacturing</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Cost of product sales and contract manufacturing increased for the three and six months ended June 30, 2019 primarily due to the acquisitions of Adapt and PaxVax, both acquired in October 2018, as well as an increase in facilities related expenses during the three and six months ended June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sz w:val="1"/>
          <w:szCs w:val="1"/>
          <w:color w:val="auto"/>
        </w:rPr>
        <w:drawing>
          <wp:inline distT="0" distB="0" distL="0" distR="0">
            <wp:extent cx="188595" cy="1714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171450"/>
                    </a:xfrm>
                    <a:prstGeom prst="rect">
                      <a:avLst/>
                    </a:prstGeom>
                    <a:noFill/>
                    <a:ln>
                      <a:noFill/>
                    </a:ln>
                  </pic:spPr>
                </pic:pic>
              </a:graphicData>
            </a:graphic>
          </wp:inline>
        </w:drawing>
      </w:r>
      <w:r>
        <w:rPr>
          <w:rFonts w:ascii="Arial" w:cs="Arial" w:eastAsia="Arial" w:hAnsi="Arial"/>
          <w:sz w:val="18"/>
          <w:szCs w:val="18"/>
          <w:color w:val="auto"/>
        </w:rPr>
        <w:t xml:space="preserve"> Research and Development expense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net of contracts</w:t>
      </w:r>
    </w:p>
    <w:p>
      <w:pPr>
        <w:spacing w:after="0" w:line="11" w:lineRule="exact"/>
        <w:rPr>
          <w:sz w:val="20"/>
          <w:szCs w:val="20"/>
          <w:color w:val="auto"/>
        </w:rPr>
      </w:pPr>
    </w:p>
    <w:p>
      <w:pPr>
        <w:ind w:left="660" w:hanging="21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 grants revenue</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 xml:space="preserve">Research and development expenses increased the three and six months ended June 30, 2019 primarily due to the acquisitions of Adapt and PaxVax, both acquired in October 2018. Increases also resulted from the </w:t>
      </w:r>
      <w:r>
        <w:rPr>
          <w:rFonts w:ascii="Arial" w:cs="Arial" w:eastAsia="Arial" w:hAnsi="Arial"/>
          <w:sz w:val="18"/>
          <w:szCs w:val="18"/>
          <w:b w:val="1"/>
          <w:bCs w:val="1"/>
          <w:color w:val="2C2C2C"/>
        </w:rPr>
        <w:t>timing of manufacturing development activities</w:t>
      </w:r>
      <w:r>
        <w:rPr>
          <w:rFonts w:ascii="Arial" w:cs="Arial" w:eastAsia="Arial" w:hAnsi="Arial"/>
          <w:sz w:val="18"/>
          <w:szCs w:val="18"/>
          <w:color w:val="2C2C2C"/>
        </w:rPr>
        <w:t xml:space="preserve"> </w:t>
      </w:r>
      <w:r>
        <w:rPr>
          <w:rFonts w:ascii="Arial" w:cs="Arial" w:eastAsia="Arial" w:hAnsi="Arial"/>
          <w:sz w:val="18"/>
          <w:szCs w:val="18"/>
          <w:b w:val="1"/>
          <w:bCs w:val="1"/>
          <w:color w:val="2C2C2C"/>
        </w:rPr>
        <w:t xml:space="preserve">for our AV7909 product candidate. These increases were offset </w:t>
      </w:r>
      <w:r>
        <w:rPr>
          <w:rFonts w:ascii="Arial" w:cs="Arial" w:eastAsia="Arial" w:hAnsi="Arial"/>
          <w:sz w:val="18"/>
          <w:szCs w:val="18"/>
          <w:color w:val="2C2C2C"/>
        </w:rPr>
        <w:t>by decreases in technology transfer expenses for raxibacumab.</w:t>
      </w:r>
    </w:p>
    <w:p>
      <w:pPr>
        <w:spacing w:after="0" w:line="311" w:lineRule="exact"/>
        <w:rPr>
          <w:sz w:val="20"/>
          <w:szCs w:val="20"/>
          <w:color w:val="auto"/>
        </w:rPr>
      </w:pPr>
    </w:p>
    <w:p>
      <w:pPr>
        <w:sectPr>
          <w:pgSz w:w="11900" w:h="16838" w:orient="portrait"/>
          <w:cols w:equalWidth="0" w:num="2">
            <w:col w:w="5480" w:space="460"/>
            <w:col w:w="5480"/>
          </w:cols>
          <w:pgMar w:left="240" w:top="118" w:right="2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30</w:t>
      </w:r>
    </w:p>
    <w:p>
      <w:pPr>
        <w:sectPr>
          <w:pgSz w:w="11900" w:h="16838" w:orient="portrait"/>
          <w:cols w:equalWidth="0" w:num="1">
            <w:col w:w="11420"/>
          </w:cols>
          <w:pgMar w:left="240" w:top="118" w:right="23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340" w:right="34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223" w:lineRule="exact"/>
        <w:rPr>
          <w:sz w:val="20"/>
          <w:szCs w:val="20"/>
          <w:color w:val="auto"/>
        </w:rPr>
      </w:pPr>
    </w:p>
    <w:p>
      <w:pPr>
        <w:ind w:left="340"/>
        <w:spacing w:after="0"/>
        <w:tabs>
          <w:tab w:leader="none" w:pos="5920" w:val="left"/>
        </w:tabs>
        <w:rPr>
          <w:sz w:val="20"/>
          <w:szCs w:val="20"/>
          <w:color w:val="auto"/>
        </w:rPr>
      </w:pPr>
      <w:r>
        <w:rPr>
          <w:rFonts w:ascii="Arial" w:cs="Arial" w:eastAsia="Arial" w:hAnsi="Arial"/>
          <w:sz w:val="18"/>
          <w:szCs w:val="18"/>
          <w:color w:val="0094FF"/>
        </w:rPr>
        <w:t>Selling, General and Administrative Expenses</w:t>
      </w:r>
      <w:r>
        <w:rPr>
          <w:sz w:val="20"/>
          <w:szCs w:val="20"/>
          <w:color w:val="auto"/>
        </w:rPr>
        <w:tab/>
      </w:r>
      <w:r>
        <w:rPr>
          <w:rFonts w:ascii="Arial" w:cs="Arial" w:eastAsia="Arial" w:hAnsi="Arial"/>
          <w:sz w:val="17"/>
          <w:szCs w:val="17"/>
          <w:color w:val="2C2C2C"/>
        </w:rPr>
        <w:t>to 2018 was primarily due to the acquisitions of Adapt and PaxVax.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109220</wp:posOffset>
            </wp:positionV>
            <wp:extent cx="2555875" cy="257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260"/>
        <w:spacing w:after="0"/>
        <w:rPr>
          <w:sz w:val="20"/>
          <w:szCs w:val="20"/>
          <w:color w:val="auto"/>
        </w:rPr>
      </w:pPr>
      <w:r>
        <w:rPr>
          <w:rFonts w:ascii="Arial" w:cs="Arial" w:eastAsia="Arial" w:hAnsi="Arial"/>
          <w:sz w:val="18"/>
          <w:szCs w:val="18"/>
          <w:color w:val="0094FF"/>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109220</wp:posOffset>
            </wp:positionV>
            <wp:extent cx="2555875" cy="257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0"/>
        <w:spacing w:after="0"/>
        <w:rPr>
          <w:sz w:val="20"/>
          <w:szCs w:val="20"/>
          <w:color w:val="auto"/>
        </w:rPr>
      </w:pPr>
      <w:r>
        <w:rPr>
          <w:sz w:val="1"/>
          <w:szCs w:val="1"/>
          <w:color w:val="auto"/>
        </w:rPr>
        <w:drawing>
          <wp:inline distT="0" distB="0" distL="0" distR="0">
            <wp:extent cx="21463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171450"/>
                    </a:xfrm>
                    <a:prstGeom prst="rect">
                      <a:avLst/>
                    </a:prstGeom>
                    <a:noFill/>
                    <a:ln>
                      <a:noFill/>
                    </a:ln>
                  </pic:spPr>
                </pic:pic>
              </a:graphicData>
            </a:graphic>
          </wp:inline>
        </w:drawing>
      </w:r>
      <w:r>
        <w:rPr>
          <w:rFonts w:ascii="Arial" w:cs="Arial" w:eastAsia="Arial" w:hAnsi="Arial"/>
          <w:sz w:val="18"/>
          <w:szCs w:val="18"/>
          <w:color w:val="auto"/>
        </w:rPr>
        <w:t xml:space="preserve"> Selling, General and Administrative</w:t>
      </w:r>
    </w:p>
    <w:p>
      <w:pPr>
        <w:spacing w:after="0" w:line="40" w:lineRule="exact"/>
        <w:rPr>
          <w:sz w:val="20"/>
          <w:szCs w:val="20"/>
          <w:color w:val="auto"/>
        </w:rPr>
      </w:pPr>
    </w:p>
    <w:p>
      <w:pPr>
        <w:ind w:left="920" w:hanging="231"/>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SG&amp;A as a percentage of total revenue</w:t>
      </w:r>
    </w:p>
    <w:p>
      <w:pPr>
        <w:sectPr>
          <w:pgSz w:w="11900" w:h="16838" w:orient="portrait"/>
          <w:cols w:equalWidth="0" w:num="1">
            <w:col w:w="11420"/>
          </w:cols>
          <w:pgMar w:left="240" w:top="118" w:right="239" w:bottom="1440" w:gutter="0" w:footer="0" w:header="0"/>
        </w:sectPr>
      </w:pPr>
    </w:p>
    <w:p>
      <w:pPr>
        <w:spacing w:after="0" w:line="1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C2C2C"/>
        </w:rPr>
        <w:t>Selling, general and administrative expenses increased for th</w:t>
      </w:r>
      <w:r>
        <w:rPr>
          <w:rFonts w:ascii="Arial" w:cs="Arial" w:eastAsia="Arial" w:hAnsi="Arial"/>
          <w:sz w:val="18"/>
          <w:szCs w:val="18"/>
          <w:b w:val="1"/>
          <w:bCs w:val="1"/>
          <w:color w:val="2C2C2C"/>
        </w:rPr>
        <w:t>e</w:t>
      </w:r>
      <w:r>
        <w:rPr>
          <w:rFonts w:ascii="Arial" w:cs="Arial" w:eastAsia="Arial" w:hAnsi="Arial"/>
          <w:sz w:val="18"/>
          <w:szCs w:val="18"/>
          <w:color w:val="2C2C2C"/>
        </w:rPr>
        <w:t xml:space="preserve"> three and six months ended June 30, 2019 primarily due to $ 21.5 million and $42.0 million in expenses related to the operations and integration of newly acquired entities during the three and six months ended June 30, 2019, respectively. The newly acquired entities were both acquired in October 2018. The remaining increase is due to an increase in professional services to support our strategic growth initiatives.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Amortization of intangible Assets</w:t>
      </w:r>
    </w:p>
    <w:p>
      <w:pPr>
        <w:spacing w:after="0" w:line="19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2C2C2C"/>
        </w:rPr>
        <w:t>The increase in amortization of intangible assets for the three and six months ended June 30, 2019 compared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20"/>
        <w:spacing w:after="0"/>
        <w:rPr>
          <w:sz w:val="20"/>
          <w:szCs w:val="20"/>
          <w:color w:val="auto"/>
        </w:rPr>
      </w:pPr>
      <w:r>
        <w:rPr>
          <w:sz w:val="1"/>
          <w:szCs w:val="1"/>
          <w:color w:val="auto"/>
        </w:rPr>
        <w:drawing>
          <wp:inline distT="0" distB="0" distL="0" distR="0">
            <wp:extent cx="205740"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171450"/>
                    </a:xfrm>
                    <a:prstGeom prst="rect">
                      <a:avLst/>
                    </a:prstGeom>
                    <a:noFill/>
                    <a:ln>
                      <a:noFill/>
                    </a:ln>
                  </pic:spPr>
                </pic:pic>
              </a:graphicData>
            </a:graphic>
          </wp:inline>
        </w:drawing>
      </w:r>
      <w:r>
        <w:rPr>
          <w:rFonts w:ascii="Arial" w:cs="Arial" w:eastAsia="Arial" w:hAnsi="Arial"/>
          <w:sz w:val="18"/>
          <w:szCs w:val="18"/>
          <w:color w:val="auto"/>
        </w:rPr>
        <w:t xml:space="preserve"> Interest expense</w:t>
      </w:r>
    </w:p>
    <w:p>
      <w:pPr>
        <w:ind w:left="420"/>
        <w:spacing w:after="0"/>
        <w:rPr>
          <w:sz w:val="20"/>
          <w:szCs w:val="20"/>
          <w:color w:val="auto"/>
        </w:rPr>
      </w:pPr>
      <w:r>
        <w:rPr>
          <w:sz w:val="1"/>
          <w:szCs w:val="1"/>
          <w:color w:val="auto"/>
        </w:rPr>
        <w:drawing>
          <wp:inline distT="0" distB="0" distL="0" distR="0">
            <wp:extent cx="205740" cy="1428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142875"/>
                    </a:xfrm>
                    <a:prstGeom prst="rect">
                      <a:avLst/>
                    </a:prstGeom>
                    <a:noFill/>
                    <a:ln>
                      <a:noFill/>
                    </a:ln>
                  </pic:spPr>
                </pic:pic>
              </a:graphicData>
            </a:graphic>
          </wp:inline>
        </w:drawing>
      </w:r>
      <w:r>
        <w:rPr>
          <w:rFonts w:ascii="Arial" w:cs="Arial" w:eastAsia="Arial" w:hAnsi="Arial"/>
          <w:sz w:val="18"/>
          <w:szCs w:val="18"/>
          <w:color w:val="auto"/>
        </w:rPr>
        <w:t xml:space="preserve"> Other income (expense)</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 xml:space="preserve">Total other expense, net increased by $7.1 million and $17.7 million for the three and six months ended June 30, 2019 due to an increase in </w:t>
      </w:r>
      <w:r>
        <w:rPr>
          <w:rFonts w:ascii="Arial" w:cs="Arial" w:eastAsia="Arial" w:hAnsi="Arial"/>
          <w:sz w:val="18"/>
          <w:szCs w:val="18"/>
          <w:b w:val="1"/>
          <w:bCs w:val="1"/>
          <w:color w:val="2C2C2C"/>
        </w:rPr>
        <w:t>borrowings on our senior secured credit facilities</w:t>
      </w:r>
      <w:r>
        <w:rPr>
          <w:rFonts w:ascii="Arial" w:cs="Arial" w:eastAsia="Arial" w:hAnsi="Arial"/>
          <w:sz w:val="18"/>
          <w:szCs w:val="18"/>
          <w:color w:val="2C2C2C"/>
        </w:rPr>
        <w:t xml:space="preserve"> </w:t>
      </w:r>
      <w:r>
        <w:rPr>
          <w:rFonts w:ascii="Arial" w:cs="Arial" w:eastAsia="Arial" w:hAnsi="Arial"/>
          <w:sz w:val="18"/>
          <w:szCs w:val="18"/>
          <w:b w:val="1"/>
          <w:bCs w:val="1"/>
          <w:color w:val="2C2C2C"/>
        </w:rPr>
        <w:t>established in October 2018 to fund our acquisitions of Adapt and PaxVax.</w:t>
      </w:r>
    </w:p>
    <w:p>
      <w:pPr>
        <w:spacing w:after="0" w:line="1073" w:lineRule="exact"/>
        <w:rPr>
          <w:sz w:val="20"/>
          <w:szCs w:val="20"/>
          <w:color w:val="auto"/>
        </w:rPr>
      </w:pPr>
    </w:p>
    <w:p>
      <w:pPr>
        <w:sectPr>
          <w:pgSz w:w="11900" w:h="16838" w:orient="portrait"/>
          <w:cols w:equalWidth="0" w:num="2">
            <w:col w:w="5480" w:space="460"/>
            <w:col w:w="5480"/>
          </w:cols>
          <w:pgMar w:left="240" w:top="118" w:right="2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31</w:t>
      </w:r>
    </w:p>
    <w:p>
      <w:pPr>
        <w:sectPr>
          <w:pgSz w:w="11900" w:h="16838" w:orient="portrait"/>
          <w:cols w:equalWidth="0" w:num="1">
            <w:col w:w="11420"/>
          </w:cols>
          <w:pgMar w:left="240" w:top="118" w:right="239" w:bottom="1440" w:gutter="0" w:footer="0" w:header="0"/>
          <w:type w:val="continuous"/>
        </w:sectPr>
      </w:pPr>
    </w:p>
    <w:bookmarkStart w:id="31" w:name="page32"/>
    <w:bookmarkEnd w:id="31"/>
    <w:p>
      <w:pPr>
        <w:jc w:val="center"/>
        <w:ind w:right="-1079"/>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32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109220</wp:posOffset>
            </wp:positionV>
            <wp:extent cx="2555875" cy="257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spacing w:after="0"/>
        <w:rPr>
          <w:sz w:val="20"/>
          <w:szCs w:val="20"/>
          <w:color w:val="auto"/>
        </w:rPr>
      </w:pPr>
      <w:r>
        <w:rPr>
          <w:sz w:val="1"/>
          <w:szCs w:val="1"/>
          <w:color w:val="auto"/>
        </w:rPr>
        <w:drawing>
          <wp:inline distT="0" distB="0" distL="0" distR="0">
            <wp:extent cx="21463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630" cy="171450"/>
                    </a:xfrm>
                    <a:prstGeom prst="rect">
                      <a:avLst/>
                    </a:prstGeom>
                    <a:noFill/>
                    <a:ln>
                      <a:noFill/>
                    </a:ln>
                  </pic:spPr>
                </pic:pic>
              </a:graphicData>
            </a:graphic>
          </wp:inline>
        </w:drawing>
      </w:r>
      <w:r>
        <w:rPr>
          <w:rFonts w:ascii="Arial" w:cs="Arial" w:eastAsia="Arial" w:hAnsi="Arial"/>
          <w:sz w:val="18"/>
          <w:szCs w:val="18"/>
          <w:color w:val="auto"/>
        </w:rPr>
        <w:t xml:space="preserve"> Income tax (benefit) expense</w:t>
      </w:r>
    </w:p>
    <w:p>
      <w:pPr>
        <w:spacing w:after="0" w:line="40" w:lineRule="exact"/>
        <w:rPr>
          <w:sz w:val="20"/>
          <w:szCs w:val="20"/>
          <w:color w:val="auto"/>
        </w:rPr>
      </w:pPr>
    </w:p>
    <w:p>
      <w:pPr>
        <w:ind w:left="880" w:hanging="211"/>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163" w:lineRule="exact"/>
        <w:rPr>
          <w:sz w:val="20"/>
          <w:szCs w:val="20"/>
          <w:color w:val="auto"/>
        </w:rPr>
      </w:pPr>
    </w:p>
    <w:p>
      <w:pPr>
        <w:jc w:val="both"/>
        <w:ind w:right="4860" w:firstLine="324"/>
        <w:spacing w:after="0" w:line="259" w:lineRule="auto"/>
        <w:rPr>
          <w:sz w:val="20"/>
          <w:szCs w:val="20"/>
          <w:color w:val="auto"/>
        </w:rPr>
      </w:pPr>
      <w:r>
        <w:rPr>
          <w:rFonts w:ascii="Arial" w:cs="Arial" w:eastAsia="Arial" w:hAnsi="Arial"/>
          <w:sz w:val="18"/>
          <w:szCs w:val="18"/>
          <w:b w:val="1"/>
          <w:bCs w:val="1"/>
          <w:color w:val="2C2C2C"/>
        </w:rPr>
        <w:t>The income tax benefit is the result of losses incurred during the three and six months ended June 30, 2019, whereas the three and six months ended June 30, 2018 had taxable income. These losses were impacted by corresponding increases in the effective foreign and state income tax rates.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2C2C2C"/>
        </w:rPr>
        <w:t>32</w:t>
      </w:r>
    </w:p>
    <w:p>
      <w:pPr>
        <w:sectPr>
          <w:pgSz w:w="11900" w:h="16838" w:orient="portrait"/>
          <w:cols w:equalWidth="0" w:num="1">
            <w:col w:w="10340"/>
          </w:cols>
          <w:pgMar w:left="240" w:top="118" w:right="131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Liquidity and Capital Resources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00497F"/>
        </w:rPr>
        <w:t>Sources of Liquidity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We have historically financed our operating and capital expenditures through cash on hand, cash from operations, debt financing and development funding. We also obtain financing from the sale of our common stock upon exercise of stock options. We have operated profitably for each of the last five years for the period ended December 31, 2018. As of June 30, 2019, we had unrestricted cash and cash equivalents of $177.4 million. As of June 30, 2019, we believe that we have sufficient liquidity to fund our operations over the next 12 months.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C2C2C"/>
        </w:rPr>
        <w:t>The following table provides information regarding our cash flows for the six months ended June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65" w:lineRule="exact"/>
        <w:rPr>
          <w:sz w:val="20"/>
          <w:szCs w:val="20"/>
          <w:color w:val="auto"/>
        </w:rPr>
      </w:pPr>
    </w:p>
    <w:p>
      <w:pPr>
        <w:ind w:left="8560"/>
        <w:spacing w:after="0"/>
        <w:rPr>
          <w:sz w:val="20"/>
          <w:szCs w:val="20"/>
          <w:color w:val="auto"/>
        </w:rPr>
      </w:pPr>
      <w:r>
        <w:rPr>
          <w:rFonts w:ascii="Arial" w:cs="Arial" w:eastAsia="Arial" w:hAnsi="Arial"/>
          <w:sz w:val="18"/>
          <w:szCs w:val="18"/>
          <w:color w:val="FFFFFF"/>
        </w:rPr>
        <w:t>Six Months Ended June 30,</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740" w:type="dxa"/>
            <w:vAlign w:val="bottom"/>
          </w:tcPr>
          <w:p>
            <w:pPr>
              <w:spacing w:after="0"/>
              <w:rPr>
                <w:sz w:val="22"/>
                <w:szCs w:val="22"/>
                <w:color w:val="auto"/>
              </w:rPr>
            </w:pPr>
          </w:p>
        </w:tc>
        <w:tc>
          <w:tcPr>
            <w:tcW w:w="122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2019</w:t>
            </w:r>
          </w:p>
        </w:tc>
        <w:tc>
          <w:tcPr>
            <w:tcW w:w="60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400" w:type="dxa"/>
            <w:vAlign w:val="bottom"/>
            <w:shd w:val="clear" w:color="auto" w:fill="0094FF"/>
          </w:tcPr>
          <w:p>
            <w:pPr>
              <w:spacing w:after="0"/>
              <w:rPr>
                <w:sz w:val="22"/>
                <w:szCs w:val="22"/>
                <w:color w:val="auto"/>
              </w:rPr>
            </w:pPr>
          </w:p>
        </w:tc>
        <w:tc>
          <w:tcPr>
            <w:tcW w:w="1320" w:type="dxa"/>
            <w:vAlign w:val="bottom"/>
            <w:shd w:val="clear" w:color="auto" w:fill="0094FF"/>
          </w:tcPr>
          <w:p>
            <w:pPr>
              <w:jc w:val="right"/>
              <w:ind w:right="570"/>
              <w:spacing w:after="0"/>
              <w:rPr>
                <w:sz w:val="20"/>
                <w:szCs w:val="20"/>
                <w:color w:val="auto"/>
              </w:rPr>
            </w:pPr>
            <w:r>
              <w:rPr>
                <w:rFonts w:ascii="Arial" w:cs="Arial" w:eastAsia="Arial" w:hAnsi="Arial"/>
                <w:sz w:val="18"/>
                <w:szCs w:val="18"/>
                <w:color w:val="FFFFFF"/>
              </w:rPr>
              <w:t>2018</w:t>
            </w:r>
          </w:p>
        </w:tc>
      </w:tr>
      <w:tr>
        <w:trPr>
          <w:trHeight w:val="243"/>
        </w:trPr>
        <w:tc>
          <w:tcPr>
            <w:tcW w:w="774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97"/>
        </w:trPr>
        <w:tc>
          <w:tcPr>
            <w:tcW w:w="774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4"/>
                <w:szCs w:val="24"/>
                <w:color w:val="auto"/>
              </w:rPr>
            </w:pPr>
          </w:p>
        </w:tc>
        <w:tc>
          <w:tcPr>
            <w:tcW w:w="1120" w:type="dxa"/>
            <w:vAlign w:val="bottom"/>
            <w:shd w:val="clear" w:color="auto" w:fill="E5E5E5"/>
          </w:tcPr>
          <w:p>
            <w:pPr>
              <w:jc w:val="right"/>
              <w:ind w:right="910"/>
              <w:spacing w:after="0"/>
              <w:rPr>
                <w:sz w:val="20"/>
                <w:szCs w:val="20"/>
                <w:color w:val="auto"/>
              </w:rPr>
            </w:pPr>
            <w:r>
              <w:rPr>
                <w:rFonts w:ascii="Arial" w:cs="Arial" w:eastAsia="Arial" w:hAnsi="Arial"/>
                <w:sz w:val="18"/>
                <w:szCs w:val="18"/>
                <w:color w:val="1B51BF"/>
                <w:w w:val="99"/>
              </w:rPr>
              <w:t>$</w:t>
            </w:r>
          </w:p>
        </w:tc>
        <w:tc>
          <w:tcPr>
            <w:tcW w:w="6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69.0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57"/>
        </w:trPr>
        <w:tc>
          <w:tcPr>
            <w:tcW w:w="774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B51BF"/>
              </w:rPr>
              <w:t>(45.5)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41.7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7"/>
        </w:trPr>
        <w:tc>
          <w:tcPr>
            <w:tcW w:w="774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50"/>
        </w:trPr>
        <w:tc>
          <w:tcPr>
            <w:tcW w:w="774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1B51BF"/>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65.2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-882650</wp:posOffset>
            </wp:positionV>
            <wp:extent cx="1089025" cy="866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33</w:t>
      </w:r>
    </w:p>
    <w:p>
      <w:pPr>
        <w:sectPr>
          <w:pgSz w:w="11900" w:h="16838" w:orient="portrait"/>
          <w:cols w:equalWidth="0" w:num="1">
            <w:col w:w="11420"/>
          </w:cols>
          <w:pgMar w:left="240" w:top="11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80" w:right="108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Operating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Net cash provided by operating activities of $69.0 million for the six months ended June 30, 2019 was primarily due to changes in working capital for accounts receivable and accounts payable. Net operating losses were offset by non cash charges.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Net cash provided by operating activities of $33.6 million for the six months ended June 30, 2018 was primarily due to net income offset by increases in accounts receivable.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Investing Activities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Net cash used in investing activities of $45.5 million for the six months ended June 30, 2019 reflects software, infrastructure and equipment investments.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Net cash used in investing activities of $22.6 million for the six months ended June 30, 2018 reflects infrastructure and equipment investments.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Financing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Net cash provided by financing activities of $41.7 million for the six months ended June 30, 2019 was primarily due to the net $44.4 million of credit on our debt facility, offset by contingent consideration payments.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Net cash provided by financing activities of $1.1 million for the six months ended June 30, 2018 was primarily employee equity activity.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Funding Requirements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We expect to continue to fund our anticipated operating expenses, capital expenditures, debt service requirements and any future repurchase of our common stock from the following sources:</w:t>
      </w:r>
    </w:p>
    <w:p>
      <w:pPr>
        <w:spacing w:after="0" w:line="202" w:lineRule="exact"/>
        <w:rPr>
          <w:sz w:val="20"/>
          <w:szCs w:val="20"/>
          <w:color w:val="auto"/>
        </w:rPr>
      </w:pPr>
    </w:p>
    <w:p>
      <w:pPr>
        <w:ind w:left="660" w:hanging="571"/>
        <w:spacing w:after="0"/>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existing cash and cash equivalents;</w:t>
      </w:r>
    </w:p>
    <w:p>
      <w:pPr>
        <w:spacing w:after="0" w:line="171" w:lineRule="exact"/>
        <w:rPr>
          <w:rFonts w:ascii="Arial" w:cs="Arial" w:eastAsia="Arial" w:hAnsi="Arial"/>
          <w:sz w:val="18"/>
          <w:szCs w:val="18"/>
          <w:color w:val="2C2C2C"/>
        </w:rPr>
      </w:pPr>
    </w:p>
    <w:p>
      <w:pPr>
        <w:ind w:left="1220" w:hanging="1131"/>
        <w:spacing w:after="0" w:line="262" w:lineRule="auto"/>
        <w:tabs>
          <w:tab w:leader="none" w:pos="653"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net proceeds from the sale of our products and contract manufacturing services;</w:t>
      </w:r>
    </w:p>
    <w:p>
      <w:pPr>
        <w:spacing w:after="0" w:line="142" w:lineRule="exact"/>
        <w:rPr>
          <w:rFonts w:ascii="Arial" w:cs="Arial" w:eastAsia="Arial" w:hAnsi="Arial"/>
          <w:sz w:val="18"/>
          <w:szCs w:val="18"/>
          <w:color w:val="2C2C2C"/>
        </w:rPr>
      </w:pPr>
    </w:p>
    <w:p>
      <w:pPr>
        <w:ind w:left="660" w:hanging="571"/>
        <w:spacing w:after="0"/>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development contracts and grants funding; and</w:t>
      </w:r>
    </w:p>
    <w:p>
      <w:pPr>
        <w:spacing w:after="0" w:line="171" w:lineRule="exact"/>
        <w:rPr>
          <w:rFonts w:ascii="Arial" w:cs="Arial" w:eastAsia="Arial" w:hAnsi="Arial"/>
          <w:sz w:val="18"/>
          <w:szCs w:val="18"/>
          <w:color w:val="2C2C2C"/>
        </w:rPr>
      </w:pPr>
    </w:p>
    <w:p>
      <w:pPr>
        <w:ind w:left="1220" w:hanging="1131"/>
        <w:spacing w:after="0" w:line="262" w:lineRule="auto"/>
        <w:tabs>
          <w:tab w:leader="none" w:pos="653"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our senior secured credit facilities and any other lines of credit we may establish from time to time.</w:t>
      </w:r>
    </w:p>
    <w:p>
      <w:pPr>
        <w:spacing w:after="0" w:line="14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60" w:hanging="577"/>
        <w:spacing w:after="0" w:line="262" w:lineRule="auto"/>
        <w:tabs>
          <w:tab w:leader="none" w:pos="660" w:val="left"/>
        </w:tabs>
        <w:numPr>
          <w:ilvl w:val="1"/>
          <w:numId w:val="30"/>
        </w:numPr>
        <w:rPr>
          <w:rFonts w:ascii="Arial" w:cs="Arial" w:eastAsia="Arial" w:hAnsi="Arial"/>
          <w:sz w:val="18"/>
          <w:szCs w:val="18"/>
          <w:color w:val="2C2C2C"/>
        </w:rPr>
      </w:pPr>
      <w:r>
        <w:rPr>
          <w:rFonts w:ascii="Arial" w:cs="Arial" w:eastAsia="Arial" w:hAnsi="Arial"/>
          <w:sz w:val="18"/>
          <w:szCs w:val="18"/>
          <w:color w:val="2C2C2C"/>
        </w:rPr>
        <w:t>the extent to which we acquire or invest in and integrate companies, businesses, products or technologies;</w:t>
      </w:r>
    </w:p>
    <w:p>
      <w:pPr>
        <w:spacing w:after="0" w:line="142" w:lineRule="exact"/>
        <w:rPr>
          <w:rFonts w:ascii="Arial" w:cs="Arial" w:eastAsia="Arial" w:hAnsi="Arial"/>
          <w:sz w:val="18"/>
          <w:szCs w:val="18"/>
          <w:color w:val="2C2C2C"/>
        </w:rPr>
      </w:pPr>
    </w:p>
    <w:p>
      <w:pPr>
        <w:ind w:left="660" w:right="20" w:hanging="658"/>
        <w:spacing w:after="0" w:line="26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acquisition of new facilities and capital improvements to new or existing facilities;</w:t>
      </w:r>
    </w:p>
    <w:p>
      <w:pPr>
        <w:spacing w:after="0" w:line="142" w:lineRule="exact"/>
        <w:rPr>
          <w:rFonts w:ascii="Arial" w:cs="Arial" w:eastAsia="Arial" w:hAnsi="Arial"/>
          <w:sz w:val="18"/>
          <w:szCs w:val="18"/>
          <w:color w:val="2C2C2C"/>
        </w:rPr>
      </w:pPr>
    </w:p>
    <w:p>
      <w:pPr>
        <w:ind w:left="660" w:hanging="658"/>
        <w:spacing w:after="0"/>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payment obligations under our indebtedness;</w:t>
      </w:r>
    </w:p>
    <w:p>
      <w:pPr>
        <w:spacing w:after="0" w:line="171" w:lineRule="exact"/>
        <w:rPr>
          <w:rFonts w:ascii="Arial" w:cs="Arial" w:eastAsia="Arial" w:hAnsi="Arial"/>
          <w:sz w:val="18"/>
          <w:szCs w:val="18"/>
          <w:color w:val="2C2C2C"/>
        </w:rPr>
      </w:pPr>
    </w:p>
    <w:p>
      <w:pPr>
        <w:ind w:left="660" w:right="20" w:hanging="658"/>
        <w:spacing w:after="0" w:line="26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scope, progress, results and costs of our development activities;</w:t>
      </w:r>
    </w:p>
    <w:p>
      <w:pPr>
        <w:spacing w:after="0" w:line="142" w:lineRule="exact"/>
        <w:rPr>
          <w:rFonts w:ascii="Arial" w:cs="Arial" w:eastAsia="Arial" w:hAnsi="Arial"/>
          <w:sz w:val="18"/>
          <w:szCs w:val="18"/>
          <w:color w:val="2C2C2C"/>
        </w:rPr>
      </w:pPr>
    </w:p>
    <w:p>
      <w:pPr>
        <w:jc w:val="both"/>
        <w:ind w:left="660" w:right="20" w:hanging="658"/>
        <w:spacing w:after="0" w:line="256"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our ability to obtain funding from collaborative partners, government entities and non-governmental organizations for our development programs;</w:t>
      </w:r>
    </w:p>
    <w:p>
      <w:pPr>
        <w:spacing w:after="0" w:line="147" w:lineRule="exact"/>
        <w:rPr>
          <w:rFonts w:ascii="Arial" w:cs="Arial" w:eastAsia="Arial" w:hAnsi="Arial"/>
          <w:sz w:val="18"/>
          <w:szCs w:val="18"/>
          <w:color w:val="2C2C2C"/>
        </w:rPr>
      </w:pPr>
    </w:p>
    <w:p>
      <w:pPr>
        <w:ind w:left="660" w:right="20" w:hanging="658"/>
        <w:spacing w:after="0" w:line="26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extent to which we repurchase additional common stock under our authorized share repurchase program; and</w:t>
      </w:r>
    </w:p>
    <w:p>
      <w:pPr>
        <w:spacing w:after="0" w:line="142" w:lineRule="exact"/>
        <w:rPr>
          <w:rFonts w:ascii="Arial" w:cs="Arial" w:eastAsia="Arial" w:hAnsi="Arial"/>
          <w:sz w:val="18"/>
          <w:szCs w:val="18"/>
          <w:color w:val="2C2C2C"/>
        </w:rPr>
      </w:pPr>
    </w:p>
    <w:p>
      <w:pPr>
        <w:ind w:left="660" w:right="20" w:hanging="658"/>
        <w:spacing w:after="0" w:line="26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costs of commercialization activities, including product marketing, sales and distribution.</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 financing, if available, may involve agreements that include covenants, like those contained in our senior secured credit facilities,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are not restricted under the terms of the indenture governing our 2.875% Convertible Senior Notes due 2021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2C2C2C"/>
        </w:rPr>
        <w:t>Economic conditions may make it difficult to obtain financing on attractive terms, or at all. If financing is</w:t>
      </w:r>
    </w:p>
    <w:p>
      <w:pPr>
        <w:spacing w:after="0" w:line="1061" w:lineRule="exact"/>
        <w:rPr>
          <w:sz w:val="20"/>
          <w:szCs w:val="20"/>
          <w:color w:val="auto"/>
        </w:rPr>
      </w:pPr>
    </w:p>
    <w:p>
      <w:pPr>
        <w:sectPr>
          <w:pgSz w:w="11900" w:h="16838" w:orient="portrait"/>
          <w:cols w:equalWidth="0" w:num="2">
            <w:col w:w="5480" w:space="460"/>
            <w:col w:w="5480"/>
          </w:cols>
          <w:pgMar w:left="240" w:top="118" w:right="239" w:bottom="1440" w:gutter="0" w:footer="0" w:header="0"/>
          <w:type w:val="continuous"/>
        </w:sectPr>
      </w:pPr>
    </w:p>
    <w:p>
      <w:pPr>
        <w:ind w:left="660" w:right="5940" w:hanging="571"/>
        <w:spacing w:after="0" w:line="262" w:lineRule="auto"/>
        <w:tabs>
          <w:tab w:leader="none" w:pos="660" w:val="left"/>
        </w:tabs>
        <w:numPr>
          <w:ilvl w:val="0"/>
          <w:numId w:val="31"/>
        </w:numPr>
        <w:rPr>
          <w:rFonts w:ascii="Arial" w:cs="Arial" w:eastAsia="Arial" w:hAnsi="Arial"/>
          <w:sz w:val="18"/>
          <w:szCs w:val="18"/>
          <w:color w:val="2C2C2C"/>
        </w:rPr>
      </w:pPr>
      <w:r>
        <w:rPr>
          <w:rFonts w:ascii="Arial" w:cs="Arial" w:eastAsia="Arial" w:hAnsi="Arial"/>
          <w:sz w:val="18"/>
          <w:szCs w:val="18"/>
          <w:color w:val="2C2C2C"/>
        </w:rPr>
        <w:t>the level, timing and cost of product sales and contract manufacturing services;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34</w:t>
      </w:r>
    </w:p>
    <w:p>
      <w:pPr>
        <w:sectPr>
          <w:pgSz w:w="11900" w:h="16838" w:orient="portrait"/>
          <w:cols w:equalWidth="0" w:num="1">
            <w:col w:w="11420"/>
          </w:cols>
          <w:pgMar w:left="240" w:top="118"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80" w:right="1080"/>
        <w:spacing w:after="0" w:line="26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unavailable or lost, our business, operating results, financial condition and cash flows would be adversely affected, and we could be forced to delay, reduce the scope of or eliminate many of our planned activities.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0"/>
          <w:szCs w:val="20"/>
          <w:color w:val="0094FF"/>
        </w:rPr>
        <w:t>Share Repurchase Program</w:t>
      </w:r>
    </w:p>
    <w:p>
      <w:pPr>
        <w:spacing w:after="0" w:line="23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March 2018, our board of directors authorized our management to repurchase from time to time up to an aggregate of $50 million of our common stock under a board-approved share repurchase program through December 31, 2019. Any repurchased shares will be available for use in connection with our stock plans and for other corporate purposes. As of June 30, 2019, we have not made any repurchases under this program.</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2C2C2C"/>
        </w:rPr>
        <w:t>debt and interest rate swap commitments as of June 30, 2019, would increase our interest expense by $4.9 million annually.</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Foreign Currency Exchange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We have exposure to foreign currency exchange rate fluctuations worldwide and primarily with respect to the Euro, Canadian dollar, Swiss franc and British pound. We manage our foreign currency exchange rate risk primarily by incurring, to the extent practicable, operating and financing expenses in the local currency in the countries in which we operate.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4. CONTROLS AND PROCEDURES</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0094FF"/>
        </w:rPr>
        <w:t>Evaluation of Disclosure Controls and Procedures</w:t>
      </w:r>
    </w:p>
    <w:p>
      <w:pPr>
        <w:spacing w:after="0" w:line="32" w:lineRule="exact"/>
        <w:rPr>
          <w:sz w:val="20"/>
          <w:szCs w:val="20"/>
          <w:color w:val="auto"/>
        </w:rPr>
      </w:pPr>
    </w:p>
    <w:p>
      <w:pPr>
        <w:sectPr>
          <w:pgSz w:w="11900" w:h="16838" w:orient="portrait"/>
          <w:cols w:equalWidth="0" w:num="2">
            <w:col w:w="5480" w:space="460"/>
            <w:col w:w="5480"/>
          </w:cols>
          <w:pgMar w:left="240" w:top="118" w:right="239" w:bottom="1440" w:gutter="0" w:footer="0" w:header="0"/>
          <w:type w:val="continuous"/>
        </w:sectPr>
      </w:pPr>
    </w:p>
    <w:p>
      <w:pPr>
        <w:ind w:right="1460"/>
        <w:spacing w:after="0" w:line="298" w:lineRule="auto"/>
        <w:rPr>
          <w:sz w:val="20"/>
          <w:szCs w:val="20"/>
          <w:color w:val="auto"/>
        </w:rPr>
      </w:pPr>
      <w:r>
        <w:rPr>
          <w:rFonts w:ascii="Arial" w:cs="Arial" w:eastAsia="Arial" w:hAnsi="Arial"/>
          <w:sz w:val="19"/>
          <w:szCs w:val="19"/>
          <w:b w:val="1"/>
          <w:bCs w:val="1"/>
          <w:color w:val="00497F"/>
        </w:rPr>
        <w:t>ITEM 3. QUANTITATIVE AND QUALITATIVE DISCLOSURES ABOUT MARKET RISK</w:t>
      </w:r>
    </w:p>
    <w:p>
      <w:pPr>
        <w:spacing w:after="0" w:line="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2C2C2C"/>
        </w:rPr>
        <w:t>For a discussion of additional risks arising from our operations, see “Item 1A-Risk Factors” in this quarterly report.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Market Risk</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We have interest rate and foreign currency market risk. We manage our interest rate risk in part by entering into interest rate swaps to swap a portion of our indebtedness that is based on variable interest rates to a fixed rate. We currently do not hedge our foreign currency exchange exposure, and the movement of foreign currency exchange rates could have an adverse or positive impact on our results of operations. We have not used derivative financial instruments for speculative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Interest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We have debt with a mix of variable and fixed rates of interest. Floating rate debt carries interest based on the eurocurrency, as defined in our Amended Credit Agreement, plus an applicable margin. Increases in interest rates could therefore increase the associated interest payments that we are required to make on this debt.</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We have assessed our exposure to changes in interest rates by analyzing the sensitivity to our operating results assuming various changes in market interest rates. A hypothetical increase of one percentage point in the eurocurrency rate with consideration to outstanding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2C2C2C"/>
        </w:rPr>
        <w:t>Our management, with the participation of our chief executive officer and chief financial officer, evaluated the effectiveness of our disclosure controls and procedures as of June 30, 2019. The term "disclosure controls and procedures," as defined in Rules 13a-15(e) and 15d-15(e) under the Securities Exchange Act,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738" w:lineRule="exact"/>
        <w:rPr>
          <w:sz w:val="20"/>
          <w:szCs w:val="20"/>
          <w:color w:val="auto"/>
        </w:rPr>
      </w:pPr>
    </w:p>
    <w:p>
      <w:pPr>
        <w:sectPr>
          <w:pgSz w:w="11900" w:h="16838" w:orient="portrait"/>
          <w:cols w:equalWidth="0" w:num="2">
            <w:col w:w="5480" w:space="460"/>
            <w:col w:w="5480"/>
          </w:cols>
          <w:pgMar w:left="240" w:top="118" w:right="2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35</w:t>
      </w:r>
    </w:p>
    <w:p>
      <w:pPr>
        <w:sectPr>
          <w:pgSz w:w="11900" w:h="16838" w:orient="portrait"/>
          <w:cols w:equalWidth="0" w:num="1">
            <w:col w:w="11420"/>
          </w:cols>
          <w:pgMar w:left="240" w:top="118" w:right="2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43" w:lineRule="exact"/>
        <w:rPr>
          <w:sz w:val="20"/>
          <w:szCs w:val="20"/>
          <w:color w:val="auto"/>
        </w:rPr>
      </w:pPr>
    </w:p>
    <w:p>
      <w:pPr>
        <w:ind w:left="340"/>
        <w:spacing w:after="0"/>
        <w:tabs>
          <w:tab w:leader="none" w:pos="6240" w:val="left"/>
        </w:tabs>
        <w:rPr>
          <w:sz w:val="20"/>
          <w:szCs w:val="20"/>
          <w:color w:val="auto"/>
        </w:rPr>
      </w:pPr>
      <w:r>
        <w:rPr>
          <w:rFonts w:ascii="Arial" w:cs="Arial" w:eastAsia="Arial" w:hAnsi="Arial"/>
          <w:sz w:val="18"/>
          <w:szCs w:val="18"/>
          <w:b w:val="1"/>
          <w:bCs w:val="1"/>
          <w:color w:val="0094FF"/>
        </w:rPr>
        <w:t>Changes in Internal Control Over Financial Reporting</w:t>
      </w:r>
      <w:r>
        <w:rPr>
          <w:sz w:val="20"/>
          <w:szCs w:val="20"/>
          <w:color w:val="auto"/>
        </w:rPr>
        <w:tab/>
      </w:r>
      <w:r>
        <w:rPr>
          <w:rFonts w:ascii="Arial" w:cs="Arial" w:eastAsia="Arial" w:hAnsi="Arial"/>
          <w:sz w:val="19"/>
          <w:szCs w:val="19"/>
          <w:b w:val="1"/>
          <w:bCs w:val="1"/>
          <w:color w:val="0094FF"/>
        </w:rPr>
        <w:t>ANDA Litigation - Teva 2mg</w:t>
      </w:r>
    </w:p>
    <w:p>
      <w:pPr>
        <w:sectPr>
          <w:pgSz w:w="11900" w:h="16838" w:orient="portrait"/>
          <w:cols w:equalWidth="0" w:num="1">
            <w:col w:w="11420"/>
          </w:cols>
          <w:pgMar w:left="240" w:top="111" w:right="239" w:bottom="1440" w:gutter="0" w:footer="0" w:header="0"/>
        </w:sectPr>
      </w:pP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There have been no changes in our internal control over financial reporting, as defined in Rules 13a-15(f) and 15d-15(f) under the Exchange Act that occurred during the quarter ended June 30, 2019 that have materially affected, or are reasonably likely to materially affect, our internal control over financial reporting.</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Management’s assessment of and conclusion on the effectiveness of disclosure controls and procedures and internal controls over financial reporting did not include the internal controls related to the operations acquired in the acquisition of PaxVax Holding Company Ltd. and Adapt Pharma Limited, which are included in our unaudited condensed consolidated financial statements for the six months ended June 30, 2019, and which constituted $1.1 billion and $881.5 million of total assets and net assets, respectively as of June 30, 2019 and $163.1 million and $ 4.4 million of revenues and operating income, respectively, for the six months ended June 30, 2019.</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 LEGAL PROCEEDINGS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ANDA Litigation - Perrigo 4mg</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On September 14, 2018, Adapt Pharma Inc., Adapt Pharma Operations Limited and Adapt Pharma Ltd. and Opiant Pharmaceuticals, Inc., received notice from Perrigo UK FINCO Limited Partnership that Perrigo had filed an ANDA with the FDA, seeking regulatory approval to market a generic version of NARCAN® (naloxone hydrochloride) Nasal Spray 4mg/spray before the expiration of the ‘253 Patent, the ‘747 Patent, the ‘177 Patent, the ‘965 Patent, and the ‘838 Patent. On or about October 25, 2018, Perrigo sent a subsequent notice letter relating to the ‘937 Patent. Perrigo’s notice letters assert that its generic product will not infringe any valid and enforceable claim of these patents.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On October 25, 2018, Emergent BioSolutions’ Adapt Pharma subsidiaries and Opiant (collectively,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As a result of timely filing the first lawsuit in accordance with the Hatch-Waxman Act, a 30-month stay of approval will be imposed by the FDA on Perrigo’s ANDA, which is expected to remain in effect until March 2021 absent an earlier judgment, unfavorable to the Plaintiffs, by the Court.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On or about February 27, 2018, Adapt Pharma Inc. and Adapt Pharma Operations Limited and Opiant received notice from Teva Pharmaceuticals Industries Ltd. and Teva Pharmaceuticals USA, Inc., that Teva had filed an ANDA with the FDA seeking regulatory approval to market a generic version of NARCAN® (naloxone hydrochloride) Nasal Spray 2 mg/spray before the expiration of the ‘644 Patent, and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0094FF"/>
        </w:rPr>
        <w:t>ANDA Litigation - Teva 4mg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of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In the complaints described in the paragraphs above, the Plaintiffs seek,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w:t>
      </w:r>
    </w:p>
    <w:p>
      <w:pPr>
        <w:spacing w:after="0" w:line="200" w:lineRule="exact"/>
        <w:rPr>
          <w:sz w:val="20"/>
          <w:szCs w:val="20"/>
          <w:color w:val="auto"/>
        </w:rPr>
      </w:pPr>
    </w:p>
    <w:p>
      <w:pPr>
        <w:sectPr>
          <w:pgSz w:w="11900" w:h="16838" w:orient="portrait"/>
          <w:cols w:equalWidth="0" w:num="2">
            <w:col w:w="5480" w:space="460"/>
            <w:col w:w="5480"/>
          </w:cols>
          <w:pgMar w:left="240" w:top="111" w:right="239" w:bottom="144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36</w:t>
      </w:r>
    </w:p>
    <w:p>
      <w:pPr>
        <w:sectPr>
          <w:pgSz w:w="11900" w:h="16838" w:orient="portrait"/>
          <w:cols w:equalWidth="0" w:num="1">
            <w:col w:w="11420"/>
          </w:cols>
          <w:pgMar w:left="240" w:top="111"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1" w:right="239" w:bottom="1440" w:gutter="0" w:footer="0" w:header="0"/>
        </w:sectPr>
      </w:pPr>
    </w:p>
    <w:p>
      <w:pPr>
        <w:spacing w:after="0" w:line="2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patents listed for each product, and monetary relief or other relief as deemed just and proper by the court.</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20"/>
          <w:szCs w:val="20"/>
          <w:color w:val="0094FF"/>
        </w:rPr>
        <w:t>Shareholder Class Action Lawsuit filed July 19, 2016</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2C2C2C"/>
        </w:rPr>
        <w:t>On July 19, 2016, Plaintiff William Sponn (Sponn), filed a putative class action complaint in the United States District Court for the District of Maryland on behalf of purchasers of the Company’s common stock between January 11, 2016 and June 21, 2016, inclusive, seeking to pursue remedies under the Exchange Act against the Company and certain of its senior officers and directors (collectively, the Defendants). The complaint alleged, among other things, that the Defendants made materially false and misleading statements about the government’s demand for BioThrax and expectations that the Company’s five-year exclusive procurement contract with HHS would be renewed, and omitted certain material facts. Sponn sought unspecified damages, including legal costs. On October 25, 2016, the court added City of Cape Coral Municipal Firefighters’ Retirement Plan and City of Sunrise Police Officers’ Retirement Plan as plaintiffs and appointed them Lead Plaintiffs and Robbins Geller Rudman &amp; Dowd LLP as Lead Counsel. On December 27, 2016, the Lead Plaintiffs filed an amended complaint that cited the same class period, named the same defendants and made similar allegations to the original complaint. The Defendants filed a Motion to Dismiss on February 27, 2017. The Plaintiffs filed an opposition brief on April 28, 2017. The Defendants’ Motion to Dismiss was heard and denied on July 6, 2017. The Defendants filed an answer on July 28, 2017. The parties then engaged in the process of exchanging discovery. The Plaintiffs filed an amended motion for class certification and appointment of Lead Plaintiffs, Sponn, and Geoffrey L. Flagstad as Class Representatives on December 20, 2017. A hearing on that motion was heard on May 2, 2018. On June 8, 2018 the Court granted class certification with a shortened class period, May 5, 2016 to June 21, 2016. In that same order, the court appointed Flagstad as Class Representative and Robbins Geller Rudman &amp; Dowd LLP as Class Counsel. The Defendants have denied, and continue to deny, any and all allegations of fault, liability, wrongdoing, or damages. However, recognizing the risk, time, and expense of litigating any case to trial, on August 27, 2018, the Defendants reached an agreement in principle with Plaintiffs to settle all of the related claims of any individual plaintiff that purchased or acquired Company stock from January 11, 2016 to June 21, 2016, for $6.5 million, an amount that was paid by the Company’s insurance carrier. The settlement required no payment by any of the Defendants. The Defendants continue to deny any and all liability. The parties executed the settlement agreement on October 16, 2018 and filed the agreement with the court on October 17, 2018. The court granted preliminary</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2C2C2C"/>
        </w:rPr>
        <w:t>approval of the settlement on October 18, 2018, issued an amended preliminary approval of the settlement on October 25, 2018, and scheduled a hearing regarding final approval for January 22, 2019. At the time of the final approval hearing on January 22, 2019, there were no objections to the settlement, but there were two shareholders who had submitted opt-outs so that they could be excluded from the settlement. On January 25, 2019, the court issued an order and final judgment approving the settlement. The time to file a notice of appeal has passed. Defendants continue to believe that the allegations in the complaint are without merit.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1A. RISK FACTORS</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You should carefully consider the following risk factors in addition to the other information in this Quarterly Report on Form 10-Q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flows.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GOVERNMENT CONTRACTING RISKS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currently derive a substantial portion of our revenue from sales of BioThrax to our largest customer, the USG. If the USG’s demand for and/or funding for procurement of BioThrax is substantially reduced, our business, financial condition, operating results and cash flows would be materially harmed.</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We derive a substantial portion of our current and expected future revenues from sales of BioThrax, our anthrax vaccine licensed by the FDA to the USG. In December 2016, we signed a follow-on procurement contract with the Centers for Disease Control and Prevention (CDC) for the delivery of approximately 29.4 million doses of BioThrax for placement into the SNS over a five-year period ending in September 2021. The potential value of this contract is approximately $911 million if all procurement options are exercised.</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The procurement of doses of BioThrax by the CDC is subject to the availability of funding. We have no certainty that funding will be made available for the procurement of doses under the CDC contract. If the SNS priorities change, funding to procure doses of BioThrax may be limited or not available, and our business, financial condition and operating results and cash flows would be materially harmed. The</w:t>
      </w:r>
    </w:p>
    <w:p>
      <w:pPr>
        <w:spacing w:after="0" w:line="200" w:lineRule="exact"/>
        <w:rPr>
          <w:sz w:val="20"/>
          <w:szCs w:val="20"/>
          <w:color w:val="auto"/>
        </w:rPr>
      </w:pPr>
    </w:p>
    <w:p>
      <w:pPr>
        <w:sectPr>
          <w:pgSz w:w="11900" w:h="16838" w:orient="portrait"/>
          <w:cols w:equalWidth="0" w:num="2">
            <w:col w:w="5480" w:space="460"/>
            <w:col w:w="5480"/>
          </w:cols>
          <w:pgMar w:left="240" w:top="111" w:right="2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37</w:t>
      </w:r>
    </w:p>
    <w:p>
      <w:pPr>
        <w:sectPr>
          <w:pgSz w:w="11900" w:h="16838" w:orient="portrait"/>
          <w:cols w:equalWidth="0" w:num="1">
            <w:col w:w="11420"/>
          </w:cols>
          <w:pgMar w:left="240" w:top="11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success of our business and our future operating results are significantly dependent on funding for the procurement of BioThrax and the terms of our BioThrax sales to the USG, including the price per dose, the number of doses and the timing of deliveries.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pre-EUA submission package related to AV7909 may not be accepted and we may not receive EUA and eventual FDA licensure may not be approved by the FDA in a timely manner or at all. Delays in our ability to achieve a favorable outcome from the FDA could prevent us from realizing the full potential value of our BARDA contract for the advanced development and procurement of AV7909.</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In September 2016, we entered into a contract with HHS, through BARDA for the advanced development and procurement of AV7909, our next generation anthrax vaccine candidate. The contract, as modified in March 2017, is valued at up to approximately $1.5 billion.</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In collaboration with us, the CDC recently filed with the FDA a pre-EUA submission package related to AV7909, and although there can be no assurances, we currently anticipate that BARDA could begin procuring AV7909 for delivery into the SNS as early as this year. The FDA may decide that our data are insufficient to accept the pre-EUA submission package and require additional pre-clinical, clinical or other studies. If we are unsuccessful in obtaining acceptance of the pre-EUA submission package for AV7909, and EUA and eventual FDA licensure in a timely manner or at all, we may not be able to realize the full potential value of the contract, which could have a material adverse effect on our future business, financial condition, operating results and cash flows.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In addition, if priorities for the SNS change, funding to procure any future doses of AV7909 may be limited or not available, BARDA may never initiate the transition to stockpiling AV7909, and our future business, financial condition, operating results and cash flows could be materially harmed.</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USG procurement and development contracts require ongoing funding decisions by the USG. Reduced or discontinued funding of these contracts could cause our business, financial condition, operating results and cash flows to suffer materially.</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The USG is the principal customer for our PHT-focused MCMs and is the primary source of funds for the development of our product candidates in our development pipeline, most notably our AV7909 product candidate. We anticipate that the USG will also be a principal customer for those MCMs that we successfully develop within our existing product development pipeline, as well as those we acquire in the future. Additionally, a significant portion of our revenue comes from USG development contracts and grants. Over its lifetime, a USG procurement or</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and stringent budgetary constraints.</w:t>
      </w:r>
    </w:p>
    <w:p>
      <w:pPr>
        <w:spacing w:after="0" w:line="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AV7909 for post-exposure prophylaxis of anthrax disease consists of a five-year base period of performance valued at approximately $200 million. The contract award also includes options for the delivery of additional doses of AV7909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our existing contracts, our revenues would suffer, as well as our business, financial condition, operating results and cash flows.</w:t>
      </w:r>
    </w:p>
    <w:p>
      <w:pPr>
        <w:spacing w:after="0" w:line="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b w:val="1"/>
          <w:bCs w:val="1"/>
          <w:i w:val="1"/>
          <w:iCs w:val="1"/>
          <w:color w:val="auto"/>
        </w:rPr>
        <w:t>There can be no assurance that we will be able to secure follow-on procurement contracts with the USG upon the expiration of any of our current product procurement contracts.</w:t>
      </w:r>
    </w:p>
    <w:p>
      <w:pPr>
        <w:spacing w:after="0" w:line="6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majority of our revenue is substantially dependent upon product procurement contracts with the USG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the CDC procurement contract for ACAM2000 that we acquired in our acquisition of the ACAM2000 business from Sanofi expired on March 31, 2018. The BARDA procurement contract for</w:t>
      </w:r>
    </w:p>
    <w:p>
      <w:pPr>
        <w:spacing w:after="0" w:line="958"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38</w:t>
      </w:r>
    </w:p>
    <w:p>
      <w:pPr>
        <w:sectPr>
          <w:pgSz w:w="11900" w:h="16838" w:orient="portrait"/>
          <w:cols w:equalWidth="0" w:num="1">
            <w:col w:w="11420"/>
          </w:cols>
          <w:pgMar w:left="240" w:top="112"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raxibacumab that we acquired in our acquisition of raxibacumab from Human Genome Sciences, Inc. and GlaxoSmithKline LLC, collectively referred to as GSK, will expire in November 2019. Our CDC procurement contract for BioThrax expires in 2021. We intend to negotiate follow-on procurement contracts for each of our PHT products upon the expiration of a related procurement contract, including our procurement contract for ACAM2000,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and our business, financial condition, operating results and cash flows could be harmed.</w:t>
      </w:r>
    </w:p>
    <w:p>
      <w:pPr>
        <w:spacing w:after="0" w:line="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unique risks and requirements.</w:t>
      </w:r>
    </w:p>
    <w:p>
      <w:pPr>
        <w:spacing w:after="0" w:line="6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Our business involves government contracts and grants, which may be awarded through competitive bidding. Competitive bidding for government contracts presents many risks and requirements, including:</w:t>
      </w:r>
    </w:p>
    <w:p>
      <w:pPr>
        <w:spacing w:after="0" w:line="3" w:lineRule="exact"/>
        <w:rPr>
          <w:sz w:val="20"/>
          <w:szCs w:val="20"/>
          <w:color w:val="auto"/>
        </w:rPr>
      </w:pPr>
    </w:p>
    <w:p>
      <w:pPr>
        <w:ind w:left="660" w:right="20" w:hanging="652"/>
        <w:spacing w:after="0" w:line="262" w:lineRule="auto"/>
        <w:tabs>
          <w:tab w:leader="none" w:pos="660" w:val="left"/>
        </w:tabs>
        <w:numPr>
          <w:ilvl w:val="0"/>
          <w:numId w:val="32"/>
        </w:numPr>
        <w:rPr>
          <w:rFonts w:ascii="Arial" w:cs="Arial" w:eastAsia="Arial" w:hAnsi="Arial"/>
          <w:sz w:val="18"/>
          <w:szCs w:val="18"/>
          <w:b w:val="1"/>
          <w:bCs w:val="1"/>
          <w:color w:val="2C2C2C"/>
        </w:rPr>
      </w:pPr>
      <w:r>
        <w:rPr>
          <w:rFonts w:ascii="Arial" w:cs="Arial" w:eastAsia="Arial" w:hAnsi="Arial"/>
          <w:sz w:val="18"/>
          <w:szCs w:val="18"/>
          <w:b w:val="1"/>
          <w:bCs w:val="1"/>
          <w:color w:val="auto"/>
        </w:rPr>
        <w:t>the possibility that we may be ineligible to respond to a request for proposal issued by the government;</w:t>
      </w:r>
    </w:p>
    <w:p>
      <w:pPr>
        <w:spacing w:after="0" w:line="120" w:lineRule="exact"/>
        <w:rPr>
          <w:rFonts w:ascii="Arial" w:cs="Arial" w:eastAsia="Arial" w:hAnsi="Arial"/>
          <w:sz w:val="18"/>
          <w:szCs w:val="18"/>
          <w:b w:val="1"/>
          <w:bCs w:val="1"/>
          <w:color w:val="2C2C2C"/>
        </w:rPr>
      </w:pPr>
    </w:p>
    <w:p>
      <w:pPr>
        <w:jc w:val="both"/>
        <w:ind w:left="660" w:hanging="652"/>
        <w:spacing w:after="0" w:line="262" w:lineRule="auto"/>
        <w:tabs>
          <w:tab w:leader="none" w:pos="660" w:val="left"/>
        </w:tabs>
        <w:numPr>
          <w:ilvl w:val="0"/>
          <w:numId w:val="32"/>
        </w:numPr>
        <w:rPr>
          <w:rFonts w:ascii="Arial" w:cs="Arial" w:eastAsia="Arial" w:hAnsi="Arial"/>
          <w:sz w:val="18"/>
          <w:szCs w:val="18"/>
          <w:b w:val="1"/>
          <w:bCs w:val="1"/>
          <w:color w:val="2C2C2C"/>
        </w:rPr>
      </w:pPr>
      <w:r>
        <w:rPr>
          <w:rFonts w:ascii="Arial" w:cs="Arial" w:eastAsia="Arial" w:hAnsi="Arial"/>
          <w:sz w:val="18"/>
          <w:szCs w:val="18"/>
          <w:b w:val="1"/>
          <w:bCs w:val="1"/>
          <w:color w:val="auto"/>
        </w:rPr>
        <w:t>the commitment of substantial time and attention of management and key employees to the preparation of bids and proposals for contracts that may not be awarded to us;</w:t>
      </w:r>
    </w:p>
    <w:p>
      <w:pPr>
        <w:spacing w:after="0" w:line="122" w:lineRule="exact"/>
        <w:rPr>
          <w:rFonts w:ascii="Arial" w:cs="Arial" w:eastAsia="Arial" w:hAnsi="Arial"/>
          <w:sz w:val="18"/>
          <w:szCs w:val="18"/>
          <w:b w:val="1"/>
          <w:bCs w:val="1"/>
          <w:color w:val="2C2C2C"/>
        </w:rPr>
      </w:pPr>
    </w:p>
    <w:p>
      <w:pPr>
        <w:jc w:val="both"/>
        <w:ind w:left="660" w:hanging="652"/>
        <w:spacing w:after="0" w:line="269" w:lineRule="auto"/>
        <w:tabs>
          <w:tab w:leader="none" w:pos="660" w:val="left"/>
        </w:tabs>
        <w:numPr>
          <w:ilvl w:val="0"/>
          <w:numId w:val="32"/>
        </w:numPr>
        <w:rPr>
          <w:rFonts w:ascii="Arial" w:cs="Arial" w:eastAsia="Arial" w:hAnsi="Arial"/>
          <w:sz w:val="18"/>
          <w:szCs w:val="18"/>
          <w:b w:val="1"/>
          <w:bCs w:val="1"/>
          <w:color w:val="2C2C2C"/>
        </w:rPr>
      </w:pPr>
      <w:r>
        <w:rPr>
          <w:rFonts w:ascii="Arial" w:cs="Arial" w:eastAsia="Arial" w:hAnsi="Arial"/>
          <w:sz w:val="18"/>
          <w:szCs w:val="18"/>
          <w:b w:val="1"/>
          <w:bCs w:val="1"/>
          <w:color w:val="auto"/>
        </w:rPr>
        <w:t>the need to accurately estimate the resources and cost structure that will be required to perform any contract that we might be awarded;</w:t>
      </w:r>
    </w:p>
    <w:p>
      <w:pPr>
        <w:spacing w:after="0" w:line="114" w:lineRule="exact"/>
        <w:rPr>
          <w:rFonts w:ascii="Arial" w:cs="Arial" w:eastAsia="Arial" w:hAnsi="Arial"/>
          <w:sz w:val="18"/>
          <w:szCs w:val="18"/>
          <w:b w:val="1"/>
          <w:bCs w:val="1"/>
          <w:color w:val="2C2C2C"/>
        </w:rPr>
      </w:pPr>
    </w:p>
    <w:p>
      <w:pPr>
        <w:jc w:val="both"/>
        <w:ind w:left="660" w:hanging="652"/>
        <w:spacing w:after="0" w:line="262" w:lineRule="auto"/>
        <w:tabs>
          <w:tab w:leader="none" w:pos="660" w:val="left"/>
        </w:tabs>
        <w:numPr>
          <w:ilvl w:val="0"/>
          <w:numId w:val="32"/>
        </w:numPr>
        <w:rPr>
          <w:rFonts w:ascii="Arial" w:cs="Arial" w:eastAsia="Arial" w:hAnsi="Arial"/>
          <w:sz w:val="18"/>
          <w:szCs w:val="18"/>
          <w:b w:val="1"/>
          <w:bCs w:val="1"/>
          <w:color w:val="2C2C2C"/>
        </w:rPr>
      </w:pPr>
      <w:r>
        <w:rPr>
          <w:rFonts w:ascii="Arial" w:cs="Arial" w:eastAsia="Arial" w:hAnsi="Arial"/>
          <w:sz w:val="18"/>
          <w:szCs w:val="18"/>
          <w:b w:val="1"/>
          <w:bCs w:val="1"/>
          <w:color w:val="auto"/>
        </w:rPr>
        <w:t>the submission by third parties of protests to our responses to requests for proposal that could result in delays or withdrawals of those requests for proposal; and</w:t>
      </w:r>
    </w:p>
    <w:p>
      <w:pPr>
        <w:spacing w:after="0" w:line="122" w:lineRule="exact"/>
        <w:rPr>
          <w:rFonts w:ascii="Arial" w:cs="Arial" w:eastAsia="Arial" w:hAnsi="Arial"/>
          <w:sz w:val="18"/>
          <w:szCs w:val="18"/>
          <w:b w:val="1"/>
          <w:bCs w:val="1"/>
          <w:color w:val="2C2C2C"/>
        </w:rPr>
      </w:pPr>
    </w:p>
    <w:p>
      <w:pPr>
        <w:jc w:val="both"/>
        <w:ind w:left="660" w:hanging="652"/>
        <w:spacing w:after="0" w:line="256" w:lineRule="auto"/>
        <w:tabs>
          <w:tab w:leader="none" w:pos="660" w:val="left"/>
        </w:tabs>
        <w:numPr>
          <w:ilvl w:val="0"/>
          <w:numId w:val="32"/>
        </w:numPr>
        <w:rPr>
          <w:rFonts w:ascii="Arial" w:cs="Arial" w:eastAsia="Arial" w:hAnsi="Arial"/>
          <w:sz w:val="18"/>
          <w:szCs w:val="18"/>
          <w:b w:val="1"/>
          <w:bCs w:val="1"/>
          <w:color w:val="2C2C2C"/>
        </w:rPr>
      </w:pPr>
      <w:r>
        <w:rPr>
          <w:rFonts w:ascii="Arial" w:cs="Arial" w:eastAsia="Arial" w:hAnsi="Arial"/>
          <w:sz w:val="18"/>
          <w:szCs w:val="18"/>
          <w:b w:val="1"/>
          <w:bCs w:val="1"/>
          <w:color w:val="auto"/>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The USG may choose not to award us future contracts for either the development of our new product candidates or for the procurement of our existing products addressing PHTs and may instead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spacing w:after="0" w:line="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Laws and regulations affecting government contracts make it costlier and more difficult for us to successfully conduct our business. Failure to comply with these laws could result in significant civil and criminal penalties and materially damage our reputation and relationship with the USG, which could have a material adverse effect on our business, financial condition, operating results and cash flows.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As a manufacturer and supplier of MCMs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Among the most significant government contracting regulations that affect our business are:</w:t>
      </w:r>
    </w:p>
    <w:p>
      <w:pPr>
        <w:spacing w:after="0" w:line="3" w:lineRule="exact"/>
        <w:rPr>
          <w:sz w:val="20"/>
          <w:szCs w:val="20"/>
          <w:color w:val="auto"/>
        </w:rPr>
      </w:pPr>
    </w:p>
    <w:p>
      <w:pPr>
        <w:jc w:val="both"/>
        <w:ind w:left="660" w:hanging="658"/>
        <w:spacing w:after="0" w:line="253" w:lineRule="auto"/>
        <w:tabs>
          <w:tab w:leader="none" w:pos="660" w:val="left"/>
        </w:tabs>
        <w:numPr>
          <w:ilvl w:val="0"/>
          <w:numId w:val="33"/>
        </w:numPr>
        <w:rPr>
          <w:rFonts w:ascii="Arial" w:cs="Arial" w:eastAsia="Arial" w:hAnsi="Arial"/>
          <w:sz w:val="18"/>
          <w:szCs w:val="18"/>
          <w:b w:val="1"/>
          <w:bCs w:val="1"/>
          <w:color w:val="2C2C2C"/>
        </w:rPr>
      </w:pPr>
      <w:r>
        <w:rPr>
          <w:rFonts w:ascii="Arial" w:cs="Arial" w:eastAsia="Arial" w:hAnsi="Arial"/>
          <w:sz w:val="18"/>
          <w:szCs w:val="18"/>
          <w:b w:val="1"/>
          <w:bCs w:val="1"/>
          <w:color w:val="auto"/>
        </w:rPr>
        <w:t>the Federal Acquisition Regulation (FAR), and agency-specific regulations supplemental to FAR, which comprehensively regulate the award, formation, administration and performance of government contracts;</w:t>
      </w:r>
    </w:p>
    <w:p>
      <w:pPr>
        <w:spacing w:after="0" w:line="129" w:lineRule="exact"/>
        <w:rPr>
          <w:rFonts w:ascii="Arial" w:cs="Arial" w:eastAsia="Arial" w:hAnsi="Arial"/>
          <w:sz w:val="18"/>
          <w:szCs w:val="18"/>
          <w:b w:val="1"/>
          <w:bCs w:val="1"/>
          <w:color w:val="2C2C2C"/>
        </w:rPr>
      </w:pPr>
    </w:p>
    <w:p>
      <w:pPr>
        <w:jc w:val="both"/>
        <w:ind w:left="660" w:hanging="658"/>
        <w:spacing w:after="0" w:line="259" w:lineRule="auto"/>
        <w:tabs>
          <w:tab w:leader="none" w:pos="660" w:val="left"/>
        </w:tabs>
        <w:numPr>
          <w:ilvl w:val="0"/>
          <w:numId w:val="33"/>
        </w:numPr>
        <w:rPr>
          <w:rFonts w:ascii="Arial" w:cs="Arial" w:eastAsia="Arial" w:hAnsi="Arial"/>
          <w:sz w:val="18"/>
          <w:szCs w:val="18"/>
          <w:b w:val="1"/>
          <w:bCs w:val="1"/>
          <w:color w:val="2C2C2C"/>
        </w:rPr>
      </w:pPr>
      <w:r>
        <w:rPr>
          <w:rFonts w:ascii="Arial" w:cs="Arial" w:eastAsia="Arial" w:hAnsi="Arial"/>
          <w:sz w:val="18"/>
          <w:szCs w:val="18"/>
          <w:b w:val="1"/>
          <w:bCs w:val="1"/>
          <w:color w:val="auto"/>
        </w:rPr>
        <w:t>the Defense Federal Acquisition Regulations (DFARs), and agency-specific regulations supplemental to DFARs, which comprehensively regulate the award, formation, administration and performance of U.S. Department of Defense (DoD) government contracts;</w:t>
      </w:r>
    </w:p>
    <w:p>
      <w:pPr>
        <w:spacing w:after="0" w:line="125" w:lineRule="exact"/>
        <w:rPr>
          <w:rFonts w:ascii="Arial" w:cs="Arial" w:eastAsia="Arial" w:hAnsi="Arial"/>
          <w:sz w:val="18"/>
          <w:szCs w:val="18"/>
          <w:b w:val="1"/>
          <w:bCs w:val="1"/>
          <w:color w:val="2C2C2C"/>
        </w:rPr>
      </w:pPr>
    </w:p>
    <w:p>
      <w:pPr>
        <w:jc w:val="both"/>
        <w:ind w:left="660" w:right="20" w:hanging="658"/>
        <w:spacing w:after="0" w:line="262" w:lineRule="auto"/>
        <w:tabs>
          <w:tab w:leader="none" w:pos="660" w:val="left"/>
        </w:tabs>
        <w:numPr>
          <w:ilvl w:val="0"/>
          <w:numId w:val="33"/>
        </w:numPr>
        <w:rPr>
          <w:rFonts w:ascii="Arial" w:cs="Arial" w:eastAsia="Arial" w:hAnsi="Arial"/>
          <w:sz w:val="18"/>
          <w:szCs w:val="18"/>
          <w:b w:val="1"/>
          <w:bCs w:val="1"/>
          <w:color w:val="2C2C2C"/>
        </w:rPr>
      </w:pPr>
      <w:r>
        <w:rPr>
          <w:rFonts w:ascii="Arial" w:cs="Arial" w:eastAsia="Arial" w:hAnsi="Arial"/>
          <w:sz w:val="18"/>
          <w:szCs w:val="18"/>
          <w:b w:val="1"/>
          <w:bCs w:val="1"/>
          <w:color w:val="auto"/>
        </w:rPr>
        <w:t>the Department of State Acquisition Regulation (DOSAR), which regulates the relationship between a Department of State organization and a contractor or potential contractor;</w:t>
      </w:r>
    </w:p>
    <w:p>
      <w:pPr>
        <w:spacing w:after="0" w:line="122" w:lineRule="exact"/>
        <w:rPr>
          <w:rFonts w:ascii="Arial" w:cs="Arial" w:eastAsia="Arial" w:hAnsi="Arial"/>
          <w:sz w:val="18"/>
          <w:szCs w:val="18"/>
          <w:b w:val="1"/>
          <w:bCs w:val="1"/>
          <w:color w:val="2C2C2C"/>
        </w:rPr>
      </w:pPr>
    </w:p>
    <w:p>
      <w:pPr>
        <w:jc w:val="both"/>
        <w:ind w:left="660" w:right="20" w:hanging="658"/>
        <w:spacing w:after="0" w:line="256" w:lineRule="auto"/>
        <w:tabs>
          <w:tab w:leader="none" w:pos="660" w:val="left"/>
        </w:tabs>
        <w:numPr>
          <w:ilvl w:val="0"/>
          <w:numId w:val="33"/>
        </w:numPr>
        <w:rPr>
          <w:rFonts w:ascii="Arial" w:cs="Arial" w:eastAsia="Arial" w:hAnsi="Arial"/>
          <w:sz w:val="18"/>
          <w:szCs w:val="18"/>
          <w:b w:val="1"/>
          <w:bCs w:val="1"/>
          <w:color w:val="2C2C2C"/>
        </w:rPr>
      </w:pPr>
      <w:r>
        <w:rPr>
          <w:rFonts w:ascii="Arial" w:cs="Arial" w:eastAsia="Arial" w:hAnsi="Arial"/>
          <w:sz w:val="18"/>
          <w:szCs w:val="18"/>
          <w:b w:val="1"/>
          <w:bCs w:val="1"/>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53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39</w:t>
      </w:r>
    </w:p>
    <w:p>
      <w:pPr>
        <w:sectPr>
          <w:pgSz w:w="11900" w:h="16838" w:orient="portrait"/>
          <w:cols w:equalWidth="0" w:num="1">
            <w:col w:w="11420"/>
          </w:cols>
          <w:pgMar w:left="240" w:top="112"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left="660" w:hanging="652"/>
        <w:spacing w:after="0" w:line="269" w:lineRule="auto"/>
        <w:tabs>
          <w:tab w:leader="none" w:pos="660" w:val="left"/>
        </w:tabs>
        <w:numPr>
          <w:ilvl w:val="0"/>
          <w:numId w:val="34"/>
        </w:numPr>
        <w:rPr>
          <w:rFonts w:ascii="Arial" w:cs="Arial" w:eastAsia="Arial" w:hAnsi="Arial"/>
          <w:sz w:val="18"/>
          <w:szCs w:val="18"/>
          <w:b w:val="1"/>
          <w:bCs w:val="1"/>
          <w:color w:val="2C2C2C"/>
        </w:rPr>
      </w:pPr>
      <w:r>
        <w:rPr>
          <w:rFonts w:ascii="Arial" w:cs="Arial" w:eastAsia="Arial" w:hAnsi="Arial"/>
          <w:sz w:val="18"/>
          <w:szCs w:val="18"/>
          <w:b w:val="1"/>
          <w:bCs w:val="1"/>
          <w:color w:val="auto"/>
        </w:rPr>
        <w:t>export and import control laws and regulations, including but not limited to International Traffic in Arms Regulations; and</w:t>
      </w:r>
    </w:p>
    <w:p>
      <w:pPr>
        <w:spacing w:after="0" w:line="114" w:lineRule="exact"/>
        <w:rPr>
          <w:rFonts w:ascii="Arial" w:cs="Arial" w:eastAsia="Arial" w:hAnsi="Arial"/>
          <w:sz w:val="18"/>
          <w:szCs w:val="18"/>
          <w:b w:val="1"/>
          <w:bCs w:val="1"/>
          <w:color w:val="2C2C2C"/>
        </w:rPr>
      </w:pPr>
    </w:p>
    <w:p>
      <w:pPr>
        <w:jc w:val="both"/>
        <w:ind w:left="660" w:hanging="652"/>
        <w:spacing w:after="0" w:line="262" w:lineRule="auto"/>
        <w:tabs>
          <w:tab w:leader="none" w:pos="660" w:val="left"/>
        </w:tabs>
        <w:numPr>
          <w:ilvl w:val="0"/>
          <w:numId w:val="34"/>
        </w:numPr>
        <w:rPr>
          <w:rFonts w:ascii="Arial" w:cs="Arial" w:eastAsia="Arial" w:hAnsi="Arial"/>
          <w:sz w:val="18"/>
          <w:szCs w:val="18"/>
          <w:b w:val="1"/>
          <w:bCs w:val="1"/>
          <w:color w:val="2C2C2C"/>
        </w:rPr>
      </w:pPr>
      <w:r>
        <w:rPr>
          <w:rFonts w:ascii="Arial" w:cs="Arial" w:eastAsia="Arial" w:hAnsi="Arial"/>
          <w:sz w:val="18"/>
          <w:szCs w:val="18"/>
          <w:b w:val="1"/>
          <w:bCs w:val="1"/>
          <w:color w:val="auto"/>
        </w:rPr>
        <w:t>laws, regulations and executive orders restricting the use and dissemination of information classified for national security purposes and the exportation of certain products and technical data.</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uncertainties and may have a material adverse impact on our business, financial condition, operating results and cash flows.</w:t>
      </w:r>
    </w:p>
    <w:p>
      <w:pPr>
        <w:spacing w:after="0" w:line="4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Government contracts customarily contain provisions that give the USG substantial rights and remedies, many of which are not typically found in commercial contracts, including provisions that allow the USG to:</w:t>
      </w:r>
    </w:p>
    <w:p>
      <w:pPr>
        <w:spacing w:after="0" w:line="3" w:lineRule="exact"/>
        <w:rPr>
          <w:sz w:val="20"/>
          <w:szCs w:val="20"/>
          <w:color w:val="auto"/>
        </w:rPr>
      </w:pPr>
    </w:p>
    <w:p>
      <w:pPr>
        <w:ind w:left="660" w:right="20" w:hanging="658"/>
        <w:spacing w:after="0" w:line="250" w:lineRule="auto"/>
        <w:tabs>
          <w:tab w:leader="none" w:pos="660" w:val="left"/>
        </w:tabs>
        <w:numPr>
          <w:ilvl w:val="0"/>
          <w:numId w:val="35"/>
        </w:numPr>
        <w:rPr>
          <w:rFonts w:ascii="Arial" w:cs="Arial" w:eastAsia="Arial" w:hAnsi="Arial"/>
          <w:sz w:val="18"/>
          <w:szCs w:val="18"/>
          <w:b w:val="1"/>
          <w:bCs w:val="1"/>
          <w:color w:val="2C2C2C"/>
        </w:rPr>
      </w:pPr>
      <w:r>
        <w:rPr>
          <w:rFonts w:ascii="Arial" w:cs="Arial" w:eastAsia="Arial" w:hAnsi="Arial"/>
          <w:sz w:val="18"/>
          <w:szCs w:val="18"/>
          <w:b w:val="1"/>
          <w:bCs w:val="1"/>
          <w:color w:val="auto"/>
        </w:rPr>
        <w:t>terminate existing contracts, in whole or in part, for any reason or no reason;</w:t>
      </w:r>
    </w:p>
    <w:p>
      <w:pPr>
        <w:spacing w:after="0" w:line="1"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jc w:val="both"/>
        <w:ind w:firstLine="324"/>
        <w:spacing w:after="0" w:line="251" w:lineRule="auto"/>
        <w:rPr>
          <w:sz w:val="20"/>
          <w:szCs w:val="20"/>
          <w:color w:val="auto"/>
        </w:rPr>
      </w:pPr>
      <w:r>
        <w:rPr>
          <w:rFonts w:ascii="Arial" w:cs="Arial" w:eastAsia="Arial" w:hAnsi="Arial"/>
          <w:sz w:val="18"/>
          <w:szCs w:val="18"/>
          <w:b w:val="1"/>
          <w:bCs w:val="1"/>
          <w:color w:val="auto"/>
        </w:rPr>
        <w:t>We may be subject to government investigations of business practices and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Our current procurement contracts with HHS and the DoD are fixed price contracts. We expect that future procurement contracts we successfully secure with the USG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660" w:right="20" w:hanging="658"/>
        <w:spacing w:after="0" w:line="287"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unilaterally reduce or modify contracts or subcontracts, including by imposing equitable price adjustments;</w:t>
      </w:r>
    </w:p>
    <w:p>
      <w:pPr>
        <w:spacing w:after="0" w:line="99" w:lineRule="exact"/>
        <w:rPr>
          <w:rFonts w:ascii="Arial" w:cs="Arial" w:eastAsia="Arial" w:hAnsi="Arial"/>
          <w:sz w:val="18"/>
          <w:szCs w:val="18"/>
          <w:b w:val="1"/>
          <w:bCs w:val="1"/>
          <w:color w:val="2C2C2C"/>
        </w:rPr>
      </w:pPr>
    </w:p>
    <w:p>
      <w:pPr>
        <w:jc w:val="both"/>
        <w:ind w:left="660" w:right="20" w:hanging="658"/>
        <w:spacing w:after="0" w:line="269"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cancel multi-year contracts and related orders, if funds for contract performance for any subsequent year become unavailable;</w:t>
      </w:r>
    </w:p>
    <w:p>
      <w:pPr>
        <w:spacing w:after="0" w:line="114" w:lineRule="exact"/>
        <w:rPr>
          <w:rFonts w:ascii="Arial" w:cs="Arial" w:eastAsia="Arial" w:hAnsi="Arial"/>
          <w:sz w:val="18"/>
          <w:szCs w:val="18"/>
          <w:b w:val="1"/>
          <w:bCs w:val="1"/>
          <w:color w:val="2C2C2C"/>
        </w:rPr>
      </w:pPr>
    </w:p>
    <w:p>
      <w:pPr>
        <w:jc w:val="both"/>
        <w:ind w:left="660" w:right="20" w:hanging="658"/>
        <w:spacing w:after="0" w:line="262"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decline, in whole or in part, to exercise an option to purchase product under a procurement contract or to fund additional development under a development contract;</w:t>
      </w:r>
    </w:p>
    <w:p>
      <w:pPr>
        <w:spacing w:after="0" w:line="122" w:lineRule="exact"/>
        <w:rPr>
          <w:rFonts w:ascii="Arial" w:cs="Arial" w:eastAsia="Arial" w:hAnsi="Arial"/>
          <w:sz w:val="18"/>
          <w:szCs w:val="18"/>
          <w:b w:val="1"/>
          <w:bCs w:val="1"/>
          <w:color w:val="2C2C2C"/>
        </w:rPr>
      </w:pPr>
    </w:p>
    <w:p>
      <w:pPr>
        <w:ind w:left="660" w:hanging="658"/>
        <w:spacing w:after="0"/>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decline to renew a procurement contract;</w:t>
      </w:r>
    </w:p>
    <w:p>
      <w:pPr>
        <w:spacing w:after="0" w:line="171" w:lineRule="exact"/>
        <w:rPr>
          <w:rFonts w:ascii="Arial" w:cs="Arial" w:eastAsia="Arial" w:hAnsi="Arial"/>
          <w:sz w:val="18"/>
          <w:szCs w:val="18"/>
          <w:b w:val="1"/>
          <w:bCs w:val="1"/>
          <w:color w:val="2C2C2C"/>
        </w:rPr>
      </w:pPr>
    </w:p>
    <w:p>
      <w:pPr>
        <w:ind w:left="660" w:right="20" w:hanging="658"/>
        <w:spacing w:after="0" w:line="287"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claim rights to facilities or to products, including intellectual property, developed under the contract;</w:t>
      </w:r>
    </w:p>
    <w:p>
      <w:pPr>
        <w:spacing w:after="0" w:line="99" w:lineRule="exact"/>
        <w:rPr>
          <w:rFonts w:ascii="Arial" w:cs="Arial" w:eastAsia="Arial" w:hAnsi="Arial"/>
          <w:sz w:val="18"/>
          <w:szCs w:val="18"/>
          <w:b w:val="1"/>
          <w:bCs w:val="1"/>
          <w:color w:val="2C2C2C"/>
        </w:rPr>
      </w:pPr>
    </w:p>
    <w:p>
      <w:pPr>
        <w:jc w:val="both"/>
        <w:ind w:left="660" w:right="20" w:hanging="658"/>
        <w:spacing w:after="0" w:line="318" w:lineRule="auto"/>
        <w:tabs>
          <w:tab w:leader="none" w:pos="660" w:val="left"/>
        </w:tabs>
        <w:numPr>
          <w:ilvl w:val="0"/>
          <w:numId w:val="36"/>
        </w:numPr>
        <w:rPr>
          <w:rFonts w:ascii="Arial" w:cs="Arial" w:eastAsia="Arial" w:hAnsi="Arial"/>
          <w:sz w:val="17"/>
          <w:szCs w:val="17"/>
          <w:b w:val="1"/>
          <w:bCs w:val="1"/>
          <w:color w:val="2C2C2C"/>
        </w:rPr>
      </w:pPr>
      <w:r>
        <w:rPr>
          <w:rFonts w:ascii="Arial" w:cs="Arial" w:eastAsia="Arial" w:hAnsi="Arial"/>
          <w:sz w:val="17"/>
          <w:szCs w:val="17"/>
          <w:b w:val="1"/>
          <w:bCs w:val="1"/>
          <w:color w:val="auto"/>
        </w:rPr>
        <w:t>require repayment of contract funds spent on construction of facilities in the event of contract default;</w:t>
      </w:r>
    </w:p>
    <w:p>
      <w:pPr>
        <w:spacing w:after="0" w:line="76" w:lineRule="exact"/>
        <w:rPr>
          <w:rFonts w:ascii="Arial" w:cs="Arial" w:eastAsia="Arial" w:hAnsi="Arial"/>
          <w:sz w:val="17"/>
          <w:szCs w:val="17"/>
          <w:b w:val="1"/>
          <w:bCs w:val="1"/>
          <w:color w:val="2C2C2C"/>
        </w:rPr>
      </w:pPr>
    </w:p>
    <w:p>
      <w:pPr>
        <w:ind w:left="660" w:right="20" w:hanging="658"/>
        <w:spacing w:after="0" w:line="287"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take actions that result in a longer development timeline than expected;</w:t>
      </w:r>
    </w:p>
    <w:p>
      <w:pPr>
        <w:spacing w:after="0" w:line="99" w:lineRule="exact"/>
        <w:rPr>
          <w:rFonts w:ascii="Arial" w:cs="Arial" w:eastAsia="Arial" w:hAnsi="Arial"/>
          <w:sz w:val="18"/>
          <w:szCs w:val="18"/>
          <w:b w:val="1"/>
          <w:bCs w:val="1"/>
          <w:color w:val="2C2C2C"/>
        </w:rPr>
      </w:pPr>
    </w:p>
    <w:p>
      <w:pPr>
        <w:ind w:left="660" w:hanging="658"/>
        <w:spacing w:after="0" w:line="287"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direct the course of a development program in a manner not chosen by the government contractor;</w:t>
      </w:r>
    </w:p>
    <w:p>
      <w:pPr>
        <w:spacing w:after="0" w:line="99" w:lineRule="exact"/>
        <w:rPr>
          <w:rFonts w:ascii="Arial" w:cs="Arial" w:eastAsia="Arial" w:hAnsi="Arial"/>
          <w:sz w:val="18"/>
          <w:szCs w:val="18"/>
          <w:b w:val="1"/>
          <w:bCs w:val="1"/>
          <w:color w:val="2C2C2C"/>
        </w:rPr>
      </w:pPr>
    </w:p>
    <w:p>
      <w:pPr>
        <w:ind w:left="660" w:hanging="658"/>
        <w:spacing w:after="0" w:line="287"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suspend or debar the contractor from doing business with the government or a specific government agency;</w:t>
      </w:r>
    </w:p>
    <w:p>
      <w:pPr>
        <w:spacing w:after="0" w:line="99" w:lineRule="exact"/>
        <w:rPr>
          <w:rFonts w:ascii="Arial" w:cs="Arial" w:eastAsia="Arial" w:hAnsi="Arial"/>
          <w:sz w:val="18"/>
          <w:szCs w:val="18"/>
          <w:b w:val="1"/>
          <w:bCs w:val="1"/>
          <w:color w:val="2C2C2C"/>
        </w:rPr>
      </w:pPr>
    </w:p>
    <w:p>
      <w:pPr>
        <w:ind w:left="660" w:right="20" w:hanging="658"/>
        <w:spacing w:after="0" w:line="287" w:lineRule="auto"/>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pursue civil or criminal remedies under acts such as the False Claims Act and False Statements Act; and</w:t>
      </w:r>
    </w:p>
    <w:p>
      <w:pPr>
        <w:spacing w:after="0" w:line="99" w:lineRule="exact"/>
        <w:rPr>
          <w:rFonts w:ascii="Arial" w:cs="Arial" w:eastAsia="Arial" w:hAnsi="Arial"/>
          <w:sz w:val="18"/>
          <w:szCs w:val="18"/>
          <w:b w:val="1"/>
          <w:bCs w:val="1"/>
          <w:color w:val="2C2C2C"/>
        </w:rPr>
      </w:pPr>
    </w:p>
    <w:p>
      <w:pPr>
        <w:ind w:left="660" w:hanging="658"/>
        <w:spacing w:after="0"/>
        <w:tabs>
          <w:tab w:leader="none" w:pos="660"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control or prohibit the export of products.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w:t>
      </w:r>
    </w:p>
    <w:p>
      <w:pPr>
        <w:spacing w:after="0" w:line="537"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40</w:t>
      </w:r>
    </w:p>
    <w:p>
      <w:pPr>
        <w:sectPr>
          <w:pgSz w:w="11900" w:h="16838" w:orient="portrait"/>
          <w:cols w:equalWidth="0" w:num="1">
            <w:col w:w="11420"/>
          </w:cols>
          <w:pgMar w:left="240" w:top="112"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recover costs incurred and associated profits on accepted items only and may be liable for excess costs incurred by the government in procuring undelivered items from another source. All of our contracts, both development and procurement, with the USG, are terminable at the USG’s convenience with these potential consequences.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In addition, our USG contracts grant the USG the right to use technologies developed by us under the government contract or the right to share data related to our technologies, for or on behalf of the USG. Under our USG contracts, we might not be able to prohibit third parties, including our competitors, from accessing such technology or data, including intellectual property, in providing products and services to the USG.</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RELIANCE ON THIRD PARTIES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The loss of any of our non-exclusive, sole-source or single source suppliers or an increase in the price of inventory supplied to us could have an adverse effect on our business, financial condition and results of operations.</w:t>
      </w:r>
    </w:p>
    <w:p>
      <w:pPr>
        <w:spacing w:after="0" w:line="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purchase certain supplies used in our manufacturing processes from non-exclusive, or single sources due to quality considerations, costs or constraints resulting from regulatory requirements, including key components for NARCAN® Nasal Spray (Naloxone API, along with the vial, stopper and device). 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the complex nature of manufacturing processes. In addition, we may lose a sole-source supplier due to, among other things, the acquisition of such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an increase in the price of those materials or components could adversely affect our business, financial condition and results of operations.</w:t>
      </w:r>
    </w:p>
    <w:p>
      <w:pPr>
        <w:spacing w:after="0" w:line="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Additionally, any failure by us to forecast demand for, or our suppliers to maintain an adequate supply of, the raw material and finished product for producing NARCAN® Nasal Spray could result in an interruption in the supply of NARCAN® Nasal Spray and a decline in sales of the product.</w:t>
      </w:r>
    </w:p>
    <w:p>
      <w:pPr>
        <w:spacing w:after="0" w:line="7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If we are unable to obtain supplies for the manufacture of our products and product candidates in sufficient quantities, at an acceptable cost and in acceptable quality, our ability to manufacture or to</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7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 BioThrax and AV7909, and currently rely on a single-source supplier to manufacture raxibacumab. We also rely on single-source suppliers for the sponge applicator device and the active ingredient used to make RSDL as well as the specialty plasma in our hyperimmune specialty plasma products and certain ingredients for ACAM2000.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41</w:t>
      </w:r>
    </w:p>
    <w:p>
      <w:pPr>
        <w:sectPr>
          <w:pgSz w:w="11900" w:h="16838" w:orient="portrait"/>
          <w:cols w:equalWidth="0" w:num="1">
            <w:col w:w="11420"/>
          </w:cols>
          <w:pgMar w:left="240" w:top="112"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REGULATORY AND COMPLIANCE RISKS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In the United States, to obtain approval from the FDA to market any of our future biologic products, we will be required to submit a biologics license application (BLA) to the FDA. Ordinarily, the FDA requires a company to support a BLA with substantial evidence of the product candidate’s safety, purity and potency in treating the targeted indication based on data derived from adequate and well-controlled clinical trials, including Phase 3 trials conducted in patients with the disease or condition being targeted.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However, AV7909 and many of our MCM product candidates, for example, may take advantage of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AV7909 or any of our PHT MCM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generally may cause delays in the approval or rejection of an application.</w:t>
      </w:r>
    </w:p>
    <w:p>
      <w:pPr>
        <w:spacing w:after="0" w:line="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Even if we or our collaborators obtain marketing approvals for our product candidates, the terms of approvals and ongoing regulation of our products may limit how we manufacture and market our products, which could materially impair our ability to generate revenue.</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Once marketing approval has been granted, an approved product and its manufacturer and marketer are subject to ongoing review and extensive regulation. We and our collaborators must therefore comply with requirements concerning advertising and</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42</w:t>
      </w:r>
    </w:p>
    <w:p>
      <w:pPr>
        <w:sectPr>
          <w:pgSz w:w="11900" w:h="16838" w:orient="portrait"/>
          <w:cols w:equalWidth="0" w:num="1">
            <w:col w:w="11420"/>
          </w:cols>
          <w:pgMar w:left="240" w:top="112"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promotion for any of our product candidates for which we obtain marketing approval. Promotional communications with respect to prescription products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collaborators and our contract manufacturers could be subject to periodic unannounced inspections by the FDA to monitor and ensure compliance with cGMPs.</w:t>
      </w:r>
    </w:p>
    <w:p>
      <w:pPr>
        <w:spacing w:after="0" w:line="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Accordingly, were we to receive marketing approval for one or more of our product candidates, we would continue to expend time, money and effort in all areas of regulatory compliance, including manufacturing, production, product surveillance and quality control.</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If we and our collaborators are not able to comply with post-approval regulatory requirements, we could have the marketing approvals for our products withdrawn by regulatory authorities and our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Any </w:t>
      </w:r>
      <w:r>
        <w:rPr>
          <w:rFonts w:ascii="Arial" w:cs="Arial" w:eastAsia="Arial" w:hAnsi="Arial"/>
          <w:sz w:val="18"/>
          <w:szCs w:val="18"/>
          <w:b w:val="1"/>
          <w:bCs w:val="1"/>
          <w:i w:val="1"/>
          <w:iCs w:val="1"/>
          <w:color w:val="auto"/>
        </w:rPr>
        <w:t>product candidate for which we or our collaborators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Any product candidate for which we or our collaborators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Even if marketing approval of a product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FDA and other agencies, including the Department of Justice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9" w:lineRule="exact"/>
        <w:rPr>
          <w:sz w:val="20"/>
          <w:szCs w:val="20"/>
          <w:color w:val="auto"/>
        </w:rPr>
      </w:pPr>
    </w:p>
    <w:p>
      <w:pPr>
        <w:ind w:left="660" w:right="20" w:hanging="334"/>
        <w:spacing w:after="0" w:line="287" w:lineRule="auto"/>
        <w:tabs>
          <w:tab w:leader="none" w:pos="660" w:val="left"/>
        </w:tabs>
        <w:numPr>
          <w:ilvl w:val="0"/>
          <w:numId w:val="37"/>
        </w:numPr>
        <w:rPr>
          <w:rFonts w:ascii="Arial" w:cs="Arial" w:eastAsia="Arial" w:hAnsi="Arial"/>
          <w:sz w:val="18"/>
          <w:szCs w:val="18"/>
          <w:b w:val="1"/>
          <w:bCs w:val="1"/>
          <w:color w:val="2C2C2C"/>
        </w:rPr>
      </w:pPr>
      <w:r>
        <w:rPr>
          <w:rFonts w:ascii="Arial" w:cs="Arial" w:eastAsia="Arial" w:hAnsi="Arial"/>
          <w:sz w:val="18"/>
          <w:szCs w:val="18"/>
          <w:b w:val="1"/>
          <w:bCs w:val="1"/>
          <w:color w:val="auto"/>
        </w:rPr>
        <w:t>restrictions on such products, manufacturers or manufacturing processes;</w:t>
      </w:r>
    </w:p>
    <w:p>
      <w:pPr>
        <w:spacing w:after="0" w:line="45" w:lineRule="exact"/>
        <w:rPr>
          <w:rFonts w:ascii="Arial" w:cs="Arial" w:eastAsia="Arial" w:hAnsi="Arial"/>
          <w:sz w:val="18"/>
          <w:szCs w:val="18"/>
          <w:b w:val="1"/>
          <w:bCs w:val="1"/>
          <w:color w:val="2C2C2C"/>
        </w:rPr>
      </w:pPr>
    </w:p>
    <w:p>
      <w:pPr>
        <w:ind w:left="660" w:hanging="334"/>
        <w:spacing w:after="0"/>
        <w:tabs>
          <w:tab w:leader="none" w:pos="660" w:val="left"/>
        </w:tabs>
        <w:numPr>
          <w:ilvl w:val="0"/>
          <w:numId w:val="37"/>
        </w:numPr>
        <w:rPr>
          <w:rFonts w:ascii="Arial" w:cs="Arial" w:eastAsia="Arial" w:hAnsi="Arial"/>
          <w:sz w:val="18"/>
          <w:szCs w:val="18"/>
          <w:b w:val="1"/>
          <w:bCs w:val="1"/>
          <w:color w:val="2C2C2C"/>
        </w:rPr>
      </w:pPr>
      <w:r>
        <w:rPr>
          <w:rFonts w:ascii="Arial" w:cs="Arial" w:eastAsia="Arial" w:hAnsi="Arial"/>
          <w:sz w:val="18"/>
          <w:szCs w:val="18"/>
          <w:b w:val="1"/>
          <w:bCs w:val="1"/>
          <w:color w:val="auto"/>
        </w:rPr>
        <w:t>restrictions on the labeling or marketing of a product;</w:t>
      </w:r>
    </w:p>
    <w:p>
      <w:pPr>
        <w:spacing w:after="0" w:line="117" w:lineRule="exact"/>
        <w:rPr>
          <w:rFonts w:ascii="Arial" w:cs="Arial" w:eastAsia="Arial" w:hAnsi="Arial"/>
          <w:sz w:val="18"/>
          <w:szCs w:val="18"/>
          <w:b w:val="1"/>
          <w:bCs w:val="1"/>
          <w:color w:val="2C2C2C"/>
        </w:rPr>
      </w:pPr>
    </w:p>
    <w:p>
      <w:pPr>
        <w:ind w:left="660" w:hanging="334"/>
        <w:spacing w:after="0"/>
        <w:tabs>
          <w:tab w:leader="none" w:pos="660" w:val="left"/>
        </w:tabs>
        <w:numPr>
          <w:ilvl w:val="0"/>
          <w:numId w:val="37"/>
        </w:numPr>
        <w:rPr>
          <w:rFonts w:ascii="Arial" w:cs="Arial" w:eastAsia="Arial" w:hAnsi="Arial"/>
          <w:sz w:val="18"/>
          <w:szCs w:val="18"/>
          <w:b w:val="1"/>
          <w:bCs w:val="1"/>
          <w:color w:val="2C2C2C"/>
        </w:rPr>
      </w:pPr>
      <w:r>
        <w:rPr>
          <w:rFonts w:ascii="Arial" w:cs="Arial" w:eastAsia="Arial" w:hAnsi="Arial"/>
          <w:sz w:val="18"/>
          <w:szCs w:val="18"/>
          <w:b w:val="1"/>
          <w:bCs w:val="1"/>
          <w:color w:val="auto"/>
        </w:rPr>
        <w:t>restrictions on distribution or use of a product;</w:t>
      </w:r>
    </w:p>
    <w:p>
      <w:pPr>
        <w:spacing w:after="0" w:line="117" w:lineRule="exact"/>
        <w:rPr>
          <w:rFonts w:ascii="Arial" w:cs="Arial" w:eastAsia="Arial" w:hAnsi="Arial"/>
          <w:sz w:val="18"/>
          <w:szCs w:val="18"/>
          <w:b w:val="1"/>
          <w:bCs w:val="1"/>
          <w:color w:val="2C2C2C"/>
        </w:rPr>
      </w:pPr>
    </w:p>
    <w:p>
      <w:pPr>
        <w:ind w:left="660" w:right="20" w:hanging="334"/>
        <w:spacing w:after="0" w:line="287"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to conduct post-marketing studies or clinical trials;</w:t>
      </w:r>
    </w:p>
    <w:p>
      <w:pPr>
        <w:spacing w:after="0" w:line="45" w:lineRule="exact"/>
        <w:rPr>
          <w:rFonts w:ascii="Arial" w:cs="Arial" w:eastAsia="Arial" w:hAnsi="Arial"/>
          <w:sz w:val="18"/>
          <w:szCs w:val="18"/>
          <w:b w:val="1"/>
          <w:bCs w:val="1"/>
          <w:color w:val="auto"/>
        </w:rPr>
      </w:pPr>
    </w:p>
    <w:p>
      <w:pPr>
        <w:ind w:left="660" w:hanging="334"/>
        <w:spacing w:after="0"/>
        <w:tabs>
          <w:tab w:leader="none" w:pos="660" w:val="left"/>
        </w:tabs>
        <w:numPr>
          <w:ilvl w:val="0"/>
          <w:numId w:val="37"/>
        </w:numPr>
        <w:rPr>
          <w:rFonts w:ascii="Arial" w:cs="Arial" w:eastAsia="Arial" w:hAnsi="Arial"/>
          <w:sz w:val="18"/>
          <w:szCs w:val="18"/>
          <w:b w:val="1"/>
          <w:bCs w:val="1"/>
          <w:color w:val="2C2C2C"/>
        </w:rPr>
      </w:pPr>
      <w:r>
        <w:rPr>
          <w:rFonts w:ascii="Arial" w:cs="Arial" w:eastAsia="Arial" w:hAnsi="Arial"/>
          <w:sz w:val="18"/>
          <w:szCs w:val="18"/>
          <w:b w:val="1"/>
          <w:bCs w:val="1"/>
          <w:color w:val="auto"/>
        </w:rPr>
        <w:t>warning letters or untitled letters;</w:t>
      </w:r>
    </w:p>
    <w:p>
      <w:pPr>
        <w:spacing w:after="0" w:line="117" w:lineRule="exact"/>
        <w:rPr>
          <w:rFonts w:ascii="Arial" w:cs="Arial" w:eastAsia="Arial" w:hAnsi="Arial"/>
          <w:sz w:val="18"/>
          <w:szCs w:val="18"/>
          <w:b w:val="1"/>
          <w:bCs w:val="1"/>
          <w:color w:val="2C2C2C"/>
        </w:rPr>
      </w:pPr>
    </w:p>
    <w:p>
      <w:pPr>
        <w:ind w:left="660" w:hanging="33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the products from the market;</w:t>
      </w:r>
    </w:p>
    <w:p>
      <w:pPr>
        <w:spacing w:after="0" w:line="117" w:lineRule="exact"/>
        <w:rPr>
          <w:rFonts w:ascii="Arial" w:cs="Arial" w:eastAsia="Arial" w:hAnsi="Arial"/>
          <w:sz w:val="18"/>
          <w:szCs w:val="18"/>
          <w:b w:val="1"/>
          <w:bCs w:val="1"/>
          <w:color w:val="auto"/>
        </w:rPr>
      </w:pPr>
    </w:p>
    <w:p>
      <w:pPr>
        <w:ind w:left="660" w:right="20" w:hanging="334"/>
        <w:spacing w:after="0" w:line="287"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refusal to approve pending applications or supplements to approved applications that we submit;</w:t>
      </w:r>
    </w:p>
    <w:p>
      <w:pPr>
        <w:spacing w:after="0" w:line="45" w:lineRule="exact"/>
        <w:rPr>
          <w:rFonts w:ascii="Arial" w:cs="Arial" w:eastAsia="Arial" w:hAnsi="Arial"/>
          <w:sz w:val="18"/>
          <w:szCs w:val="18"/>
          <w:b w:val="1"/>
          <w:bCs w:val="1"/>
          <w:color w:val="auto"/>
        </w:rPr>
      </w:pPr>
    </w:p>
    <w:p>
      <w:pPr>
        <w:ind w:left="660" w:hanging="33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recall of products;</w:t>
      </w:r>
    </w:p>
    <w:p>
      <w:pPr>
        <w:spacing w:after="0" w:line="117" w:lineRule="exact"/>
        <w:rPr>
          <w:rFonts w:ascii="Arial" w:cs="Arial" w:eastAsia="Arial" w:hAnsi="Arial"/>
          <w:sz w:val="18"/>
          <w:szCs w:val="18"/>
          <w:b w:val="1"/>
          <w:bCs w:val="1"/>
          <w:color w:val="auto"/>
        </w:rPr>
      </w:pPr>
    </w:p>
    <w:p>
      <w:pPr>
        <w:ind w:left="660" w:hanging="33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damage to relationships with collaborators;</w:t>
      </w:r>
    </w:p>
    <w:p>
      <w:pPr>
        <w:spacing w:after="0" w:line="117" w:lineRule="exact"/>
        <w:rPr>
          <w:rFonts w:ascii="Arial" w:cs="Arial" w:eastAsia="Arial" w:hAnsi="Arial"/>
          <w:sz w:val="18"/>
          <w:szCs w:val="18"/>
          <w:b w:val="1"/>
          <w:bCs w:val="1"/>
          <w:color w:val="auto"/>
        </w:rPr>
      </w:pPr>
    </w:p>
    <w:p>
      <w:pPr>
        <w:ind w:left="660" w:hanging="334"/>
        <w:spacing w:after="0" w:line="287"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unfavorable press coverage and damage to our reputation;</w:t>
      </w:r>
    </w:p>
    <w:p>
      <w:pPr>
        <w:spacing w:after="0" w:line="45" w:lineRule="exact"/>
        <w:rPr>
          <w:rFonts w:ascii="Arial" w:cs="Arial" w:eastAsia="Arial" w:hAnsi="Arial"/>
          <w:sz w:val="18"/>
          <w:szCs w:val="18"/>
          <w:b w:val="1"/>
          <w:bCs w:val="1"/>
          <w:color w:val="auto"/>
        </w:rPr>
      </w:pPr>
    </w:p>
    <w:p>
      <w:pPr>
        <w:ind w:left="660" w:hanging="334"/>
        <w:spacing w:after="0" w:line="287" w:lineRule="auto"/>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fines, restitution or disgorgement of profits or revenues;</w:t>
      </w:r>
    </w:p>
    <w:p>
      <w:pPr>
        <w:spacing w:after="0" w:line="45" w:lineRule="exact"/>
        <w:rPr>
          <w:rFonts w:ascii="Arial" w:cs="Arial" w:eastAsia="Arial" w:hAnsi="Arial"/>
          <w:sz w:val="18"/>
          <w:szCs w:val="18"/>
          <w:b w:val="1"/>
          <w:bCs w:val="1"/>
          <w:color w:val="auto"/>
        </w:rPr>
      </w:pPr>
    </w:p>
    <w:p>
      <w:pPr>
        <w:ind w:left="660" w:hanging="33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or withdrawal of marketing approvals;</w:t>
      </w:r>
    </w:p>
    <w:p>
      <w:pPr>
        <w:spacing w:after="0" w:line="776"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43</w:t>
      </w:r>
    </w:p>
    <w:p>
      <w:pPr>
        <w:sectPr>
          <w:pgSz w:w="11900" w:h="16838" w:orient="portrait"/>
          <w:cols w:equalWidth="0" w:num="1">
            <w:col w:w="11420"/>
          </w:cols>
          <w:pgMar w:left="240" w:top="112"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refusal to permit the import or export of our products;</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product seizure;</w:t>
      </w:r>
    </w:p>
    <w:p>
      <w:pPr>
        <w:spacing w:after="0" w:line="117" w:lineRule="exact"/>
        <w:rPr>
          <w:rFonts w:ascii="Arial" w:cs="Arial" w:eastAsia="Arial" w:hAnsi="Arial"/>
          <w:sz w:val="18"/>
          <w:szCs w:val="18"/>
          <w:b w:val="1"/>
          <w:bCs w:val="1"/>
          <w:color w:val="auto"/>
        </w:rPr>
      </w:pPr>
    </w:p>
    <w:p>
      <w:pPr>
        <w:ind w:left="660" w:right="66" w:hanging="328"/>
        <w:spacing w:after="0" w:line="287"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injunctions or the imposition of civil or criminal penalties; and</w:t>
      </w:r>
    </w:p>
    <w:p>
      <w:pPr>
        <w:spacing w:after="0" w:line="45"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involving patients using our products.</w:t>
      </w:r>
    </w:p>
    <w:p>
      <w:pPr>
        <w:spacing w:after="0" w:line="117" w:lineRule="exact"/>
        <w:rPr>
          <w:sz w:val="20"/>
          <w:szCs w:val="20"/>
          <w:color w:val="auto"/>
        </w:rPr>
      </w:pPr>
    </w:p>
    <w:p>
      <w:pPr>
        <w:jc w:val="both"/>
        <w:ind w:right="66"/>
        <w:spacing w:after="0" w:line="256" w:lineRule="auto"/>
        <w:rPr>
          <w:sz w:val="20"/>
          <w:szCs w:val="20"/>
          <w:color w:val="auto"/>
        </w:rPr>
      </w:pPr>
      <w:r>
        <w:rPr>
          <w:rFonts w:ascii="Arial" w:cs="Arial" w:eastAsia="Arial" w:hAnsi="Arial"/>
          <w:sz w:val="18"/>
          <w:szCs w:val="18"/>
          <w:b w:val="1"/>
          <w:bCs w:val="1"/>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spacing w:after="0" w:line="75" w:lineRule="exact"/>
        <w:rPr>
          <w:sz w:val="20"/>
          <w:szCs w:val="20"/>
          <w:color w:val="auto"/>
        </w:rPr>
      </w:pPr>
    </w:p>
    <w:p>
      <w:pPr>
        <w:jc w:val="both"/>
        <w:ind w:right="66" w:firstLine="324"/>
        <w:spacing w:after="0" w:line="262"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69" w:lineRule="exact"/>
        <w:rPr>
          <w:sz w:val="20"/>
          <w:szCs w:val="20"/>
          <w:color w:val="auto"/>
        </w:rPr>
      </w:pPr>
    </w:p>
    <w:p>
      <w:pPr>
        <w:jc w:val="both"/>
        <w:ind w:right="66" w:firstLine="324"/>
        <w:spacing w:after="0" w:line="254" w:lineRule="auto"/>
        <w:rPr>
          <w:sz w:val="20"/>
          <w:szCs w:val="20"/>
          <w:color w:val="auto"/>
        </w:rPr>
      </w:pPr>
      <w:r>
        <w:rPr>
          <w:rFonts w:ascii="Arial" w:cs="Arial" w:eastAsia="Arial" w:hAnsi="Arial"/>
          <w:sz w:val="18"/>
          <w:szCs w:val="18"/>
          <w:b w:val="1"/>
          <w:bCs w:val="1"/>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75" w:lineRule="exact"/>
        <w:rPr>
          <w:sz w:val="20"/>
          <w:szCs w:val="20"/>
          <w:color w:val="auto"/>
        </w:rPr>
      </w:pPr>
    </w:p>
    <w:p>
      <w:pPr>
        <w:jc w:val="both"/>
        <w:ind w:right="66" w:firstLine="324"/>
        <w:spacing w:after="0" w:line="254" w:lineRule="auto"/>
        <w:rPr>
          <w:sz w:val="20"/>
          <w:szCs w:val="20"/>
          <w:color w:val="auto"/>
        </w:rPr>
      </w:pPr>
      <w:r>
        <w:rPr>
          <w:rFonts w:ascii="Arial" w:cs="Arial" w:eastAsia="Arial" w:hAnsi="Arial"/>
          <w:sz w:val="18"/>
          <w:szCs w:val="18"/>
          <w:b w:val="1"/>
          <w:bCs w:val="1"/>
          <w:color w:val="auto"/>
        </w:rPr>
        <w:t>In March 2010, President Obama signed into law the Patient Protection and Affordable Care Act, as amended by the Health Care and Education Affordability Reconciliation Act (collectively, the ACA). Among the provisions of the ACA of potential importance to our business and our product candidates are the following:</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left="334" w:right="20" w:hanging="334"/>
        <w:spacing w:after="0" w:line="262"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expansion </w:t>
      </w:r>
      <w:r>
        <w:rPr>
          <w:rFonts w:ascii="Arial" w:cs="Arial" w:eastAsia="Arial" w:hAnsi="Arial"/>
          <w:sz w:val="18"/>
          <w:szCs w:val="18"/>
          <w:b w:val="1"/>
          <w:bCs w:val="1"/>
          <w:color w:val="000000"/>
        </w:rPr>
        <w:t>of healthcare fraud and abuse laws,</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including the civil False Claims Act and the federal Anti-Kickback Statute, new government investigative powers and enhanced penalties for noncompliance;</w:t>
      </w:r>
    </w:p>
    <w:p>
      <w:pPr>
        <w:spacing w:after="0" w:line="68" w:lineRule="exact"/>
        <w:rPr>
          <w:rFonts w:ascii="Arial" w:cs="Arial" w:eastAsia="Arial" w:hAnsi="Arial"/>
          <w:sz w:val="18"/>
          <w:szCs w:val="18"/>
          <w:b w:val="1"/>
          <w:bCs w:val="1"/>
          <w:color w:val="2C2C2C"/>
        </w:rPr>
      </w:pPr>
    </w:p>
    <w:p>
      <w:pPr>
        <w:jc w:val="both"/>
        <w:ind w:left="334" w:right="20" w:hanging="334"/>
        <w:spacing w:after="0" w:line="256"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75" w:lineRule="exact"/>
        <w:rPr>
          <w:rFonts w:ascii="Arial" w:cs="Arial" w:eastAsia="Arial" w:hAnsi="Arial"/>
          <w:sz w:val="18"/>
          <w:szCs w:val="18"/>
          <w:b w:val="1"/>
          <w:bCs w:val="1"/>
          <w:color w:val="2C2C2C"/>
        </w:rPr>
      </w:pPr>
    </w:p>
    <w:p>
      <w:pPr>
        <w:jc w:val="both"/>
        <w:ind w:left="334" w:right="20" w:hanging="334"/>
        <w:spacing w:after="0" w:line="269"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extension of manufacturers’ Medicaid rebate liability to individuals enrolled in Medicaid managed care organizations;</w:t>
      </w:r>
    </w:p>
    <w:p>
      <w:pPr>
        <w:spacing w:after="0" w:line="60" w:lineRule="exact"/>
        <w:rPr>
          <w:rFonts w:ascii="Arial" w:cs="Arial" w:eastAsia="Arial" w:hAnsi="Arial"/>
          <w:sz w:val="18"/>
          <w:szCs w:val="18"/>
          <w:b w:val="1"/>
          <w:bCs w:val="1"/>
          <w:color w:val="2C2C2C"/>
        </w:rPr>
      </w:pPr>
    </w:p>
    <w:p>
      <w:pPr>
        <w:ind w:left="334" w:hanging="334"/>
        <w:spacing w:after="0"/>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expansion of eligibility criteria for Medicaid programs;</w:t>
      </w:r>
    </w:p>
    <w:p>
      <w:pPr>
        <w:spacing w:after="0" w:line="117" w:lineRule="exact"/>
        <w:rPr>
          <w:rFonts w:ascii="Arial" w:cs="Arial" w:eastAsia="Arial" w:hAnsi="Arial"/>
          <w:sz w:val="18"/>
          <w:szCs w:val="18"/>
          <w:b w:val="1"/>
          <w:bCs w:val="1"/>
          <w:color w:val="2C2C2C"/>
        </w:rPr>
      </w:pPr>
    </w:p>
    <w:p>
      <w:pPr>
        <w:jc w:val="both"/>
        <w:ind w:left="334" w:hanging="334"/>
        <w:spacing w:after="0" w:line="269"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expansion of the entities eligible for discounts under the Public Health Service pharmaceutical pricing program;</w:t>
      </w:r>
    </w:p>
    <w:p>
      <w:pPr>
        <w:spacing w:after="0" w:line="60" w:lineRule="exact"/>
        <w:rPr>
          <w:rFonts w:ascii="Arial" w:cs="Arial" w:eastAsia="Arial" w:hAnsi="Arial"/>
          <w:sz w:val="18"/>
          <w:szCs w:val="18"/>
          <w:b w:val="1"/>
          <w:bCs w:val="1"/>
          <w:color w:val="2C2C2C"/>
        </w:rPr>
      </w:pPr>
    </w:p>
    <w:p>
      <w:pPr>
        <w:ind w:left="334" w:right="20" w:hanging="334"/>
        <w:spacing w:after="0" w:line="287"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new requirements to report certain financial arrangements with physicians and teaching hospitals;</w:t>
      </w:r>
    </w:p>
    <w:p>
      <w:pPr>
        <w:spacing w:after="0" w:line="45" w:lineRule="exact"/>
        <w:rPr>
          <w:rFonts w:ascii="Arial" w:cs="Arial" w:eastAsia="Arial" w:hAnsi="Arial"/>
          <w:sz w:val="18"/>
          <w:szCs w:val="18"/>
          <w:b w:val="1"/>
          <w:bCs w:val="1"/>
          <w:color w:val="2C2C2C"/>
        </w:rPr>
      </w:pPr>
    </w:p>
    <w:p>
      <w:pPr>
        <w:jc w:val="both"/>
        <w:ind w:left="334" w:hanging="334"/>
        <w:spacing w:after="0" w:line="269"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a new requirement to annually report product samples that manufacturers and distributors provide to physicians;</w:t>
      </w:r>
    </w:p>
    <w:p>
      <w:pPr>
        <w:spacing w:after="0" w:line="60" w:lineRule="exact"/>
        <w:rPr>
          <w:rFonts w:ascii="Arial" w:cs="Arial" w:eastAsia="Arial" w:hAnsi="Arial"/>
          <w:sz w:val="18"/>
          <w:szCs w:val="18"/>
          <w:b w:val="1"/>
          <w:bCs w:val="1"/>
          <w:color w:val="2C2C2C"/>
        </w:rPr>
      </w:pPr>
    </w:p>
    <w:p>
      <w:pPr>
        <w:jc w:val="both"/>
        <w:ind w:left="334" w:hanging="334"/>
        <w:spacing w:after="0" w:line="262"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a new Patient-Centered Outcomes Research Institute to oversee, identify priorities in, and conduct comparative clinical effectiveness research, along with funding for such research;</w:t>
      </w:r>
    </w:p>
    <w:p>
      <w:pPr>
        <w:spacing w:after="0" w:line="68" w:lineRule="exact"/>
        <w:rPr>
          <w:rFonts w:ascii="Arial" w:cs="Arial" w:eastAsia="Arial" w:hAnsi="Arial"/>
          <w:sz w:val="18"/>
          <w:szCs w:val="18"/>
          <w:b w:val="1"/>
          <w:bCs w:val="1"/>
          <w:color w:val="2C2C2C"/>
        </w:rPr>
      </w:pPr>
    </w:p>
    <w:p>
      <w:pPr>
        <w:jc w:val="both"/>
        <w:ind w:left="334" w:hanging="334"/>
        <w:spacing w:after="0" w:line="259" w:lineRule="auto"/>
        <w:tabs>
          <w:tab w:leader="none" w:pos="334" w:val="left"/>
        </w:tabs>
        <w:numPr>
          <w:ilvl w:val="0"/>
          <w:numId w:val="39"/>
        </w:numPr>
        <w:rPr>
          <w:rFonts w:ascii="Arial" w:cs="Arial" w:eastAsia="Arial" w:hAnsi="Arial"/>
          <w:sz w:val="18"/>
          <w:szCs w:val="18"/>
          <w:b w:val="1"/>
          <w:bCs w:val="1"/>
          <w:color w:val="2C2C2C"/>
        </w:rPr>
      </w:pPr>
      <w:r>
        <w:rPr>
          <w:rFonts w:ascii="Arial" w:cs="Arial" w:eastAsia="Arial" w:hAnsi="Arial"/>
          <w:sz w:val="18"/>
          <w:szCs w:val="18"/>
          <w:b w:val="1"/>
          <w:bCs w:val="1"/>
          <w:color w:val="auto"/>
        </w:rPr>
        <w:t>a new Independent Payment Advisory Board (IPAB), which has authority to recommend certain changes to the Medicare program to reduce expenditures by the program that could result in reduced payments for prescription products; and</w:t>
      </w:r>
    </w:p>
    <w:p>
      <w:pPr>
        <w:spacing w:after="0" w:line="93" w:lineRule="exact"/>
        <w:rPr>
          <w:sz w:val="20"/>
          <w:szCs w:val="20"/>
          <w:color w:val="auto"/>
        </w:rPr>
      </w:pPr>
    </w:p>
    <w:p>
      <w:pPr>
        <w:sectPr>
          <w:pgSz w:w="11900" w:h="16838" w:orient="portrait"/>
          <w:cols w:equalWidth="0" w:num="2">
            <w:col w:w="5546" w:space="720"/>
            <w:col w:w="5154"/>
          </w:cols>
          <w:pgMar w:left="240" w:top="112" w:right="239" w:bottom="1440" w:gutter="0" w:footer="0" w:header="0"/>
          <w:type w:val="continuous"/>
        </w:sectPr>
      </w:pPr>
    </w:p>
    <w:p>
      <w:pPr>
        <w:spacing w:after="0" w:line="86" w:lineRule="exact"/>
        <w:rPr>
          <w:sz w:val="20"/>
          <w:szCs w:val="20"/>
          <w:color w:val="auto"/>
        </w:rPr>
      </w:pPr>
    </w:p>
    <w:p>
      <w:pPr>
        <w:jc w:val="both"/>
        <w:ind w:left="660" w:right="66" w:hanging="328"/>
        <w:spacing w:after="0" w:line="269" w:lineRule="auto"/>
        <w:tabs>
          <w:tab w:leader="none" w:pos="660" w:val="left"/>
        </w:tabs>
        <w:numPr>
          <w:ilvl w:val="0"/>
          <w:numId w:val="40"/>
        </w:numPr>
        <w:rPr>
          <w:rFonts w:ascii="Arial" w:cs="Arial" w:eastAsia="Arial" w:hAnsi="Arial"/>
          <w:sz w:val="18"/>
          <w:szCs w:val="18"/>
          <w:b w:val="1"/>
          <w:bCs w:val="1"/>
          <w:color w:val="2C2C2C"/>
        </w:rPr>
      </w:pPr>
      <w:r>
        <w:rPr>
          <w:rFonts w:ascii="Arial" w:cs="Arial" w:eastAsia="Arial" w:hAnsi="Arial"/>
          <w:sz w:val="18"/>
          <w:szCs w:val="18"/>
          <w:b w:val="1"/>
          <w:bCs w:val="1"/>
          <w:color w:val="auto"/>
        </w:rPr>
        <w:t>an annual, non-deductible fee on any entity that manufactures or imports specified branded prescription products and biologic agents;</w:t>
      </w:r>
    </w:p>
    <w:p>
      <w:pPr>
        <w:spacing w:after="0" w:line="20" w:lineRule="exact"/>
        <w:rPr>
          <w:sz w:val="20"/>
          <w:szCs w:val="20"/>
          <w:color w:val="auto"/>
        </w:rPr>
      </w:pPr>
      <w:r>
        <w:rPr>
          <w:sz w:val="20"/>
          <w:szCs w:val="20"/>
          <w:color w:val="auto"/>
        </w:rPr>
        <w:br w:type="column"/>
      </w:r>
    </w:p>
    <w:p>
      <w:pPr>
        <w:jc w:val="both"/>
        <w:ind w:left="334" w:hanging="334"/>
        <w:spacing w:after="0" w:line="250" w:lineRule="auto"/>
        <w:tabs>
          <w:tab w:leader="none" w:pos="334" w:val="left"/>
        </w:tabs>
        <w:numPr>
          <w:ilvl w:val="0"/>
          <w:numId w:val="41"/>
        </w:numPr>
        <w:rPr>
          <w:rFonts w:ascii="Arial" w:cs="Arial" w:eastAsia="Arial" w:hAnsi="Arial"/>
          <w:sz w:val="18"/>
          <w:szCs w:val="18"/>
          <w:b w:val="1"/>
          <w:bCs w:val="1"/>
          <w:color w:val="2C2C2C"/>
        </w:rPr>
      </w:pPr>
      <w:r>
        <w:rPr>
          <w:rFonts w:ascii="Arial" w:cs="Arial" w:eastAsia="Arial" w:hAnsi="Arial"/>
          <w:sz w:val="18"/>
          <w:szCs w:val="18"/>
          <w:b w:val="1"/>
          <w:bCs w:val="1"/>
          <w:color w:val="auto"/>
        </w:rPr>
        <w:t>established the Center for Medicare and Medicaid Innovation within the Centers for Medicare &amp; Medicaid Services (CMS) to test innovative payment and service delivery models.</w:t>
      </w:r>
    </w:p>
    <w:p>
      <w:pPr>
        <w:spacing w:after="0" w:line="2" w:lineRule="exact"/>
        <w:rPr>
          <w:sz w:val="20"/>
          <w:szCs w:val="20"/>
          <w:color w:val="auto"/>
        </w:rPr>
      </w:pPr>
    </w:p>
    <w:p>
      <w:pPr>
        <w:sectPr>
          <w:pgSz w:w="11900" w:h="16838" w:orient="portrait"/>
          <w:cols w:equalWidth="0" w:num="2">
            <w:col w:w="5546" w:space="720"/>
            <w:col w:w="5154"/>
          </w:cols>
          <w:pgMar w:left="240" w:top="112" w:right="239" w:bottom="1440" w:gutter="0" w:footer="0" w:header="0"/>
          <w:type w:val="continuous"/>
        </w:sectPr>
      </w:pPr>
    </w:p>
    <w:p>
      <w:pPr>
        <w:jc w:val="both"/>
        <w:ind w:left="660" w:hanging="328"/>
        <w:spacing w:after="0" w:line="256" w:lineRule="auto"/>
        <w:tabs>
          <w:tab w:leader="none" w:pos="660" w:val="left"/>
        </w:tabs>
        <w:numPr>
          <w:ilvl w:val="0"/>
          <w:numId w:val="42"/>
        </w:numPr>
        <w:rPr>
          <w:rFonts w:ascii="Arial" w:cs="Arial" w:eastAsia="Arial" w:hAnsi="Arial"/>
          <w:sz w:val="18"/>
          <w:szCs w:val="18"/>
          <w:b w:val="1"/>
          <w:bCs w:val="1"/>
          <w:color w:val="2C2C2C"/>
        </w:rPr>
      </w:pPr>
      <w:r>
        <w:rPr>
          <w:rFonts w:ascii="Arial" w:cs="Arial" w:eastAsia="Arial" w:hAnsi="Arial"/>
          <w:sz w:val="18"/>
          <w:szCs w:val="18"/>
          <w:b w:val="1"/>
          <w:bCs w:val="1"/>
          <w:color w:val="auto"/>
        </w:rPr>
        <w:t>an increase in the statutory minimum rebates a manufacturer must pay under the Medicaid Drug Rebate Program;</w:t>
      </w:r>
    </w:p>
    <w:p>
      <w:pPr>
        <w:spacing w:after="0" w:line="71" w:lineRule="exact"/>
        <w:rPr>
          <w:rFonts w:ascii="Arial" w:cs="Arial" w:eastAsia="Arial" w:hAnsi="Arial"/>
          <w:sz w:val="18"/>
          <w:szCs w:val="18"/>
          <w:b w:val="1"/>
          <w:bCs w:val="1"/>
          <w:color w:val="2C2C2C"/>
        </w:rPr>
      </w:pPr>
    </w:p>
    <w:p>
      <w:pPr>
        <w:jc w:val="both"/>
        <w:ind w:left="660" w:hanging="328"/>
        <w:spacing w:after="0" w:line="262" w:lineRule="auto"/>
        <w:tabs>
          <w:tab w:leader="none" w:pos="660" w:val="left"/>
        </w:tabs>
        <w:numPr>
          <w:ilvl w:val="0"/>
          <w:numId w:val="42"/>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a </w:t>
      </w:r>
      <w:r>
        <w:rPr>
          <w:rFonts w:ascii="Arial" w:cs="Arial" w:eastAsia="Arial" w:hAnsi="Arial"/>
          <w:sz w:val="18"/>
          <w:szCs w:val="18"/>
          <w:b w:val="1"/>
          <w:bCs w:val="1"/>
          <w:color w:val="000000"/>
        </w:rPr>
        <w:t>new methodology by which rebates owed by</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manufacturers under the Medicaid Drug Rebate Program are calculated for products that are inhaled, infused, instilled, implanted or injected;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44</w:t>
      </w:r>
    </w:p>
    <w:p>
      <w:pPr>
        <w:sectPr>
          <w:pgSz w:w="11900" w:h="16838" w:orient="portrait"/>
          <w:cols w:equalWidth="0" w:num="1">
            <w:col w:w="11420"/>
          </w:cols>
          <w:pgMar w:left="240" w:top="112"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1" w:right="239" w:bottom="1440" w:gutter="0" w:footer="0" w:header="0"/>
        </w:sect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Medicare payments to providers of up to 2% per fiscal year, which went into effect in April 2013 and will remain in effect through 2024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auto"/>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on January 1, 2019. According to the Congressional Budget Office, the repeal of the individual mandate will cause 13 million fewer Americans to be insured in 2027 and premiums in insurance markets may rise. Further, each chamber of Congress has put forth multiple bills designed to repeal or repeal and replace portions of the ACA. Although none of these measures has been enacted by Congress to date, Congress may consider other legislation to repeal and replace elements of the ACA. Congress will likely consider other legislation to replace elements of the ACA, during the next Congressional session. It is possible that such initiatives, if enacted into law, could ultimately result in fewer individuals having health insurance coverage or in individuals having insurance coverage with less generous benefits. While the timing and scope of any potential future legislation to amend the ACA is highly uncertain in many respects, it is also possible that some of the ACA provisions that generally are not favorable for the research-based pharmaceutical industry could also be repealed along with an ACA coverage expansion provision. We will continue to evaluate the effect that the ACA and its possible repeal and replacement could have on our business.</w:t>
      </w:r>
    </w:p>
    <w:p>
      <w:pPr>
        <w:spacing w:after="0" w:line="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The Trump Administration has also taken executive actions to challenge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Trump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the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In addition, the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while providing a definition of “price concession” in the regulations. It is unclear whether these proposed changes will be accepted, and if so, what effect such changes will have on our business. Litigation and legislation over the ACA are likely to continue, with unpredictable and uncertain results.</w:t>
      </w:r>
    </w:p>
    <w:p>
      <w:pPr>
        <w:spacing w:after="0" w:line="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w:t>
      </w:r>
    </w:p>
    <w:p>
      <w:pPr>
        <w:spacing w:after="0" w:line="200" w:lineRule="exact"/>
        <w:rPr>
          <w:sz w:val="20"/>
          <w:szCs w:val="20"/>
          <w:color w:val="auto"/>
        </w:rPr>
      </w:pPr>
    </w:p>
    <w:p>
      <w:pPr>
        <w:sectPr>
          <w:pgSz w:w="11900" w:h="16838" w:orient="portrait"/>
          <w:cols w:equalWidth="0" w:num="2">
            <w:col w:w="5480" w:space="460"/>
            <w:col w:w="5480"/>
          </w:cols>
          <w:pgMar w:left="240" w:top="111"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45</w:t>
      </w:r>
    </w:p>
    <w:p>
      <w:pPr>
        <w:sectPr>
          <w:pgSz w:w="11900" w:h="16838" w:orient="portrait"/>
          <w:cols w:equalWidth="0" w:num="1">
            <w:col w:w="11420"/>
          </w:cols>
          <w:pgMar w:left="240" w:top="111"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Administration issued a plan to lower drug prices. Under this blueprint for action, the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Administration indicated that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fail to comply with foreign, federal, state and local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healthcare laws, including fraud and abuse and health information privacy and security laws, and</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46</w:t>
      </w:r>
    </w:p>
    <w:p>
      <w:pPr>
        <w:sectPr>
          <w:pgSz w:w="11900" w:h="16838" w:orient="portrait"/>
          <w:cols w:equalWidth="0" w:num="1">
            <w:col w:w="11420"/>
          </w:cols>
          <w:pgMar w:left="240" w:top="112"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right="300"/>
        <w:spacing w:after="0" w:line="269" w:lineRule="auto"/>
        <w:rPr>
          <w:sz w:val="20"/>
          <w:szCs w:val="20"/>
          <w:color w:val="auto"/>
        </w:rPr>
      </w:pPr>
      <w:r>
        <w:rPr>
          <w:rFonts w:ascii="Arial" w:cs="Arial" w:eastAsia="Arial" w:hAnsi="Arial"/>
          <w:sz w:val="18"/>
          <w:szCs w:val="18"/>
          <w:b w:val="1"/>
          <w:bCs w:val="1"/>
          <w:i w:val="1"/>
          <w:iCs w:val="1"/>
          <w:color w:val="auto"/>
        </w:rPr>
        <w:t>antitrust laws, we could face substantial penalties and our business, results of operations, financial condition and prospects could be adversely affected.</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b w:val="1"/>
          <w:bCs w:val="1"/>
          <w:color w:val="auto"/>
        </w:rPr>
        <w:t>to payment of a false claim or avoiding, decreasing or concealing an obligation to pay money to the federal government, with potential liability including mandatory</w:t>
      </w:r>
    </w:p>
    <w:p>
      <w:pPr>
        <w:spacing w:after="0" w:line="1" w:lineRule="exact"/>
        <w:rPr>
          <w:sz w:val="20"/>
          <w:szCs w:val="20"/>
          <w:color w:val="auto"/>
        </w:rPr>
      </w:pPr>
    </w:p>
    <w:p>
      <w:pPr>
        <w:sectPr>
          <w:pgSz w:w="11900" w:h="16838" w:orient="portrait"/>
          <w:cols w:equalWidth="0" w:num="2">
            <w:col w:w="5780" w:space="720"/>
            <w:col w:w="4920"/>
          </w:cols>
          <w:pgMar w:left="240" w:top="112" w:right="239" w:bottom="1440" w:gutter="0" w:footer="0" w:header="0"/>
          <w:type w:val="continuous"/>
        </w:sectPr>
      </w:pPr>
    </w:p>
    <w:p>
      <w:pPr>
        <w:jc w:val="both"/>
        <w:ind w:firstLine="324"/>
        <w:spacing w:after="0" w:line="250" w:lineRule="auto"/>
        <w:rPr>
          <w:sz w:val="20"/>
          <w:szCs w:val="20"/>
          <w:color w:val="auto"/>
        </w:rPr>
      </w:pPr>
      <w:r>
        <w:rPr>
          <w:rFonts w:ascii="Arial" w:cs="Arial" w:eastAsia="Arial" w:hAnsi="Arial"/>
          <w:sz w:val="18"/>
          <w:szCs w:val="18"/>
          <w:b w:val="1"/>
          <w:bCs w:val="1"/>
          <w:color w:val="auto"/>
        </w:rPr>
        <w:t>In the United States, certain of our products are reimbursed under federal and state health care programs such as Medicaid, Medicare, TriCare, and 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and our employees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spacing w:after="0" w:line="11" w:lineRule="exact"/>
        <w:rPr>
          <w:sz w:val="20"/>
          <w:szCs w:val="20"/>
          <w:color w:val="auto"/>
        </w:rPr>
      </w:pPr>
    </w:p>
    <w:p>
      <w:pPr>
        <w:jc w:val="both"/>
        <w:ind w:left="580" w:hanging="329"/>
        <w:spacing w:after="0" w:line="251" w:lineRule="auto"/>
        <w:tabs>
          <w:tab w:leader="none" w:pos="580" w:val="left"/>
        </w:tabs>
        <w:numPr>
          <w:ilvl w:val="0"/>
          <w:numId w:val="43"/>
        </w:numPr>
        <w:rPr>
          <w:rFonts w:ascii="Arial" w:cs="Arial" w:eastAsia="Arial" w:hAnsi="Arial"/>
          <w:sz w:val="18"/>
          <w:szCs w:val="18"/>
          <w:b w:val="1"/>
          <w:bCs w:val="1"/>
          <w:color w:val="2C2C2C"/>
        </w:rPr>
      </w:pPr>
      <w:r>
        <w:rPr>
          <w:rFonts w:ascii="Arial" w:cs="Arial" w:eastAsia="Arial" w:hAnsi="Arial"/>
          <w:sz w:val="18"/>
          <w:szCs w:val="18"/>
          <w:b w:val="1"/>
          <w:bCs w:val="1"/>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134" w:lineRule="exact"/>
        <w:rPr>
          <w:rFonts w:ascii="Arial" w:cs="Arial" w:eastAsia="Arial" w:hAnsi="Arial"/>
          <w:sz w:val="18"/>
          <w:szCs w:val="18"/>
          <w:b w:val="1"/>
          <w:bCs w:val="1"/>
          <w:color w:val="2C2C2C"/>
        </w:rPr>
      </w:pPr>
    </w:p>
    <w:p>
      <w:pPr>
        <w:jc w:val="both"/>
        <w:ind w:left="580" w:hanging="329"/>
        <w:spacing w:after="0" w:line="256" w:lineRule="auto"/>
        <w:tabs>
          <w:tab w:leader="none" w:pos="580" w:val="left"/>
        </w:tabs>
        <w:numPr>
          <w:ilvl w:val="0"/>
          <w:numId w:val="43"/>
        </w:numPr>
        <w:rPr>
          <w:rFonts w:ascii="Arial" w:cs="Arial" w:eastAsia="Arial" w:hAnsi="Arial"/>
          <w:sz w:val="18"/>
          <w:szCs w:val="18"/>
          <w:b w:val="1"/>
          <w:bCs w:val="1"/>
          <w:color w:val="2C2C2C"/>
        </w:rPr>
      </w:pPr>
      <w:r>
        <w:rPr>
          <w:rFonts w:ascii="Arial" w:cs="Arial" w:eastAsia="Arial" w:hAnsi="Arial"/>
          <w:sz w:val="18"/>
          <w:szCs w:val="18"/>
          <w:b w:val="1"/>
          <w:bCs w:val="1"/>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w:t>
      </w:r>
    </w:p>
    <w:p>
      <w:pPr>
        <w:spacing w:after="0" w:line="20" w:lineRule="exact"/>
        <w:rPr>
          <w:sz w:val="20"/>
          <w:szCs w:val="20"/>
          <w:color w:val="auto"/>
        </w:rPr>
      </w:pPr>
      <w:r>
        <w:rPr>
          <w:sz w:val="20"/>
          <w:szCs w:val="20"/>
          <w:color w:val="auto"/>
        </w:rPr>
        <w:br w:type="column"/>
      </w:r>
    </w:p>
    <w:p>
      <w:pPr>
        <w:ind w:left="315" w:right="20"/>
        <w:spacing w:after="0" w:line="334" w:lineRule="auto"/>
        <w:rPr>
          <w:sz w:val="20"/>
          <w:szCs w:val="20"/>
          <w:color w:val="auto"/>
        </w:rPr>
      </w:pPr>
      <w:r>
        <w:rPr>
          <w:rFonts w:ascii="Arial" w:cs="Arial" w:eastAsia="Arial" w:hAnsi="Arial"/>
          <w:sz w:val="18"/>
          <w:szCs w:val="18"/>
          <w:b w:val="1"/>
          <w:bCs w:val="1"/>
          <w:color w:val="auto"/>
        </w:rPr>
        <w:t>treble damages and significant per-claim penalties, currently set at $10,781 to $21,563 per false claim;</w:t>
      </w:r>
    </w:p>
    <w:p>
      <w:pPr>
        <w:spacing w:after="0" w:line="72" w:lineRule="exact"/>
        <w:rPr>
          <w:sz w:val="20"/>
          <w:szCs w:val="20"/>
          <w:color w:val="auto"/>
        </w:rPr>
      </w:pPr>
    </w:p>
    <w:p>
      <w:pPr>
        <w:jc w:val="both"/>
        <w:ind w:left="315" w:hanging="315"/>
        <w:spacing w:after="0" w:line="252" w:lineRule="auto"/>
        <w:tabs>
          <w:tab w:leader="none" w:pos="315" w:val="left"/>
        </w:tabs>
        <w:numPr>
          <w:ilvl w:val="0"/>
          <w:numId w:val="44"/>
        </w:numPr>
        <w:rPr>
          <w:rFonts w:ascii="Arial" w:cs="Arial" w:eastAsia="Arial" w:hAnsi="Arial"/>
          <w:sz w:val="18"/>
          <w:szCs w:val="18"/>
          <w:b w:val="1"/>
          <w:bCs w:val="1"/>
          <w:color w:val="2C2C2C"/>
        </w:rPr>
      </w:pPr>
      <w:r>
        <w:rPr>
          <w:rFonts w:ascii="Arial" w:cs="Arial" w:eastAsia="Arial" w:hAnsi="Arial"/>
          <w:sz w:val="18"/>
          <w:szCs w:val="18"/>
          <w:b w:val="1"/>
          <w:bCs w:val="1"/>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39" w:lineRule="exact"/>
        <w:rPr>
          <w:rFonts w:ascii="Arial" w:cs="Arial" w:eastAsia="Arial" w:hAnsi="Arial"/>
          <w:sz w:val="18"/>
          <w:szCs w:val="18"/>
          <w:b w:val="1"/>
          <w:bCs w:val="1"/>
          <w:color w:val="2C2C2C"/>
        </w:rPr>
      </w:pPr>
    </w:p>
    <w:p>
      <w:pPr>
        <w:jc w:val="both"/>
        <w:ind w:left="315" w:hanging="315"/>
        <w:spacing w:after="0" w:line="253" w:lineRule="auto"/>
        <w:tabs>
          <w:tab w:leader="none" w:pos="315" w:val="left"/>
        </w:tabs>
        <w:numPr>
          <w:ilvl w:val="0"/>
          <w:numId w:val="44"/>
        </w:numPr>
        <w:rPr>
          <w:rFonts w:ascii="Arial" w:cs="Arial" w:eastAsia="Arial" w:hAnsi="Arial"/>
          <w:sz w:val="18"/>
          <w:szCs w:val="18"/>
          <w:b w:val="1"/>
          <w:bCs w:val="1"/>
          <w:color w:val="2C2C2C"/>
        </w:rPr>
      </w:pPr>
      <w:r>
        <w:rPr>
          <w:rFonts w:ascii="Arial" w:cs="Arial" w:eastAsia="Arial" w:hAnsi="Arial"/>
          <w:sz w:val="18"/>
          <w:szCs w:val="18"/>
          <w:b w:val="1"/>
          <w:bCs w:val="1"/>
          <w:color w:val="auto"/>
        </w:rPr>
        <w:t>HIPAA, as amended by the Health Information Technology for Economic and Clinical Health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28" w:lineRule="exact"/>
        <w:rPr>
          <w:rFonts w:ascii="Arial" w:cs="Arial" w:eastAsia="Arial" w:hAnsi="Arial"/>
          <w:sz w:val="18"/>
          <w:szCs w:val="18"/>
          <w:b w:val="1"/>
          <w:bCs w:val="1"/>
          <w:color w:val="2C2C2C"/>
        </w:rPr>
      </w:pPr>
    </w:p>
    <w:p>
      <w:pPr>
        <w:jc w:val="both"/>
        <w:ind w:left="315" w:hanging="315"/>
        <w:spacing w:after="0" w:line="255" w:lineRule="auto"/>
        <w:tabs>
          <w:tab w:leader="none" w:pos="315" w:val="left"/>
        </w:tabs>
        <w:numPr>
          <w:ilvl w:val="0"/>
          <w:numId w:val="44"/>
        </w:numPr>
        <w:rPr>
          <w:rFonts w:ascii="Arial" w:cs="Arial" w:eastAsia="Arial" w:hAnsi="Arial"/>
          <w:sz w:val="18"/>
          <w:szCs w:val="18"/>
          <w:b w:val="1"/>
          <w:bCs w:val="1"/>
          <w:color w:val="2C2C2C"/>
        </w:rPr>
      </w:pPr>
      <w:r>
        <w:rPr>
          <w:rFonts w:ascii="Arial" w:cs="Arial" w:eastAsia="Arial" w:hAnsi="Arial"/>
          <w:sz w:val="18"/>
          <w:szCs w:val="18"/>
          <w:b w:val="1"/>
          <w:bCs w:val="1"/>
          <w:color w:val="auto"/>
        </w:rPr>
        <w:t>the Physician Payments Sunshine Act and its implementing regulations, which requires certain manufacturers of drugs, biologics, medical devices and medical supplies for which payment is available under Medicare, Medicaid or the Centers for Medicare &amp; Medicaid Services (CMS), certain payments and transfers of value made to physicians and teaching hospitals, and ownership or</w:t>
      </w:r>
    </w:p>
    <w:p>
      <w:pPr>
        <w:spacing w:after="0" w:line="215" w:lineRule="exact"/>
        <w:rPr>
          <w:sz w:val="20"/>
          <w:szCs w:val="20"/>
          <w:color w:val="auto"/>
        </w:rPr>
      </w:pPr>
    </w:p>
    <w:p>
      <w:pPr>
        <w:sectPr>
          <w:pgSz w:w="11900" w:h="16838" w:orient="portrait"/>
          <w:cols w:equalWidth="0" w:num="2">
            <w:col w:w="5480" w:space="705"/>
            <w:col w:w="5235"/>
          </w:cols>
          <w:pgMar w:left="240" w:top="112" w:right="2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47</w:t>
      </w:r>
    </w:p>
    <w:p>
      <w:pPr>
        <w:sectPr>
          <w:pgSz w:w="11900" w:h="16838" w:orient="portrait"/>
          <w:cols w:equalWidth="0" w:num="1">
            <w:col w:w="11420"/>
          </w:cols>
          <w:pgMar w:left="240" w:top="112"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86" w:lineRule="exact"/>
        <w:rPr>
          <w:sz w:val="20"/>
          <w:szCs w:val="20"/>
          <w:color w:val="auto"/>
        </w:rPr>
      </w:pPr>
    </w:p>
    <w:p>
      <w:pPr>
        <w:jc w:val="both"/>
        <w:ind w:left="580"/>
        <w:spacing w:after="0" w:line="303" w:lineRule="auto"/>
        <w:rPr>
          <w:sz w:val="20"/>
          <w:szCs w:val="20"/>
          <w:color w:val="auto"/>
        </w:rPr>
      </w:pPr>
      <w:r>
        <w:rPr>
          <w:rFonts w:ascii="Arial" w:cs="Arial" w:eastAsia="Arial" w:hAnsi="Arial"/>
          <w:sz w:val="18"/>
          <w:szCs w:val="18"/>
          <w:b w:val="1"/>
          <w:bCs w:val="1"/>
          <w:color w:val="auto"/>
        </w:rPr>
        <w:t>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02" w:lineRule="exact"/>
        <w:rPr>
          <w:sz w:val="20"/>
          <w:szCs w:val="20"/>
          <w:color w:val="auto"/>
        </w:rPr>
      </w:pPr>
    </w:p>
    <w:p>
      <w:pPr>
        <w:jc w:val="both"/>
        <w:ind w:left="580" w:hanging="329"/>
        <w:spacing w:after="0" w:line="252" w:lineRule="auto"/>
        <w:tabs>
          <w:tab w:leader="none" w:pos="580" w:val="left"/>
        </w:tabs>
        <w:numPr>
          <w:ilvl w:val="0"/>
          <w:numId w:val="45"/>
        </w:numPr>
        <w:rPr>
          <w:rFonts w:ascii="Arial" w:cs="Arial" w:eastAsia="Arial" w:hAnsi="Arial"/>
          <w:sz w:val="18"/>
          <w:szCs w:val="18"/>
          <w:b w:val="1"/>
          <w:bCs w:val="1"/>
          <w:color w:val="2C2C2C"/>
        </w:rPr>
      </w:pPr>
      <w:r>
        <w:rPr>
          <w:rFonts w:ascii="Arial" w:cs="Arial" w:eastAsia="Arial" w:hAnsi="Arial"/>
          <w:sz w:val="18"/>
          <w:szCs w:val="18"/>
          <w:b w:val="1"/>
          <w:bCs w:val="1"/>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If our operations are found to be in violation of any of the laws described above or any governmental regulations that apply to us, we may be subject to penalties, including civil and criminal penalties, damages, fines, individual imprisonment, integrity obligations, exclusion from funded healthcare programs and the curtailment or restructuring of our operations. Any such penalties could adversely affect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integrity obligations, exclusion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 from government funded healthcare programs.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We are committed to conducting the sales and marketing of our applicable products and all our activities in compliance with the healthcare fraud and abuse and antitrust laws, but certain applicable laws may impose liability even in the absence of specific intent to defraud. Furthermore, should there be ambiguity, a governmental authority may take a position contrary to a position we have taken, or should an employee violate these laws without our knowledge, a governmental authority may impose civil and/or criminal sanctions.</w:t>
      </w:r>
    </w:p>
    <w:p>
      <w:pPr>
        <w:spacing w:after="0" w:line="78"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b w:val="1"/>
          <w:bCs w:val="1"/>
          <w:color w:val="auto"/>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48</w:t>
      </w:r>
    </w:p>
    <w:p>
      <w:pPr>
        <w:sectPr>
          <w:pgSz w:w="11900" w:h="16838" w:orient="portrait"/>
          <w:cols w:equalWidth="0" w:num="1">
            <w:col w:w="11420"/>
          </w:cols>
          <w:pgMar w:left="240" w:top="112"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2C2C2C"/>
        </w:rPr>
      </w:pPr>
      <w:r>
        <w:rPr>
          <w:rFonts w:ascii="Arial" w:cs="Arial" w:eastAsia="Arial" w:hAnsi="Arial"/>
          <w:sz w:val="18"/>
          <w:szCs w:val="18"/>
          <w:b w:val="1"/>
          <w:bCs w:val="1"/>
          <w:color w:val="auto"/>
        </w:rPr>
        <w:t>Diversion of management time and attention;</w:t>
      </w:r>
    </w:p>
    <w:p>
      <w:pPr>
        <w:spacing w:after="0" w:line="171" w:lineRule="exact"/>
        <w:rPr>
          <w:rFonts w:ascii="Arial" w:cs="Arial" w:eastAsia="Arial" w:hAnsi="Arial"/>
          <w:sz w:val="18"/>
          <w:szCs w:val="18"/>
          <w:b w:val="1"/>
          <w:bCs w:val="1"/>
          <w:color w:val="2C2C2C"/>
        </w:rPr>
      </w:pPr>
    </w:p>
    <w:p>
      <w:pPr>
        <w:ind w:left="660" w:hanging="328"/>
        <w:spacing w:after="0" w:line="287" w:lineRule="auto"/>
        <w:tabs>
          <w:tab w:leader="none" w:pos="660" w:val="left"/>
        </w:tabs>
        <w:numPr>
          <w:ilvl w:val="0"/>
          <w:numId w:val="46"/>
        </w:numPr>
        <w:rPr>
          <w:rFonts w:ascii="Arial" w:cs="Arial" w:eastAsia="Arial" w:hAnsi="Arial"/>
          <w:sz w:val="18"/>
          <w:szCs w:val="18"/>
          <w:b w:val="1"/>
          <w:bCs w:val="1"/>
          <w:color w:val="2C2C2C"/>
        </w:rPr>
      </w:pPr>
      <w:r>
        <w:rPr>
          <w:rFonts w:ascii="Arial" w:cs="Arial" w:eastAsia="Arial" w:hAnsi="Arial"/>
          <w:sz w:val="18"/>
          <w:szCs w:val="18"/>
          <w:b w:val="1"/>
          <w:bCs w:val="1"/>
          <w:color w:val="auto"/>
        </w:rPr>
        <w:t>Expenditure of large amounts of cash on legal fees, costs and payment of damages or penalties;</w:t>
      </w:r>
    </w:p>
    <w:p>
      <w:pPr>
        <w:spacing w:after="0" w:line="99" w:lineRule="exact"/>
        <w:rPr>
          <w:rFonts w:ascii="Arial" w:cs="Arial" w:eastAsia="Arial" w:hAnsi="Arial"/>
          <w:sz w:val="18"/>
          <w:szCs w:val="18"/>
          <w:b w:val="1"/>
          <w:bCs w:val="1"/>
          <w:color w:val="2C2C2C"/>
        </w:rPr>
      </w:pPr>
    </w:p>
    <w:p>
      <w:pPr>
        <w:ind w:left="660" w:hanging="328"/>
        <w:spacing w:after="0" w:line="287" w:lineRule="auto"/>
        <w:tabs>
          <w:tab w:leader="none" w:pos="660" w:val="left"/>
        </w:tabs>
        <w:numPr>
          <w:ilvl w:val="0"/>
          <w:numId w:val="46"/>
        </w:numPr>
        <w:rPr>
          <w:rFonts w:ascii="Arial" w:cs="Arial" w:eastAsia="Arial" w:hAnsi="Arial"/>
          <w:sz w:val="18"/>
          <w:szCs w:val="18"/>
          <w:b w:val="1"/>
          <w:bCs w:val="1"/>
          <w:color w:val="2C2C2C"/>
        </w:rPr>
      </w:pPr>
      <w:r>
        <w:rPr>
          <w:rFonts w:ascii="Arial" w:cs="Arial" w:eastAsia="Arial" w:hAnsi="Arial"/>
          <w:sz w:val="18"/>
          <w:szCs w:val="18"/>
          <w:b w:val="1"/>
          <w:bCs w:val="1"/>
          <w:color w:val="auto"/>
        </w:rPr>
        <w:t>Limitations on our ability to continue some of our operations;</w:t>
      </w:r>
    </w:p>
    <w:p>
      <w:pPr>
        <w:spacing w:after="0" w:line="99" w:lineRule="exact"/>
        <w:rPr>
          <w:rFonts w:ascii="Arial" w:cs="Arial" w:eastAsia="Arial" w:hAnsi="Arial"/>
          <w:sz w:val="18"/>
          <w:szCs w:val="18"/>
          <w:b w:val="1"/>
          <w:bCs w:val="1"/>
          <w:color w:val="2C2C2C"/>
        </w:rPr>
      </w:pPr>
    </w:p>
    <w:p>
      <w:pPr>
        <w:ind w:left="660" w:hanging="328"/>
        <w:spacing w:after="0"/>
        <w:tabs>
          <w:tab w:leader="none" w:pos="660" w:val="left"/>
        </w:tabs>
        <w:numPr>
          <w:ilvl w:val="0"/>
          <w:numId w:val="46"/>
        </w:numPr>
        <w:rPr>
          <w:rFonts w:ascii="Arial" w:cs="Arial" w:eastAsia="Arial" w:hAnsi="Arial"/>
          <w:sz w:val="18"/>
          <w:szCs w:val="18"/>
          <w:b w:val="1"/>
          <w:bCs w:val="1"/>
          <w:color w:val="2C2C2C"/>
        </w:rPr>
      </w:pPr>
      <w:r>
        <w:rPr>
          <w:rFonts w:ascii="Arial" w:cs="Arial" w:eastAsia="Arial" w:hAnsi="Arial"/>
          <w:sz w:val="18"/>
          <w:szCs w:val="18"/>
          <w:b w:val="1"/>
          <w:bCs w:val="1"/>
          <w:color w:val="auto"/>
        </w:rPr>
        <w:t>Decreased demand for our products; and</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46"/>
        </w:numPr>
        <w:rPr>
          <w:rFonts w:ascii="Arial" w:cs="Arial" w:eastAsia="Arial" w:hAnsi="Arial"/>
          <w:sz w:val="18"/>
          <w:szCs w:val="18"/>
          <w:b w:val="1"/>
          <w:bCs w:val="1"/>
          <w:color w:val="2C2C2C"/>
        </w:rPr>
      </w:pPr>
      <w:r>
        <w:rPr>
          <w:rFonts w:ascii="Arial" w:cs="Arial" w:eastAsia="Arial" w:hAnsi="Arial"/>
          <w:sz w:val="18"/>
          <w:szCs w:val="18"/>
          <w:b w:val="1"/>
          <w:bCs w:val="1"/>
          <w:color w:val="auto"/>
        </w:rPr>
        <w:t>Injury to our reputation.</w:t>
      </w:r>
    </w:p>
    <w:p>
      <w:pPr>
        <w:spacing w:after="0" w:line="17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b w:val="1"/>
          <w:bCs w:val="1"/>
          <w:color w:val="auto"/>
        </w:rPr>
        <w:t>Moreover, an adverse outcome, or the imposition of penalties or sanctions for failing to comply with the fraud and abuse and antitrust laws, could adversely affect us and may have a material adverse effect on our business, results of operations, financial condition and cash flows.</w:t>
      </w:r>
    </w:p>
    <w:p>
      <w:pPr>
        <w:spacing w:after="0" w:line="72" w:lineRule="exact"/>
        <w:rPr>
          <w:sz w:val="20"/>
          <w:szCs w:val="20"/>
          <w:color w:val="auto"/>
        </w:rPr>
      </w:pPr>
    </w:p>
    <w:p>
      <w:pPr>
        <w:jc w:val="both"/>
        <w:ind w:firstLine="567"/>
        <w:spacing w:after="0" w:line="262"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(AMP), and the Medicaid rebate amount under the ACA and CMS and the issuance of final regulations implementing those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75"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8"/>
          <w:szCs w:val="18"/>
          <w:b w:val="1"/>
          <w:bCs w:val="1"/>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77"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b w:val="1"/>
          <w:bCs w:val="1"/>
          <w:color w:val="auto"/>
        </w:rPr>
        <w:t>In order for our products to be reimbursed by the primary federal governmental programs, we report certain pricing data to the USG. Compliance with reporting and other requirements of these federal programs is a pre-condition to:</w:t>
      </w:r>
    </w:p>
    <w:p>
      <w:pPr>
        <w:spacing w:after="0" w:line="3" w:lineRule="exact"/>
        <w:rPr>
          <w:sz w:val="20"/>
          <w:szCs w:val="20"/>
          <w:color w:val="auto"/>
        </w:rPr>
      </w:pPr>
    </w:p>
    <w:p>
      <w:pPr>
        <w:jc w:val="both"/>
        <w:ind w:firstLine="2"/>
        <w:spacing w:after="0" w:line="251" w:lineRule="auto"/>
        <w:tabs>
          <w:tab w:leader="none" w:pos="22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49</w:t>
      </w:r>
    </w:p>
    <w:p>
      <w:pPr>
        <w:sectPr>
          <w:pgSz w:w="11900" w:h="16838" w:orient="portrait"/>
          <w:cols w:equalWidth="0" w:num="1">
            <w:col w:w="11420"/>
          </w:cols>
          <w:pgMar w:left="240" w:top="112"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b w:val="1"/>
          <w:bCs w:val="1"/>
          <w:color w:val="auto"/>
        </w:rPr>
        <w:t>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75" w:lineRule="exact"/>
        <w:rPr>
          <w:sz w:val="20"/>
          <w:szCs w:val="20"/>
          <w:color w:val="auto"/>
        </w:rPr>
      </w:pPr>
    </w:p>
    <w:p>
      <w:pPr>
        <w:jc w:val="both"/>
        <w:ind w:right="320" w:firstLine="324"/>
        <w:spacing w:after="0" w:line="251" w:lineRule="auto"/>
        <w:rPr>
          <w:sz w:val="20"/>
          <w:szCs w:val="20"/>
          <w:color w:val="auto"/>
        </w:rPr>
      </w:pPr>
      <w:r>
        <w:rPr>
          <w:rFonts w:ascii="Arial" w:cs="Arial" w:eastAsia="Arial" w:hAnsi="Arial"/>
          <w:sz w:val="18"/>
          <w:szCs w:val="18"/>
          <w:b w:val="1"/>
          <w:bCs w:val="1"/>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DoD, the Public Health Service (including the Indian Health Service), and the Coast Guard-at pricing that is capped pursuant to a statutory federal ceiling price (FCP), formula set forth in Section 603 of the Veterans Health Care Act of 1992 (VHCA). The FCP is based on a weighted average wholesale price known as the Non-Federal Average Manufacturer Price (Non-FAMP), which manufacturers are required to report on a quarterly and annual basis to the DVA. Pursuant to the VHCA, knowing provision of false information in connection with a Non-FAMP filing can subject us to significant penalties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97" w:lineRule="exact"/>
        <w:rPr>
          <w:sz w:val="20"/>
          <w:szCs w:val="20"/>
          <w:color w:val="auto"/>
        </w:rPr>
      </w:pPr>
    </w:p>
    <w:p>
      <w:pPr>
        <w:jc w:val="both"/>
        <w:ind w:right="320" w:firstLine="324"/>
        <w:spacing w:after="0" w:line="262" w:lineRule="auto"/>
        <w:rPr>
          <w:sz w:val="20"/>
          <w:szCs w:val="20"/>
          <w:color w:val="auto"/>
        </w:rPr>
      </w:pPr>
      <w:r>
        <w:rPr>
          <w:rFonts w:ascii="Arial" w:cs="Arial" w:eastAsia="Arial" w:hAnsi="Arial"/>
          <w:sz w:val="18"/>
          <w:szCs w:val="18"/>
          <w:b w:val="1"/>
          <w:bCs w:val="1"/>
          <w:i w:val="1"/>
          <w:iCs w:val="1"/>
          <w:color w:val="auto"/>
        </w:rPr>
        <w:t>We intend to transfer the manufacturing of raxibacumab, which we acquired from GSK, to our bulk and fill finish facilities in Baltimore, Maryland, and this transfer of manufacturing operations requires FDA approval.</w:t>
      </w:r>
    </w:p>
    <w:p>
      <w:pPr>
        <w:spacing w:after="0" w:line="69" w:lineRule="exact"/>
        <w:rPr>
          <w:sz w:val="20"/>
          <w:szCs w:val="20"/>
          <w:color w:val="auto"/>
        </w:rPr>
      </w:pPr>
    </w:p>
    <w:p>
      <w:pPr>
        <w:jc w:val="both"/>
        <w:ind w:right="320" w:firstLine="324"/>
        <w:spacing w:after="0" w:line="262" w:lineRule="auto"/>
        <w:rPr>
          <w:sz w:val="20"/>
          <w:szCs w:val="20"/>
          <w:color w:val="auto"/>
        </w:rPr>
      </w:pPr>
      <w:r>
        <w:rPr>
          <w:rFonts w:ascii="Arial" w:cs="Arial" w:eastAsia="Arial" w:hAnsi="Arial"/>
          <w:sz w:val="18"/>
          <w:szCs w:val="18"/>
          <w:b w:val="1"/>
          <w:bCs w:val="1"/>
          <w:color w:val="auto"/>
        </w:rPr>
        <w:t>Under our arrangements with GSK for our acquisition of the raxibacumab product, we will continue to purchase product from GSK to satisfy deliveries to the SNS under the current BARDA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C2C2C"/>
        </w:rPr>
        <w:t>50</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contract, which expires in November 2019. We intend to seek FDA approval to transfer the manufacturing of raxibacumab to our Baltimore, Maryland bulk and fill finish manufacturing facilities and currently anticipate FDA approval of this technology transfer in 2020. Approval of this technology transfer may involve complications or may not be secured on a timely basis or at all. Any delay in the approval of this anticipated technology transfer would delay our expected benefits and synergies from this product acquisition and could materially harm our revenues and our business, financial condition, operating results and cash flows could be harmed. Until approval of this technology transfer, we must rely on GSK to supply product to us to satisfy deliveries to the SNS under the BARDA contract, and GSK may fail to meet delivery obligations, which could result in our inability to satisfy requirements under the BARDA contract.</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7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Our regulators enforce cGMP and other requirements through periodic unannounced inspections of manufacturing facilities. The FDA is authorized to inspect domestic manufacturing facilities without prior notice at reasonable times and in a reasonable manner. Health Canada may conduct similar inspections of our facilities where Canadian marketed products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w:t>
      </w:r>
    </w:p>
    <w:p>
      <w:pPr>
        <w:sectPr>
          <w:pgSz w:w="11900" w:h="16838" w:orient="portrait"/>
          <w:cols w:equalWidth="0" w:num="2">
            <w:col w:w="5800" w:space="140"/>
            <w:col w:w="5480"/>
          </w:cols>
          <w:pgMar w:left="240" w:top="112"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2C2C2C"/>
        </w:rPr>
      </w:pPr>
      <w:r>
        <w:rPr>
          <w:rFonts w:ascii="Arial" w:cs="Arial" w:eastAsia="Arial" w:hAnsi="Arial"/>
          <w:sz w:val="18"/>
          <w:szCs w:val="18"/>
          <w:b w:val="1"/>
          <w:bCs w:val="1"/>
          <w:color w:val="auto"/>
        </w:rPr>
        <w:t>warning letters and other communications;</w:t>
      </w:r>
    </w:p>
    <w:p>
      <w:pPr>
        <w:spacing w:after="0" w:line="149" w:lineRule="exact"/>
        <w:rPr>
          <w:rFonts w:ascii="Arial" w:cs="Arial" w:eastAsia="Arial" w:hAnsi="Arial"/>
          <w:sz w:val="18"/>
          <w:szCs w:val="18"/>
          <w:b w:val="1"/>
          <w:bCs w:val="1"/>
          <w:color w:val="2C2C2C"/>
        </w:rPr>
      </w:pPr>
    </w:p>
    <w:p>
      <w:pPr>
        <w:ind w:left="660" w:right="20" w:hanging="652"/>
        <w:spacing w:after="0" w:line="287" w:lineRule="auto"/>
        <w:tabs>
          <w:tab w:leader="none" w:pos="660" w:val="left"/>
        </w:tabs>
        <w:numPr>
          <w:ilvl w:val="0"/>
          <w:numId w:val="48"/>
        </w:numPr>
        <w:rPr>
          <w:rFonts w:ascii="Arial" w:cs="Arial" w:eastAsia="Arial" w:hAnsi="Arial"/>
          <w:sz w:val="18"/>
          <w:szCs w:val="18"/>
          <w:b w:val="1"/>
          <w:bCs w:val="1"/>
          <w:color w:val="2C2C2C"/>
        </w:rPr>
      </w:pPr>
      <w:r>
        <w:rPr>
          <w:rFonts w:ascii="Arial" w:cs="Arial" w:eastAsia="Arial" w:hAnsi="Arial"/>
          <w:sz w:val="18"/>
          <w:szCs w:val="18"/>
          <w:b w:val="1"/>
          <w:bCs w:val="1"/>
          <w:color w:val="auto"/>
        </w:rPr>
        <w:t>product seizure or withdrawal of the product from the market;</w:t>
      </w:r>
    </w:p>
    <w:p>
      <w:pPr>
        <w:spacing w:after="0" w:line="99" w:lineRule="exact"/>
        <w:rPr>
          <w:rFonts w:ascii="Arial" w:cs="Arial" w:eastAsia="Arial" w:hAnsi="Arial"/>
          <w:sz w:val="18"/>
          <w:szCs w:val="18"/>
          <w:b w:val="1"/>
          <w:bCs w:val="1"/>
          <w:color w:val="2C2C2C"/>
        </w:rPr>
      </w:pPr>
    </w:p>
    <w:p>
      <w:pPr>
        <w:ind w:left="660" w:right="20" w:hanging="652"/>
        <w:spacing w:after="0" w:line="287" w:lineRule="auto"/>
        <w:tabs>
          <w:tab w:leader="none" w:pos="660" w:val="left"/>
        </w:tabs>
        <w:numPr>
          <w:ilvl w:val="0"/>
          <w:numId w:val="48"/>
        </w:numPr>
        <w:rPr>
          <w:rFonts w:ascii="Arial" w:cs="Arial" w:eastAsia="Arial" w:hAnsi="Arial"/>
          <w:sz w:val="18"/>
          <w:szCs w:val="18"/>
          <w:b w:val="1"/>
          <w:bCs w:val="1"/>
          <w:color w:val="2C2C2C"/>
        </w:rPr>
      </w:pPr>
      <w:r>
        <w:rPr>
          <w:rFonts w:ascii="Arial" w:cs="Arial" w:eastAsia="Arial" w:hAnsi="Arial"/>
          <w:sz w:val="18"/>
          <w:szCs w:val="18"/>
          <w:b w:val="1"/>
          <w:bCs w:val="1"/>
          <w:color w:val="auto"/>
        </w:rPr>
        <w:t>restrictions on the marketing or manufacturing of a product;</w:t>
      </w:r>
    </w:p>
    <w:p>
      <w:pPr>
        <w:spacing w:after="0" w:line="99" w:lineRule="exact"/>
        <w:rPr>
          <w:rFonts w:ascii="Arial" w:cs="Arial" w:eastAsia="Arial" w:hAnsi="Arial"/>
          <w:sz w:val="18"/>
          <w:szCs w:val="18"/>
          <w:b w:val="1"/>
          <w:bCs w:val="1"/>
          <w:color w:val="2C2C2C"/>
        </w:rPr>
      </w:pPr>
    </w:p>
    <w:p>
      <w:pPr>
        <w:jc w:val="both"/>
        <w:ind w:left="660" w:hanging="652"/>
        <w:spacing w:after="0" w:line="269" w:lineRule="auto"/>
        <w:tabs>
          <w:tab w:leader="none" w:pos="660" w:val="left"/>
        </w:tabs>
        <w:numPr>
          <w:ilvl w:val="0"/>
          <w:numId w:val="48"/>
        </w:numPr>
        <w:rPr>
          <w:rFonts w:ascii="Arial" w:cs="Arial" w:eastAsia="Arial" w:hAnsi="Arial"/>
          <w:sz w:val="18"/>
          <w:szCs w:val="18"/>
          <w:b w:val="1"/>
          <w:bCs w:val="1"/>
          <w:color w:val="2C2C2C"/>
        </w:rPr>
      </w:pPr>
      <w:r>
        <w:rPr>
          <w:rFonts w:ascii="Arial" w:cs="Arial" w:eastAsia="Arial" w:hAnsi="Arial"/>
          <w:sz w:val="18"/>
          <w:szCs w:val="18"/>
          <w:b w:val="1"/>
          <w:bCs w:val="1"/>
          <w:color w:val="auto"/>
        </w:rPr>
        <w:t>suspension or withdrawal of regulatory approvals or refusal to approve pending applications or supplements to approved applications;</w:t>
      </w:r>
    </w:p>
    <w:p>
      <w:pPr>
        <w:spacing w:after="0" w:line="114"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8"/>
        </w:numPr>
        <w:rPr>
          <w:rFonts w:ascii="Arial" w:cs="Arial" w:eastAsia="Arial" w:hAnsi="Arial"/>
          <w:sz w:val="18"/>
          <w:szCs w:val="18"/>
          <w:b w:val="1"/>
          <w:bCs w:val="1"/>
          <w:color w:val="2C2C2C"/>
        </w:rPr>
      </w:pPr>
      <w:r>
        <w:rPr>
          <w:rFonts w:ascii="Arial" w:cs="Arial" w:eastAsia="Arial" w:hAnsi="Arial"/>
          <w:sz w:val="18"/>
          <w:szCs w:val="18"/>
          <w:b w:val="1"/>
          <w:bCs w:val="1"/>
          <w:color w:val="auto"/>
        </w:rPr>
        <w:t>fines or disgorgement of profits or revenue; and</w:t>
      </w:r>
    </w:p>
    <w:p>
      <w:pPr>
        <w:spacing w:after="0" w:line="171"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48"/>
        </w:numPr>
        <w:rPr>
          <w:rFonts w:ascii="Arial" w:cs="Arial" w:eastAsia="Arial" w:hAnsi="Arial"/>
          <w:sz w:val="18"/>
          <w:szCs w:val="18"/>
          <w:b w:val="1"/>
          <w:bCs w:val="1"/>
          <w:color w:val="2C2C2C"/>
        </w:rPr>
      </w:pPr>
      <w:r>
        <w:rPr>
          <w:rFonts w:ascii="Arial" w:cs="Arial" w:eastAsia="Arial" w:hAnsi="Arial"/>
          <w:sz w:val="18"/>
          <w:szCs w:val="18"/>
          <w:b w:val="1"/>
          <w:bCs w:val="1"/>
          <w:color w:val="auto"/>
        </w:rPr>
        <w:t>injunctions or the imposition of civil or criminal penalties.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Even if regulatory approval of a product is granted, the approval may be subject to limitations on the indicated uses for which the product may be marketed or to the conditions of approval. Regulatory approval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Additionally, companies may not promote drugs for “off-label” uses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xml:space="preserve"> uses that are not described in the product’s labeling and that differ from those approved by the applicable regulatory agencies). A company that is found to have improperly promoted off-label uses may be subject to significant liability, including civil and administrative remedies (such as entering into corporate integrity agreements with the USG), as well as criminal sanctions. If our employees or agents engage in “off-label” marketing of any of our products, we could be subject to civil or criminal investigations and monetary and injunctive penalties, which could adversely impact our ability to conduct business in certain markets, negatively affect our business, financial condition, operating results and cash flows, and damage our reputation.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6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intend to sell certain of our products, outside the United States and received market authorization under the mutual recognition procedure to sell BioThrax, in France, Italy, the Netherlands, Poland, and the U.K. To market our products in foreign jurisdictions under normal circumstances, we may need to obtain separate regulatory approvals and comply with numerous and varying requirements or 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We and our collaborators may not be able to obtain foreign regulatory approvals on a timely basis, if at all, and we may be unable to successfully commercialize our products internationally if no alternate procurement pathway is identified for authorized government customers in a particular jurisdiction. We have limited experience in preparing, filing and prosecuting the applications necessary to gain foreign regulatory approvals and expect to rely on third-party contract research organizations and consultants to assist us in this process.</w:t>
      </w:r>
    </w:p>
    <w:p>
      <w:pPr>
        <w:spacing w:after="0" w:line="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w:t>
      </w:r>
    </w:p>
    <w:p>
      <w:pPr>
        <w:spacing w:after="0" w:line="634"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51</w:t>
      </w:r>
    </w:p>
    <w:p>
      <w:pPr>
        <w:sectPr>
          <w:pgSz w:w="11900" w:h="16838" w:orient="portrait"/>
          <w:cols w:equalWidth="0" w:num="1">
            <w:col w:w="11420"/>
          </w:cols>
          <w:pgMar w:left="240" w:top="112"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transition period in place, which is likely to cause significant market and economic disruption.</w:t>
      </w:r>
    </w:p>
    <w:p>
      <w:pPr>
        <w:spacing w:after="0" w:line="4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Since a significant proportion of the regulatory framework in the United Kingdom is derived from European Union directives and regulations, Brexit could materially impact the regulatory regime with respect to the approval of our products or any future product candidate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and implement costly compliance programs.</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As we continue to expand our operations outside of the United States, we must dedicate additional resources to comply with numerous laws and regulations in each jurisdiction in which we plan to operate.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7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The expansion of our international operations increases our risk of exposure to credit losses.</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receivables and may result in credit losses. Future governmental actions and customer specific actions may require us to re-evaluate the collectability of our accounts receivable and we may potentially incur credit losses that may materially impact our operating results.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MANUFACTURING RISKS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Disruption at, damage to or destruction of our manufacturing facilities could impede our ability to manufacture BioThrax or our other products, as well as deliver our contract development and manufacturing services, which would harm our business, financial condition, operating results and cash flows.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An interruption in our manufacturing operations could result in our inability to produce our PHT countermeasures for delivery to satisfy the product demands of our customers in a timely manner, which would reduce our revenues and materially harm our business, financial condition, operating results and cash flows.</w:t>
      </w:r>
    </w:p>
    <w:p>
      <w:pPr>
        <w:spacing w:after="0" w:line="844"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52</w:t>
      </w:r>
    </w:p>
    <w:p>
      <w:pPr>
        <w:sectPr>
          <w:pgSz w:w="11900" w:h="16838" w:orient="portrait"/>
          <w:cols w:equalWidth="0" w:num="1">
            <w:col w:w="11420"/>
          </w:cols>
          <w:pgMar w:left="240" w:top="112"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number of factors could cause interruptions, including:</w:t>
      </w:r>
    </w:p>
    <w:p>
      <w:pPr>
        <w:spacing w:after="0" w:line="11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equipment malfunctions or failures;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technology malfunctions;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cyber-attacks;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work stoppages or slow-downs;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protests, including by animal rights activists;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injunctions;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damage to or destruction of the facility; and</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49"/>
        </w:numPr>
        <w:rPr>
          <w:rFonts w:ascii="Arial" w:cs="Arial" w:eastAsia="Arial" w:hAnsi="Arial"/>
          <w:sz w:val="18"/>
          <w:szCs w:val="18"/>
          <w:b w:val="1"/>
          <w:bCs w:val="1"/>
          <w:color w:val="2C2C2C"/>
        </w:rPr>
      </w:pPr>
      <w:r>
        <w:rPr>
          <w:rFonts w:ascii="Arial" w:cs="Arial" w:eastAsia="Arial" w:hAnsi="Arial"/>
          <w:sz w:val="18"/>
          <w:szCs w:val="18"/>
          <w:b w:val="1"/>
          <w:bCs w:val="1"/>
          <w:color w:val="auto"/>
        </w:rPr>
        <w:t>product contamination or tampering.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Providers of PHT countermeasures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factors listed above could also cause disruptions at our other facilities, including our manufacturing facilities in Winnipeg, Manitoba, Canada; other Baltimore, Maryland facilities in Camden; facilities in Canton, Massachusetts; Rockville, Maryland, Bern, Switzerland; and Hattiesburg, Mississippi. We do not have any redundant manufacturing facilities for any of our marketed products. Accordingly, any disruption, damage, or destruction of these facilities could impede our ability to manufacture our marketed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operating results and cash flows.</w:t>
      </w:r>
    </w:p>
    <w:p>
      <w:pPr>
        <w:spacing w:after="0" w:line="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We may not be able to utilize the full manufacturing capacity of our manufacturing facilities, which could impact our future revenues and materially harm our business, financial condition, operating results and cash flows.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Problems may arise during the production of our marketed products and product candidates due to the complexity of the processes involved in their manufacturing and shipment. Significant delays in product manufacturing or development could cause delays in revenues, which would harm our business, financial condition, operating results and cash flows.</w:t>
      </w:r>
    </w:p>
    <w:p>
      <w:pPr>
        <w:spacing w:after="0" w:line="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auto"/>
        </w:rPr>
        <w:t>BioThrax, raxibacumab, ACAM2000, Anthrasil, BAT, VIGIV, Vivotif, Vaxchora, and many of our current product candidates, including AV7909,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shut-downs,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53</w:t>
      </w:r>
    </w:p>
    <w:p>
      <w:pPr>
        <w:sectPr>
          <w:pgSz w:w="11900" w:h="16838" w:orient="portrait"/>
          <w:cols w:equalWidth="0" w:num="1">
            <w:col w:w="11420"/>
          </w:cols>
          <w:pgMar w:left="240" w:top="112"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We are required to obtain FDA approval prior to the release of each lot of raxibacumab and certain other products, which may not be obtained on a timely basis or at all.</w:t>
      </w:r>
    </w:p>
    <w:p>
      <w:pPr>
        <w:spacing w:after="0" w:line="6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FDA approval is required for the release of each lot of raxibacumab. We are not able to sell any lots that fail to satisfy the FDA release testing specifications. For example, we must provide the FDA with the results of certain tests, including potency tests, before lots are released for sale. Potency testing of each lot of raxibacumab is performed against qualified control lots that we maintain. We continually monitor the status of our reference lots for FDA compliance and periodically produce and qualify a new reference lot to replace the existing reference lot. If we are not able to produce and qualify a new reference lot or otherwise satisfy the FDA’s requirements for release of raxibacumab, our ability to sell raxibacumab would be impaired until such time as we become able to meet the FDA’s requirements, which could materially harm our future business, financial condition, operating results and cash flows.</w:t>
      </w:r>
    </w:p>
    <w:p>
      <w:pPr>
        <w:spacing w:after="0" w:line="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86" w:lineRule="exact"/>
        <w:rPr>
          <w:sz w:val="20"/>
          <w:szCs w:val="20"/>
          <w:color w:val="auto"/>
        </w:rPr>
      </w:pPr>
    </w:p>
    <w:p>
      <w:pPr>
        <w:ind w:left="320" w:right="20"/>
        <w:spacing w:after="0" w:line="287" w:lineRule="auto"/>
        <w:rPr>
          <w:sz w:val="20"/>
          <w:szCs w:val="20"/>
          <w:color w:val="auto"/>
        </w:rPr>
      </w:pPr>
      <w:r>
        <w:rPr>
          <w:rFonts w:ascii="Arial" w:cs="Arial" w:eastAsia="Arial" w:hAnsi="Arial"/>
          <w:sz w:val="18"/>
          <w:szCs w:val="18"/>
          <w:b w:val="1"/>
          <w:bCs w:val="1"/>
          <w:color w:val="0094FF"/>
        </w:rPr>
        <w:t>RISKS RELATED TO STRATEGIC ACQUISITIONS AND COLLABORATIONS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4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54</w:t>
      </w:r>
    </w:p>
    <w:p>
      <w:pPr>
        <w:sectPr>
          <w:pgSz w:w="11900" w:h="16838" w:orient="portrait"/>
          <w:cols w:equalWidth="0" w:num="1">
            <w:col w:w="11420"/>
          </w:cols>
          <w:pgMar w:left="240" w:top="112"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7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Our failure to successfully integrate acquired businesses and/or assets into our operations could adversely affect our ability to realize the benefits of such acquisitions and, therefore, to grow our business.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We may not be able to integrate any acquired business successfully or operate any acquired business profitably, including our acquisitions of Adapt and PaxVax. In addition, cost synergies, if achieved at all, may be less than we expect, or may take greater time to achieve than we anticipate.</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Issues that could delay or prevent successful integration or cost synergies of an acquired business or products include, among others:</w:t>
      </w:r>
    </w:p>
    <w:p>
      <w:pPr>
        <w:ind w:left="660" w:hanging="652"/>
        <w:spacing w:after="0" w:line="262" w:lineRule="auto"/>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retaining existing customers and attracting new customers;</w:t>
      </w:r>
    </w:p>
    <w:p>
      <w:pPr>
        <w:spacing w:after="0" w:line="120"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retaining key employees;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diversion of management attention and resources;</w:t>
      </w:r>
    </w:p>
    <w:p>
      <w:pPr>
        <w:spacing w:after="0" w:line="171"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conforming internal controls, policies and procedures, business cultures and compensation programs;</w:t>
      </w:r>
    </w:p>
    <w:p>
      <w:pPr>
        <w:spacing w:after="0" w:line="99" w:lineRule="exact"/>
        <w:rPr>
          <w:rFonts w:ascii="Arial" w:cs="Arial" w:eastAsia="Arial" w:hAnsi="Arial"/>
          <w:sz w:val="18"/>
          <w:szCs w:val="18"/>
          <w:b w:val="1"/>
          <w:bCs w:val="1"/>
          <w:color w:val="2C2C2C"/>
        </w:rPr>
      </w:pPr>
    </w:p>
    <w:p>
      <w:pPr>
        <w:ind w:left="660" w:right="20" w:hanging="652"/>
        <w:spacing w:after="0" w:line="287" w:lineRule="auto"/>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consolidating corporate and administrative infrastructures;</w:t>
      </w:r>
    </w:p>
    <w:p>
      <w:pPr>
        <w:spacing w:after="0" w:line="99"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successfully executing technology transfers and obtaining required regulatory approvals;</w:t>
      </w:r>
    </w:p>
    <w:p>
      <w:pPr>
        <w:spacing w:after="0" w:line="99"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consolidating sales and marketing operations;</w:t>
      </w:r>
    </w:p>
    <w:p>
      <w:pPr>
        <w:spacing w:after="0" w:line="171" w:lineRule="exact"/>
        <w:rPr>
          <w:rFonts w:ascii="Arial" w:cs="Arial" w:eastAsia="Arial" w:hAnsi="Arial"/>
          <w:sz w:val="18"/>
          <w:szCs w:val="18"/>
          <w:b w:val="1"/>
          <w:bCs w:val="1"/>
          <w:color w:val="2C2C2C"/>
        </w:rPr>
      </w:pPr>
    </w:p>
    <w:p>
      <w:pPr>
        <w:ind w:left="660" w:right="20" w:hanging="652"/>
        <w:spacing w:after="0" w:line="287" w:lineRule="auto"/>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identifying and eliminating redundant and underperforming operations and assets;</w:t>
      </w:r>
    </w:p>
    <w:p>
      <w:pPr>
        <w:spacing w:after="0" w:line="99"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0"/>
        </w:numPr>
        <w:rPr>
          <w:rFonts w:ascii="Arial" w:cs="Arial" w:eastAsia="Arial" w:hAnsi="Arial"/>
          <w:sz w:val="18"/>
          <w:szCs w:val="18"/>
          <w:b w:val="1"/>
          <w:bCs w:val="1"/>
          <w:color w:val="2C2C2C"/>
        </w:rPr>
      </w:pPr>
      <w:r>
        <w:rPr>
          <w:rFonts w:ascii="Arial" w:cs="Arial" w:eastAsia="Arial" w:hAnsi="Arial"/>
          <w:sz w:val="18"/>
          <w:szCs w:val="18"/>
          <w:b w:val="1"/>
          <w:bCs w:val="1"/>
          <w:color w:val="auto"/>
        </w:rPr>
        <w:t>assumption of known and unknown liabilities;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affect the growth of our business, financial condition, operating results and cash flows.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COMPETITIVE AND POLITICAL RISKS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developing or commercializing products before or more successfully than we do.</w:t>
      </w:r>
    </w:p>
    <w:p>
      <w:pPr>
        <w:spacing w:after="0" w:line="6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There are a number of companies with products or product candidates addressing PHT preparedness that are competing with us for both USG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75"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2"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ind w:left="660" w:hanging="652"/>
        <w:spacing w:after="0" w:line="287" w:lineRule="auto"/>
        <w:tabs>
          <w:tab w:leader="none" w:pos="660" w:val="left"/>
        </w:tabs>
        <w:numPr>
          <w:ilvl w:val="0"/>
          <w:numId w:val="51"/>
        </w:numPr>
        <w:rPr>
          <w:rFonts w:ascii="Arial" w:cs="Arial" w:eastAsia="Arial" w:hAnsi="Arial"/>
          <w:sz w:val="18"/>
          <w:szCs w:val="18"/>
          <w:b w:val="1"/>
          <w:bCs w:val="1"/>
          <w:color w:val="2C2C2C"/>
        </w:rPr>
      </w:pPr>
      <w:r>
        <w:rPr>
          <w:rFonts w:ascii="Arial" w:cs="Arial" w:eastAsia="Arial" w:hAnsi="Arial"/>
          <w:sz w:val="18"/>
          <w:szCs w:val="18"/>
          <w:b w:val="1"/>
          <w:bCs w:val="1"/>
          <w:color w:val="auto"/>
        </w:rPr>
        <w:t>coordinating geographically dispersed organizations; and</w:t>
      </w:r>
    </w:p>
    <w:p>
      <w:pPr>
        <w:spacing w:after="0" w:line="99"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1"/>
        </w:numPr>
        <w:rPr>
          <w:rFonts w:ascii="Arial" w:cs="Arial" w:eastAsia="Arial" w:hAnsi="Arial"/>
          <w:sz w:val="18"/>
          <w:szCs w:val="18"/>
          <w:b w:val="1"/>
          <w:bCs w:val="1"/>
          <w:color w:val="2C2C2C"/>
        </w:rPr>
      </w:pPr>
      <w:r>
        <w:rPr>
          <w:rFonts w:ascii="Arial" w:cs="Arial" w:eastAsia="Arial" w:hAnsi="Arial"/>
          <w:sz w:val="18"/>
          <w:szCs w:val="18"/>
          <w:b w:val="1"/>
          <w:bCs w:val="1"/>
          <w:color w:val="auto"/>
        </w:rPr>
        <w:t>managing tax costs or inefficiencies associated with integrating operations.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If we are unable to successfully integrate pending and future acquisitions with our existing businesses, or operate any acquired business profitably, we may not obtain the advantages that the acquisitions were intended to create, which may materially adversely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Competition for BioThrax, raxibacumab, ACAM2000, Anthrasil, BAT, VIGIV, Vivotif and Vaxchora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55</w:t>
      </w:r>
    </w:p>
    <w:p>
      <w:pPr>
        <w:sectPr>
          <w:pgSz w:w="11900" w:h="16838" w:orient="portrait"/>
          <w:cols w:equalWidth="0" w:num="1">
            <w:col w:w="11420"/>
          </w:cols>
          <w:pgMar w:left="240" w:top="112"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expect our NARCAN® Nasal Spray marketed product to face future competition from other treatments.</w:t>
      </w:r>
    </w:p>
    <w:p>
      <w:pPr>
        <w:spacing w:after="0" w:line="4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2C2C2C"/>
        </w:rPr>
        <w:t xml:space="preserve">Our marketed product NARCAN® Nasal Spray faces potentially substantial competition from other treatments, including injectable naloxone, auto-injectors, nasal sprays or improvised nasal spray kits. In addition, other entrants may seek approval to market generic versions of NARCAN® Nasal Spray before the underlying patents expire. For example, in 2016 Teva filed, and in 2018 Perrigo filed, ANDAs which seek </w:t>
      </w:r>
      <w:r>
        <w:rPr>
          <w:rFonts w:ascii="Arial" w:cs="Arial" w:eastAsia="Arial" w:hAnsi="Arial"/>
          <w:sz w:val="18"/>
          <w:szCs w:val="18"/>
          <w:b w:val="1"/>
          <w:bCs w:val="1"/>
          <w:color w:val="000000"/>
        </w:rPr>
        <w:t>regulatory approval to market generic versions of NARCAN® Nasal Spray before the expiration of certain underlying patents and in April 2019, Teva received FDA approval to market its generic version of NARCAN® Nasal Spray. Teva may decide to launch its approved generic product although the launch would be at risk since the litigation we instituted against Teva is still ongoing.</w:t>
      </w:r>
    </w:p>
    <w:p>
      <w:pPr>
        <w:spacing w:after="0" w:line="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Additionally, in January 2019, the FDA released new proposed template Drug Facts Labels to assist sponsors of investigational naloxone nasal sprays and auto-injectors seeking approval from the FDA for over-the-counter naloxone products. Any reduction in demand for NARCAN® Nasal Spray in favor of a competing product, or unsuccessful efforts to defend underlying patents from infringement by generic entrants, could lead to a loss of market share and cause reduced revenues, margins and levels of profitability for us, which could adversely affect our business, financial condition, operating results and cash flows.</w:t>
      </w:r>
    </w:p>
    <w:p>
      <w:pPr>
        <w:spacing w:after="0" w:line="7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Products developed to counter the potential impact of PHTs, whether CBRNE or EID, are subject to changing political and social environments. The political responses and social awareness of the risks of these threats on military personnel or civilians may vary over time. If the threat of terrorism were to decline,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operating results and cash flows.</w:t>
      </w:r>
    </w:p>
    <w:p>
      <w:pPr>
        <w:spacing w:after="0" w:line="83" w:lineRule="exact"/>
        <w:rPr>
          <w:sz w:val="20"/>
          <w:szCs w:val="20"/>
          <w:color w:val="auto"/>
        </w:rPr>
      </w:pPr>
    </w:p>
    <w:p>
      <w:pPr>
        <w:ind w:left="320" w:right="400"/>
        <w:spacing w:after="0" w:line="287" w:lineRule="auto"/>
        <w:rPr>
          <w:sz w:val="20"/>
          <w:szCs w:val="20"/>
          <w:color w:val="auto"/>
        </w:rPr>
      </w:pPr>
      <w:r>
        <w:rPr>
          <w:rFonts w:ascii="Arial" w:cs="Arial" w:eastAsia="Arial" w:hAnsi="Arial"/>
          <w:sz w:val="18"/>
          <w:szCs w:val="18"/>
          <w:b w:val="1"/>
          <w:bCs w:val="1"/>
          <w:color w:val="0094FF"/>
        </w:rPr>
        <w:t>PRODUCT DEVELOPMENT AND COMMERCIALIZATION RISKS</w:t>
      </w:r>
    </w:p>
    <w:p>
      <w:pPr>
        <w:spacing w:after="0" w:line="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7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7" w:lineRule="exact"/>
        <w:rPr>
          <w:sz w:val="20"/>
          <w:szCs w:val="20"/>
          <w:color w:val="auto"/>
        </w:rPr>
      </w:pPr>
    </w:p>
    <w:p>
      <w:pPr>
        <w:jc w:val="both"/>
        <w:ind w:left="660" w:hanging="658"/>
        <w:spacing w:after="0" w:line="256" w:lineRule="auto"/>
        <w:tabs>
          <w:tab w:leader="none" w:pos="660" w:val="left"/>
        </w:tabs>
        <w:numPr>
          <w:ilvl w:val="0"/>
          <w:numId w:val="52"/>
        </w:numPr>
        <w:rPr>
          <w:rFonts w:ascii="Arial" w:cs="Arial" w:eastAsia="Arial" w:hAnsi="Arial"/>
          <w:sz w:val="18"/>
          <w:szCs w:val="18"/>
          <w:b w:val="1"/>
          <w:bCs w:val="1"/>
          <w:color w:val="2C2C2C"/>
        </w:rPr>
      </w:pPr>
      <w:r>
        <w:rPr>
          <w:rFonts w:ascii="Arial" w:cs="Arial" w:eastAsia="Arial" w:hAnsi="Arial"/>
          <w:sz w:val="18"/>
          <w:szCs w:val="18"/>
          <w:b w:val="1"/>
          <w:bCs w:val="1"/>
          <w:color w:val="auto"/>
        </w:rPr>
        <w:t>successful development, formulation and cGMP scale-up of manufacturing that meets FDA or other foreign regulatory requirements;</w:t>
      </w:r>
    </w:p>
    <w:p>
      <w:pPr>
        <w:spacing w:after="0" w:line="125" w:lineRule="exact"/>
        <w:rPr>
          <w:rFonts w:ascii="Arial" w:cs="Arial" w:eastAsia="Arial" w:hAnsi="Arial"/>
          <w:sz w:val="18"/>
          <w:szCs w:val="18"/>
          <w:b w:val="1"/>
          <w:bCs w:val="1"/>
          <w:color w:val="2C2C2C"/>
        </w:rPr>
      </w:pPr>
    </w:p>
    <w:p>
      <w:pPr>
        <w:ind w:left="660" w:hanging="658"/>
        <w:spacing w:after="0"/>
        <w:tabs>
          <w:tab w:leader="none" w:pos="660" w:val="left"/>
        </w:tabs>
        <w:numPr>
          <w:ilvl w:val="0"/>
          <w:numId w:val="52"/>
        </w:numPr>
        <w:rPr>
          <w:rFonts w:ascii="Arial" w:cs="Arial" w:eastAsia="Arial" w:hAnsi="Arial"/>
          <w:sz w:val="18"/>
          <w:szCs w:val="18"/>
          <w:b w:val="1"/>
          <w:bCs w:val="1"/>
          <w:color w:val="2C2C2C"/>
        </w:rPr>
      </w:pPr>
      <w:r>
        <w:rPr>
          <w:rFonts w:ascii="Arial" w:cs="Arial" w:eastAsia="Arial" w:hAnsi="Arial"/>
          <w:sz w:val="18"/>
          <w:szCs w:val="18"/>
          <w:b w:val="1"/>
          <w:bCs w:val="1"/>
          <w:color w:val="auto"/>
        </w:rPr>
        <w:t>successful program partnering;</w:t>
      </w:r>
    </w:p>
    <w:p>
      <w:pPr>
        <w:spacing w:after="0" w:line="171" w:lineRule="exact"/>
        <w:rPr>
          <w:rFonts w:ascii="Arial" w:cs="Arial" w:eastAsia="Arial" w:hAnsi="Arial"/>
          <w:sz w:val="18"/>
          <w:szCs w:val="18"/>
          <w:b w:val="1"/>
          <w:bCs w:val="1"/>
          <w:color w:val="2C2C2C"/>
        </w:rPr>
      </w:pPr>
    </w:p>
    <w:p>
      <w:pPr>
        <w:jc w:val="both"/>
        <w:ind w:left="660" w:right="20" w:hanging="658"/>
        <w:spacing w:after="0" w:line="269" w:lineRule="auto"/>
        <w:tabs>
          <w:tab w:leader="none" w:pos="660" w:val="left"/>
        </w:tabs>
        <w:numPr>
          <w:ilvl w:val="0"/>
          <w:numId w:val="52"/>
        </w:numPr>
        <w:rPr>
          <w:rFonts w:ascii="Arial" w:cs="Arial" w:eastAsia="Arial" w:hAnsi="Arial"/>
          <w:sz w:val="18"/>
          <w:szCs w:val="18"/>
          <w:b w:val="1"/>
          <w:bCs w:val="1"/>
          <w:color w:val="2C2C2C"/>
        </w:rPr>
      </w:pPr>
      <w:r>
        <w:rPr>
          <w:rFonts w:ascii="Arial" w:cs="Arial" w:eastAsia="Arial" w:hAnsi="Arial"/>
          <w:sz w:val="18"/>
          <w:szCs w:val="18"/>
          <w:b w:val="1"/>
          <w:bCs w:val="1"/>
          <w:color w:val="auto"/>
        </w:rPr>
        <w:t>successful completion of clinical or non-clinical development, including toxicology studies and studies in approved animal models;</w:t>
      </w:r>
    </w:p>
    <w:p>
      <w:pPr>
        <w:spacing w:after="0" w:line="114" w:lineRule="exact"/>
        <w:rPr>
          <w:rFonts w:ascii="Arial" w:cs="Arial" w:eastAsia="Arial" w:hAnsi="Arial"/>
          <w:sz w:val="18"/>
          <w:szCs w:val="18"/>
          <w:b w:val="1"/>
          <w:bCs w:val="1"/>
          <w:color w:val="2C2C2C"/>
        </w:rPr>
      </w:pPr>
    </w:p>
    <w:p>
      <w:pPr>
        <w:ind w:left="660" w:right="20" w:hanging="658"/>
        <w:spacing w:after="0" w:line="287" w:lineRule="auto"/>
        <w:tabs>
          <w:tab w:leader="none" w:pos="660" w:val="left"/>
        </w:tabs>
        <w:numPr>
          <w:ilvl w:val="0"/>
          <w:numId w:val="52"/>
        </w:numPr>
        <w:rPr>
          <w:rFonts w:ascii="Arial" w:cs="Arial" w:eastAsia="Arial" w:hAnsi="Arial"/>
          <w:sz w:val="18"/>
          <w:szCs w:val="18"/>
          <w:b w:val="1"/>
          <w:bCs w:val="1"/>
          <w:color w:val="2C2C2C"/>
        </w:rPr>
      </w:pPr>
      <w:r>
        <w:rPr>
          <w:rFonts w:ascii="Arial" w:cs="Arial" w:eastAsia="Arial" w:hAnsi="Arial"/>
          <w:sz w:val="18"/>
          <w:szCs w:val="18"/>
          <w:b w:val="1"/>
          <w:bCs w:val="1"/>
          <w:color w:val="auto"/>
        </w:rPr>
        <w:t>receipt of marketing approvals from the FDA and equivalent foreign regulatory authorities;</w:t>
      </w:r>
    </w:p>
    <w:p>
      <w:pPr>
        <w:spacing w:after="0" w:line="224"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56</w:t>
      </w:r>
    </w:p>
    <w:p>
      <w:pPr>
        <w:sectPr>
          <w:pgSz w:w="11900" w:h="16838" w:orient="portrait"/>
          <w:cols w:equalWidth="0" w:num="1">
            <w:col w:w="11420"/>
          </w:cols>
          <w:pgMar w:left="240" w:top="112"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ind w:left="660" w:hanging="652"/>
        <w:spacing w:after="0" w:line="287" w:lineRule="auto"/>
        <w:tabs>
          <w:tab w:leader="none" w:pos="66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auto"/>
        </w:rPr>
        <w:t>establishment of commercial manufacturing processes and product supply arrangements;</w:t>
      </w:r>
    </w:p>
    <w:p>
      <w:pPr>
        <w:spacing w:after="0" w:line="99"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auto"/>
        </w:rPr>
        <w:t>training of a commercial sales force for the product, whether alone or in collaboration with others;</w:t>
      </w:r>
    </w:p>
    <w:p>
      <w:pPr>
        <w:spacing w:after="0" w:line="99"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auto"/>
        </w:rPr>
        <w:t>successful registration and maintenance of relevant patent and/or other proprietary protection; and</w:t>
      </w:r>
    </w:p>
    <w:p>
      <w:pPr>
        <w:spacing w:after="0" w:line="99"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auto"/>
        </w:rPr>
        <w:t>acceptance of the product by potential government and other customers.</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Under certain circumstances, we might sell unapproved MCMs to government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auto"/>
        </w:rPr>
        <w:t>Under certain circumstances, MCMs may be procured by government entities prior to approval by the FDA or other regulatory authorities. In the United States, the Project BioShield Act of 2004 (Project BioShield) permits the Secretary of HHS to contract to purchase 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Absent an applicable exception, our MCM product candidates generally will have to be approved by the FDA or other regulatory authorities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marketing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disagree with our conclusion and take enforcement action against us.</w:t>
      </w:r>
    </w:p>
    <w:p>
      <w:pPr>
        <w:spacing w:after="0" w:line="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(the PREP Act) may not cover claims arising under non-U.S. law.</w:t>
      </w:r>
    </w:p>
    <w:p>
      <w:pPr>
        <w:spacing w:after="0" w:line="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For certain of our product candidates addressing CBRNE threats,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57</w:t>
      </w:r>
    </w:p>
    <w:p>
      <w:pPr>
        <w:sectPr>
          <w:pgSz w:w="11900" w:h="16838" w:orient="portrait"/>
          <w:cols w:equalWidth="0" w:num="1">
            <w:col w:w="11420"/>
          </w:cols>
          <w:pgMar w:left="240" w:top="112"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EUA. If our product candidates are not selected under this Project BioShield authority, they generally will have to be approved by the FDA through traditional regulatory mechanisms for distribution in the United States.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3" w:lineRule="exact"/>
        <w:rPr>
          <w:sz w:val="20"/>
          <w:szCs w:val="20"/>
          <w:color w:val="auto"/>
        </w:rPr>
      </w:pPr>
    </w:p>
    <w:p>
      <w:pPr>
        <w:ind w:left="660" w:right="20" w:hanging="652"/>
        <w:spacing w:after="0" w:line="262" w:lineRule="auto"/>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our inability to manufacture sufficient quantities of materials for use in trials;</w:t>
      </w:r>
    </w:p>
    <w:p>
      <w:pPr>
        <w:spacing w:after="0" w:line="120"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the unavailability or variability in the number and types of subjects for each study;</w:t>
      </w:r>
    </w:p>
    <w:p>
      <w:pPr>
        <w:spacing w:after="0" w:line="99" w:lineRule="exact"/>
        <w:rPr>
          <w:rFonts w:ascii="Arial" w:cs="Arial" w:eastAsia="Arial" w:hAnsi="Arial"/>
          <w:sz w:val="18"/>
          <w:szCs w:val="18"/>
          <w:b w:val="1"/>
          <w:bCs w:val="1"/>
          <w:color w:val="2C2C2C"/>
        </w:rPr>
      </w:pPr>
    </w:p>
    <w:p>
      <w:pPr>
        <w:ind w:left="660" w:hanging="652"/>
        <w:spacing w:after="0" w:line="287" w:lineRule="auto"/>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safety issues or inconclusive or incomplete testing, trial or study results;</w:t>
      </w:r>
    </w:p>
    <w:p>
      <w:pPr>
        <w:spacing w:after="0" w:line="99"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drug immunogenicity;</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lack of efficacy of product candidates during the trials;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government or regulatory restrictions or delays; and</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auto"/>
        </w:rPr>
        <w:t>greater than anticipated costs of trials.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INTELLECTUAL PROPERTY RISKS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If we are unable to protect our proprietary rights, our business, financial condition, operating results, and cash flows could be materially harmed.</w:t>
      </w:r>
    </w:p>
    <w:p>
      <w:pPr>
        <w:spacing w:after="0" w:line="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Our success will depend, in large part, on our ability to obtain and maintain protection in the United States and other countries for the intellectual property incorporated into or covering our technology, products, and product candidates. Obtaining and maintaining protection of our intellectual property is very costly. The patentability of technology in the biopharmaceutical field generally is highly uncertain and involves complex legal and scientific questions.</w:t>
      </w:r>
    </w:p>
    <w:p>
      <w:pPr>
        <w:spacing w:after="0" w:line="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may not be able to obtain additional issued patents relating to our technology or products. Even if issued, patents may inadvertently lapse or be challenged, narrowed, invalidated, or circumvented, and such happenings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narrow the scope of our patent protection, or result in costly defensive measures. In addition, some countries do not grant patent claims directed to methods of treating humans and, in these countries, patent protection may not be available at all to protect our products or product candidates.</w:t>
      </w:r>
    </w:p>
    <w:p>
      <w:pPr>
        <w:spacing w:after="0" w:line="8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The cost of litigation to uphold the validity of patents to prevent or stop infringement or to otherwise</w:t>
      </w:r>
    </w:p>
    <w:p>
      <w:pPr>
        <w:spacing w:after="0" w:line="221"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58</w:t>
      </w:r>
    </w:p>
    <w:p>
      <w:pPr>
        <w:sectPr>
          <w:pgSz w:w="11900" w:h="16838" w:orient="portrait"/>
          <w:cols w:equalWidth="0" w:num="1">
            <w:col w:w="11420"/>
          </w:cols>
          <w:pgMar w:left="240" w:top="112"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protect or enforce our proprietary rights could be substantial and, from time to time, our patents may be subjected to opposition proceedings or validity challenges. Some of our competitors may choose to or be better able to sustain the costs of complex patent litigation. Intellectual property lawsuits are expensive and unpredictable and consume management's time and attention and other resources, even if the outcome is successful. In addition, there is a risk that a court could decide that our patents are not valid, are unenforceable, or are not infringed by a competitor product. There is also a risk that, even if the validity of a patent is upheld, a court could refuse to stop the other party from using the invention(s), including on the grounds that its activities do not infringe the patent. If any of these events occur, our business, financial condition, operating results and cash flows could be materially and adversely affected.</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w:t>
      </w:r>
    </w:p>
    <w:p>
      <w:pPr>
        <w:spacing w:after="0" w:line="182" w:lineRule="exact"/>
        <w:rPr>
          <w:sz w:val="20"/>
          <w:szCs w:val="20"/>
          <w:color w:val="auto"/>
        </w:rPr>
      </w:pPr>
    </w:p>
    <w:p>
      <w:pPr>
        <w:ind w:left="660" w:hanging="652"/>
        <w:spacing w:after="0" w:line="287" w:lineRule="auto"/>
        <w:tabs>
          <w:tab w:leader="none" w:pos="660" w:val="left"/>
        </w:tabs>
        <w:numPr>
          <w:ilvl w:val="0"/>
          <w:numId w:val="55"/>
        </w:numPr>
        <w:rPr>
          <w:rFonts w:ascii="Arial" w:cs="Arial" w:eastAsia="Arial" w:hAnsi="Arial"/>
          <w:sz w:val="18"/>
          <w:szCs w:val="18"/>
          <w:b w:val="1"/>
          <w:bCs w:val="1"/>
          <w:color w:val="2C2C2C"/>
        </w:rPr>
      </w:pPr>
      <w:r>
        <w:rPr>
          <w:rFonts w:ascii="Arial" w:cs="Arial" w:eastAsia="Arial" w:hAnsi="Arial"/>
          <w:sz w:val="18"/>
          <w:szCs w:val="18"/>
          <w:b w:val="1"/>
          <w:bCs w:val="1"/>
          <w:color w:val="auto"/>
        </w:rPr>
        <w:t>Opiant Pharmaceuticals, Inc. formulations of naloxone, for use in our NARCAN® Nasal Spray.</w:t>
      </w:r>
    </w:p>
    <w:p>
      <w:pPr>
        <w:spacing w:after="0" w:line="99" w:lineRule="exact"/>
        <w:rPr>
          <w:rFonts w:ascii="Arial" w:cs="Arial" w:eastAsia="Arial" w:hAnsi="Arial"/>
          <w:sz w:val="18"/>
          <w:szCs w:val="18"/>
          <w:b w:val="1"/>
          <w:bCs w:val="1"/>
          <w:color w:val="2C2C2C"/>
        </w:rPr>
      </w:pPr>
    </w:p>
    <w:p>
      <w:pPr>
        <w:jc w:val="both"/>
        <w:ind w:left="660" w:hanging="652"/>
        <w:spacing w:after="0" w:line="269" w:lineRule="auto"/>
        <w:tabs>
          <w:tab w:leader="none" w:pos="660" w:val="left"/>
        </w:tabs>
        <w:numPr>
          <w:ilvl w:val="0"/>
          <w:numId w:val="55"/>
        </w:numPr>
        <w:rPr>
          <w:rFonts w:ascii="Arial" w:cs="Arial" w:eastAsia="Arial" w:hAnsi="Arial"/>
          <w:sz w:val="18"/>
          <w:szCs w:val="18"/>
          <w:b w:val="1"/>
          <w:bCs w:val="1"/>
          <w:color w:val="2C2C2C"/>
        </w:rPr>
      </w:pPr>
      <w:r>
        <w:rPr>
          <w:rFonts w:ascii="Arial" w:cs="Arial" w:eastAsia="Arial" w:hAnsi="Arial"/>
          <w:sz w:val="18"/>
          <w:szCs w:val="18"/>
          <w:b w:val="1"/>
          <w:bCs w:val="1"/>
          <w:color w:val="auto"/>
        </w:rPr>
        <w:t>Pharma Consult GmbH autoinjectors, including the autoinjector used for our Trobigard® (atropine sulfate, obidoxime chloride) autoinjector.*</w:t>
      </w:r>
    </w:p>
    <w:p>
      <w:pPr>
        <w:spacing w:after="0" w:line="11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*Trobigard® is not currently approved or cleared by the FDA or any similar regulatory body and is only distributed to authorized government buyers for use outside the US. This product is not distributed in the US.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could be costly, time-consuming, distracting to management, and could materially and adversely affect our business, financial condition, operating results, and cash flows.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could bring claims against us that could cause us to incur substantial expenses to defend against these claims and, if successful against us, could cause us to pay substantial damages. Further, if a patent infringement or other similar suit is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As a result of patent infringement or other similar claims, or to avoid potential claims, we may choose or be required to seek a license from a third party and be required to pay license fees or royalties or both. These licenses may not be available on acceptable terms, or at all. Even if we are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 and subject us to damages, which may be material.</w:t>
      </w:r>
    </w:p>
    <w:p>
      <w:pPr>
        <w:spacing w:after="0" w:line="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59</w:t>
      </w:r>
    </w:p>
    <w:p>
      <w:pPr>
        <w:sectPr>
          <w:pgSz w:w="11900" w:h="16838" w:orient="portrait"/>
          <w:cols w:equalWidth="0" w:num="1">
            <w:col w:w="11420"/>
          </w:cols>
          <w:pgMar w:left="240" w:top="112"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or if others independently develop our proprietary information or processes, competitors may be able to use this information to develop products that compete with our products, which could materially and adversely impact our business.</w:t>
      </w:r>
    </w:p>
    <w:p>
      <w:pPr>
        <w:spacing w:after="0" w:line="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One or more of our products could be subject to early competition from generic drugs and biosimilars.</w:t>
      </w:r>
    </w:p>
    <w:p>
      <w:pPr>
        <w:spacing w:after="0" w:line="4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One or more of our products is approved as a drug product under the provisions of the U.S. Food, Drug and Cosmetic Act (FDCA), which renders it susceptible to potential competition from generic manufacturers via the Hatch-Waxman Act and ANDA process. Generic manufacturers pursuing ANDA approval are not required to conduct costly and time-consuming clinical trials to establish the safety and efficacy of their products; rather, they are permitted to rely on the innovator’s data regarding safety and efficacy. Additionally, generic drug companies generally do not expend significant sums on sales and marketing activities, instead relying on pharmacists or payers to substitute the generic form of a drug for the branded form. Thus, generic manufacturers can sell their products at prices much lower than those charged by the innovative pharmaceutical or biotechnology companies who have incurred substantial expenses associated with the research and development of the drug product and who must spend significant sums marketing a new drug.</w:t>
      </w:r>
    </w:p>
    <w:p>
      <w:pPr>
        <w:spacing w:after="0" w:line="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The ANDA procedure includes provisions allowing generic manufacturers to challenge the innovator’s patent protection by submitting “Paragraph IV” certifications to the FDA in which the generic manufacturer claims that the innovator’s patents are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invalid, unenforceable, and/or will not be infringed by the manufacture, use, or sale of the generic product. A patent owner who receives a Paragraph IV certification may choose to sue the generic applicant for patent infringement. If the patent owner files suit within 45 days of receiving notice from an ANDA filer, the patent owner is entitled to receive a 30 month stay on the FDA’s ability to give final approval for the generic product that is the subject of the ANDA.</w:t>
      </w:r>
    </w:p>
    <w:p>
      <w:pPr>
        <w:spacing w:after="0" w:line="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In recent years, generic manufacturers have used Paragraph IV certifications extensively to challenge the validity of patents listed in the FDA’s Approved Drug Products List with Therapeutic Equivalence Evaluations, commonly referred to as the Orange Book, on a wide array of innovative therapeutic products. We expect this trend to continue and to affect drug products with even relatively modest revenues.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Further, the 2010 Patient Protection and Affordable Care Act, which was signed into law on March 23, 2010, included a subtitle called the Biologics Price Competition and Innovation Act of 2009 (BPCIA). That Act established a regulatory scheme authorizing the FDA to approve biosimilars and interchangeable biosimilars. As of January 1, 2018, the FDA has approved nine biosimilar products for use in the United States. No interchangeable biosimilars, have been approved. The FDA has issued several guidance documents outlining an approach to review and approval of biosimilars. Additional guidances are expected to be finalized by FDA in the near term.</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Under the Act,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634"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60</w:t>
      </w:r>
    </w:p>
    <w:p>
      <w:pPr>
        <w:sectPr>
          <w:pgSz w:w="11900" w:h="16838" w:orient="portrait"/>
          <w:cols w:equalWidth="0" w:num="1">
            <w:col w:w="11420"/>
          </w:cols>
          <w:pgMar w:left="240" w:top="112"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FINANCIAL RISKS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We have incurred significant indebtedness in connection with our acquisitions and servicing our debt requires a significant amount of cash. We may not have sufficient cash flow from our operations to pay our substantial debt.</w:t>
      </w:r>
    </w:p>
    <w:p>
      <w:pPr>
        <w:spacing w:after="0" w:line="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Our ability to make scheduled payments of the principal of, to pay interest on or to refinance our indebtedness depends on our future performance, which is subject to economic, financial, competitive and other factors beyond our control. We may also seek additional debt financing to support our ongoing activities or to provide additional financial flexibility. Debt financing could have significant adverse consequences for our business, including:</w:t>
      </w:r>
    </w:p>
    <w:p>
      <w:pPr>
        <w:spacing w:after="0" w:line="77" w:lineRule="exact"/>
        <w:rPr>
          <w:sz w:val="20"/>
          <w:szCs w:val="20"/>
          <w:color w:val="auto"/>
        </w:rPr>
      </w:pPr>
    </w:p>
    <w:p>
      <w:pPr>
        <w:jc w:val="both"/>
        <w:ind w:left="660" w:hanging="652"/>
        <w:spacing w:after="0" w:line="262" w:lineRule="auto"/>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requiring us to dedicate a substantial portion of any cash flow from operations to payment on our debt, which would reduce the amounts available to fund other corporate initiatives;</w:t>
      </w:r>
    </w:p>
    <w:p>
      <w:pPr>
        <w:spacing w:after="0" w:line="68" w:lineRule="exact"/>
        <w:rPr>
          <w:rFonts w:ascii="Arial" w:cs="Arial" w:eastAsia="Arial" w:hAnsi="Arial"/>
          <w:sz w:val="18"/>
          <w:szCs w:val="18"/>
          <w:b w:val="1"/>
          <w:bCs w:val="1"/>
          <w:color w:val="auto"/>
        </w:rPr>
      </w:pPr>
    </w:p>
    <w:p>
      <w:pPr>
        <w:ind w:left="1300" w:hanging="1292"/>
        <w:spacing w:after="0" w:line="269" w:lineRule="auto"/>
        <w:tabs>
          <w:tab w:leader="none" w:pos="6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increasing the amount of interest that we have to pay on debt with variable interest rates, if market rates of interest increase;</w:t>
      </w:r>
    </w:p>
    <w:p>
      <w:pPr>
        <w:spacing w:after="0" w:line="60" w:lineRule="exact"/>
        <w:rPr>
          <w:rFonts w:ascii="Arial" w:cs="Arial" w:eastAsia="Arial" w:hAnsi="Arial"/>
          <w:sz w:val="18"/>
          <w:szCs w:val="18"/>
          <w:b w:val="1"/>
          <w:bCs w:val="1"/>
          <w:color w:val="auto"/>
        </w:rPr>
      </w:pPr>
    </w:p>
    <w:p>
      <w:pPr>
        <w:jc w:val="both"/>
        <w:ind w:left="660" w:hanging="652"/>
        <w:spacing w:after="0" w:line="259" w:lineRule="auto"/>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subjecting us, as under our senior secured credit facilities, to restrictive covenants that may reduce our ability to take certain corporate actions, acquire companies, products or technology, or obtain further debt financing;</w:t>
      </w:r>
    </w:p>
    <w:p>
      <w:pPr>
        <w:spacing w:after="0" w:line="71" w:lineRule="exact"/>
        <w:rPr>
          <w:rFonts w:ascii="Arial" w:cs="Arial" w:eastAsia="Arial" w:hAnsi="Arial"/>
          <w:sz w:val="18"/>
          <w:szCs w:val="18"/>
          <w:b w:val="1"/>
          <w:bCs w:val="1"/>
          <w:color w:val="auto"/>
        </w:rPr>
      </w:pPr>
    </w:p>
    <w:p>
      <w:pPr>
        <w:jc w:val="both"/>
        <w:ind w:left="660" w:hanging="652"/>
        <w:spacing w:after="0" w:line="269" w:lineRule="auto"/>
        <w:tabs>
          <w:tab w:leader="none" w:pos="660" w:val="left"/>
        </w:tabs>
        <w:numPr>
          <w:ilvl w:val="0"/>
          <w:numId w:val="56"/>
        </w:numPr>
        <w:rPr>
          <w:rFonts w:ascii="Arial" w:cs="Arial" w:eastAsia="Arial" w:hAnsi="Arial"/>
          <w:sz w:val="18"/>
          <w:szCs w:val="18"/>
          <w:b w:val="1"/>
          <w:bCs w:val="1"/>
          <w:color w:val="2C2C2C"/>
        </w:rPr>
      </w:pPr>
      <w:r>
        <w:rPr>
          <w:rFonts w:ascii="Arial" w:cs="Arial" w:eastAsia="Arial" w:hAnsi="Arial"/>
          <w:sz w:val="18"/>
          <w:szCs w:val="18"/>
          <w:b w:val="1"/>
          <w:bCs w:val="1"/>
          <w:color w:val="auto"/>
        </w:rPr>
        <w:t>requiring us to pledge our assets as collateral, which could limit our ability to obtain additional debt financing;</w:t>
      </w:r>
    </w:p>
    <w:p>
      <w:pPr>
        <w:spacing w:after="0" w:line="114" w:lineRule="exact"/>
        <w:rPr>
          <w:rFonts w:ascii="Arial" w:cs="Arial" w:eastAsia="Arial" w:hAnsi="Arial"/>
          <w:sz w:val="18"/>
          <w:szCs w:val="18"/>
          <w:b w:val="1"/>
          <w:bCs w:val="1"/>
          <w:color w:val="2C2C2C"/>
        </w:rPr>
      </w:pPr>
    </w:p>
    <w:p>
      <w:pPr>
        <w:jc w:val="both"/>
        <w:ind w:left="660" w:hanging="652"/>
        <w:spacing w:after="0" w:line="287" w:lineRule="auto"/>
        <w:tabs>
          <w:tab w:leader="none" w:pos="660" w:val="left"/>
        </w:tabs>
        <w:numPr>
          <w:ilvl w:val="0"/>
          <w:numId w:val="56"/>
        </w:numPr>
        <w:rPr>
          <w:rFonts w:ascii="Arial" w:cs="Arial" w:eastAsia="Arial" w:hAnsi="Arial"/>
          <w:sz w:val="18"/>
          <w:szCs w:val="18"/>
          <w:b w:val="1"/>
          <w:bCs w:val="1"/>
          <w:color w:val="2C2C2C"/>
        </w:rPr>
      </w:pPr>
      <w:r>
        <w:rPr>
          <w:rFonts w:ascii="Arial" w:cs="Arial" w:eastAsia="Arial" w:hAnsi="Arial"/>
          <w:sz w:val="18"/>
          <w:szCs w:val="18"/>
          <w:b w:val="1"/>
          <w:bCs w:val="1"/>
          <w:color w:val="auto"/>
        </w:rPr>
        <w:t>limiting our flexibility in planning for, or reacting to, general adverse economic and industry conditions; and</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660"/>
        <w:spacing w:after="0" w:line="334" w:lineRule="auto"/>
        <w:rPr>
          <w:sz w:val="20"/>
          <w:szCs w:val="20"/>
          <w:color w:val="auto"/>
        </w:rPr>
      </w:pPr>
      <w:r>
        <w:rPr>
          <w:rFonts w:ascii="Arial" w:cs="Arial" w:eastAsia="Arial" w:hAnsi="Arial"/>
          <w:sz w:val="18"/>
          <w:szCs w:val="18"/>
          <w:b w:val="1"/>
          <w:bCs w:val="1"/>
          <w:color w:val="auto"/>
        </w:rPr>
        <w:t>debt, better debt servicing options or stronger debt servicing capacity.</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We may not have sufficient funds or be able to obtain additional financing to pay the amounts due under our indebtedness. In addition, failure to comply with the covenants under our senior secured credit facilities and other debt agreements could result in an event of default under those agreements. An event of default could result in the acceleration of amounts due under a particular debt agreement and a cross default and acceleration under other debt agreements, and we may not have sufficient funds to pay or be able to obtain additional financing to make any accelerated payments. Under these circumstances, our lenders could seek to enforce security interests in our assets securing our indebtedness.</w:t>
      </w:r>
    </w:p>
    <w:p>
      <w:pPr>
        <w:spacing w:after="0" w:line="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In connection with the acquisition of Adapt, we entered into an amendment and restatement of our 2017 credit agreement to provide for new five-year syndicated senior secured credit facilities that replaced our existing facility. The senior secured credit facilities include a $ 450 million Term Loan and the ability to borrow up to a $600 million revolver, of which we had outstanding borrowings of $442 million and $398 million, respectively, as of June 30, 2019. We may also seek additional debt financing to support our ongoing activities or to provide additional financial flexibility. Debt financing could have significant adverse consequences for our business, including:</w:t>
      </w:r>
    </w:p>
    <w:p>
      <w:pPr>
        <w:spacing w:after="0" w:line="183" w:lineRule="exact"/>
        <w:rPr>
          <w:sz w:val="20"/>
          <w:szCs w:val="20"/>
          <w:color w:val="auto"/>
        </w:rPr>
      </w:pPr>
    </w:p>
    <w:p>
      <w:pPr>
        <w:ind w:left="980" w:right="20" w:hanging="978"/>
        <w:spacing w:after="0" w:line="287" w:lineRule="auto"/>
        <w:tabs>
          <w:tab w:leader="none" w:pos="980" w:val="left"/>
        </w:tabs>
        <w:numPr>
          <w:ilvl w:val="0"/>
          <w:numId w:val="57"/>
        </w:numPr>
        <w:rPr>
          <w:rFonts w:ascii="Arial" w:cs="Arial" w:eastAsia="Arial" w:hAnsi="Arial"/>
          <w:sz w:val="18"/>
          <w:szCs w:val="18"/>
          <w:b w:val="1"/>
          <w:bCs w:val="1"/>
          <w:color w:val="2C2C2C"/>
        </w:rPr>
      </w:pPr>
      <w:r>
        <w:rPr>
          <w:rFonts w:ascii="Arial" w:cs="Arial" w:eastAsia="Arial" w:hAnsi="Arial"/>
          <w:sz w:val="18"/>
          <w:szCs w:val="18"/>
          <w:b w:val="1"/>
          <w:bCs w:val="1"/>
          <w:color w:val="auto"/>
        </w:rPr>
        <w:t>the level, timing and cost of product sales and contract manufacturing services;</w:t>
      </w:r>
    </w:p>
    <w:p>
      <w:pPr>
        <w:spacing w:after="0" w:line="99" w:lineRule="exact"/>
        <w:rPr>
          <w:rFonts w:ascii="Arial" w:cs="Arial" w:eastAsia="Arial" w:hAnsi="Arial"/>
          <w:sz w:val="18"/>
          <w:szCs w:val="18"/>
          <w:b w:val="1"/>
          <w:bCs w:val="1"/>
          <w:color w:val="2C2C2C"/>
        </w:rPr>
      </w:pPr>
    </w:p>
    <w:p>
      <w:pPr>
        <w:jc w:val="both"/>
        <w:ind w:left="980" w:right="20" w:hanging="978"/>
        <w:spacing w:after="0" w:line="269" w:lineRule="auto"/>
        <w:tabs>
          <w:tab w:leader="none" w:pos="980" w:val="left"/>
        </w:tabs>
        <w:numPr>
          <w:ilvl w:val="0"/>
          <w:numId w:val="57"/>
        </w:numPr>
        <w:rPr>
          <w:rFonts w:ascii="Arial" w:cs="Arial" w:eastAsia="Arial" w:hAnsi="Arial"/>
          <w:sz w:val="18"/>
          <w:szCs w:val="18"/>
          <w:b w:val="1"/>
          <w:bCs w:val="1"/>
          <w:color w:val="2C2C2C"/>
        </w:rPr>
      </w:pPr>
      <w:r>
        <w:rPr>
          <w:rFonts w:ascii="Arial" w:cs="Arial" w:eastAsia="Arial" w:hAnsi="Arial"/>
          <w:sz w:val="18"/>
          <w:szCs w:val="18"/>
          <w:b w:val="1"/>
          <w:bCs w:val="1"/>
          <w:color w:val="auto"/>
        </w:rPr>
        <w:t>the extent to which we acquire or invest in and integrate companies, businesses, products or technologies;</w:t>
      </w:r>
    </w:p>
    <w:p>
      <w:pPr>
        <w:spacing w:after="0" w:line="114" w:lineRule="exact"/>
        <w:rPr>
          <w:rFonts w:ascii="Arial" w:cs="Arial" w:eastAsia="Arial" w:hAnsi="Arial"/>
          <w:sz w:val="18"/>
          <w:szCs w:val="18"/>
          <w:b w:val="1"/>
          <w:bCs w:val="1"/>
          <w:color w:val="2C2C2C"/>
        </w:rPr>
      </w:pPr>
    </w:p>
    <w:p>
      <w:pPr>
        <w:ind w:left="980" w:right="20" w:hanging="978"/>
        <w:spacing w:after="0" w:line="287" w:lineRule="auto"/>
        <w:tabs>
          <w:tab w:leader="none" w:pos="980" w:val="left"/>
        </w:tabs>
        <w:numPr>
          <w:ilvl w:val="0"/>
          <w:numId w:val="57"/>
        </w:numPr>
        <w:rPr>
          <w:rFonts w:ascii="Arial" w:cs="Arial" w:eastAsia="Arial" w:hAnsi="Arial"/>
          <w:sz w:val="18"/>
          <w:szCs w:val="18"/>
          <w:b w:val="1"/>
          <w:bCs w:val="1"/>
          <w:color w:val="2C2C2C"/>
        </w:rPr>
      </w:pPr>
      <w:r>
        <w:rPr>
          <w:rFonts w:ascii="Arial" w:cs="Arial" w:eastAsia="Arial" w:hAnsi="Arial"/>
          <w:sz w:val="18"/>
          <w:szCs w:val="18"/>
          <w:b w:val="1"/>
          <w:bCs w:val="1"/>
          <w:color w:val="auto"/>
        </w:rPr>
        <w:t>the acquisition of new facilities and capital improvements to new or existing facilities;</w:t>
      </w:r>
    </w:p>
    <w:p>
      <w:pPr>
        <w:spacing w:after="0" w:line="99" w:lineRule="exact"/>
        <w:rPr>
          <w:rFonts w:ascii="Arial" w:cs="Arial" w:eastAsia="Arial" w:hAnsi="Arial"/>
          <w:sz w:val="18"/>
          <w:szCs w:val="18"/>
          <w:b w:val="1"/>
          <w:bCs w:val="1"/>
          <w:color w:val="2C2C2C"/>
        </w:rPr>
      </w:pPr>
    </w:p>
    <w:p>
      <w:pPr>
        <w:ind w:left="980" w:hanging="978"/>
        <w:spacing w:after="0"/>
        <w:tabs>
          <w:tab w:leader="none" w:pos="980" w:val="left"/>
        </w:tabs>
        <w:numPr>
          <w:ilvl w:val="0"/>
          <w:numId w:val="57"/>
        </w:numPr>
        <w:rPr>
          <w:rFonts w:ascii="Arial" w:cs="Arial" w:eastAsia="Arial" w:hAnsi="Arial"/>
          <w:sz w:val="18"/>
          <w:szCs w:val="18"/>
          <w:b w:val="1"/>
          <w:bCs w:val="1"/>
          <w:color w:val="2C2C2C"/>
        </w:rPr>
      </w:pPr>
      <w:r>
        <w:rPr>
          <w:rFonts w:ascii="Arial" w:cs="Arial" w:eastAsia="Arial" w:hAnsi="Arial"/>
          <w:sz w:val="18"/>
          <w:szCs w:val="18"/>
          <w:b w:val="1"/>
          <w:bCs w:val="1"/>
          <w:color w:val="auto"/>
        </w:rPr>
        <w:t>the payment obligations under our indebtedness;</w:t>
      </w:r>
    </w:p>
    <w:p>
      <w:pPr>
        <w:spacing w:after="0" w:line="171" w:lineRule="exact"/>
        <w:rPr>
          <w:rFonts w:ascii="Arial" w:cs="Arial" w:eastAsia="Arial" w:hAnsi="Arial"/>
          <w:sz w:val="18"/>
          <w:szCs w:val="18"/>
          <w:b w:val="1"/>
          <w:bCs w:val="1"/>
          <w:color w:val="2C2C2C"/>
        </w:rPr>
      </w:pPr>
    </w:p>
    <w:p>
      <w:pPr>
        <w:ind w:left="980" w:right="20" w:hanging="978"/>
        <w:spacing w:after="0" w:line="287" w:lineRule="auto"/>
        <w:tabs>
          <w:tab w:leader="none" w:pos="980" w:val="left"/>
        </w:tabs>
        <w:numPr>
          <w:ilvl w:val="0"/>
          <w:numId w:val="57"/>
        </w:numPr>
        <w:rPr>
          <w:rFonts w:ascii="Arial" w:cs="Arial" w:eastAsia="Arial" w:hAnsi="Arial"/>
          <w:sz w:val="18"/>
          <w:szCs w:val="18"/>
          <w:b w:val="1"/>
          <w:bCs w:val="1"/>
          <w:color w:val="2C2C2C"/>
        </w:rPr>
      </w:pPr>
      <w:r>
        <w:rPr>
          <w:rFonts w:ascii="Arial" w:cs="Arial" w:eastAsia="Arial" w:hAnsi="Arial"/>
          <w:sz w:val="18"/>
          <w:szCs w:val="18"/>
          <w:b w:val="1"/>
          <w:bCs w:val="1"/>
          <w:color w:val="auto"/>
        </w:rPr>
        <w:t>the scope, progress, results and costs of our development activities;</w:t>
      </w:r>
    </w:p>
    <w:p>
      <w:pPr>
        <w:spacing w:after="0" w:line="99" w:lineRule="exact"/>
        <w:rPr>
          <w:rFonts w:ascii="Arial" w:cs="Arial" w:eastAsia="Arial" w:hAnsi="Arial"/>
          <w:sz w:val="18"/>
          <w:szCs w:val="18"/>
          <w:b w:val="1"/>
          <w:bCs w:val="1"/>
          <w:color w:val="2C2C2C"/>
        </w:rPr>
      </w:pPr>
    </w:p>
    <w:p>
      <w:pPr>
        <w:jc w:val="both"/>
        <w:ind w:left="980" w:right="20" w:hanging="978"/>
        <w:spacing w:after="0" w:line="262" w:lineRule="auto"/>
        <w:tabs>
          <w:tab w:leader="none" w:pos="980" w:val="left"/>
        </w:tabs>
        <w:numPr>
          <w:ilvl w:val="0"/>
          <w:numId w:val="57"/>
        </w:numPr>
        <w:rPr>
          <w:rFonts w:ascii="Arial" w:cs="Arial" w:eastAsia="Arial" w:hAnsi="Arial"/>
          <w:sz w:val="18"/>
          <w:szCs w:val="18"/>
          <w:b w:val="1"/>
          <w:bCs w:val="1"/>
          <w:color w:val="2C2C2C"/>
        </w:rPr>
      </w:pPr>
      <w:r>
        <w:rPr>
          <w:rFonts w:ascii="Arial" w:cs="Arial" w:eastAsia="Arial" w:hAnsi="Arial"/>
          <w:sz w:val="18"/>
          <w:szCs w:val="18"/>
          <w:b w:val="1"/>
          <w:bCs w:val="1"/>
          <w:color w:val="auto"/>
        </w:rPr>
        <w:t>our ability to obtain funding from collaborative partners, government entities and non-governmental organizations for our development programs;</w:t>
      </w:r>
    </w:p>
    <w:p>
      <w:pPr>
        <w:spacing w:after="0" w:line="419"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ind w:left="660" w:right="5940" w:hanging="652"/>
        <w:spacing w:after="0" w:line="287" w:lineRule="auto"/>
        <w:tabs>
          <w:tab w:leader="none" w:pos="660" w:val="left"/>
        </w:tabs>
        <w:numPr>
          <w:ilvl w:val="0"/>
          <w:numId w:val="58"/>
        </w:numPr>
        <w:rPr>
          <w:rFonts w:ascii="Arial" w:cs="Arial" w:eastAsia="Arial" w:hAnsi="Arial"/>
          <w:sz w:val="18"/>
          <w:szCs w:val="18"/>
          <w:b w:val="1"/>
          <w:bCs w:val="1"/>
          <w:color w:val="2C2C2C"/>
        </w:rPr>
      </w:pPr>
      <w:r>
        <w:rPr>
          <w:rFonts w:ascii="Arial" w:cs="Arial" w:eastAsia="Arial" w:hAnsi="Arial"/>
          <w:sz w:val="18"/>
          <w:szCs w:val="18"/>
          <w:b w:val="1"/>
          <w:bCs w:val="1"/>
          <w:color w:val="auto"/>
        </w:rPr>
        <w:t>placing us at a competitive disadvantage compared to our competitors that have less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61</w:t>
      </w:r>
    </w:p>
    <w:p>
      <w:pPr>
        <w:sectPr>
          <w:pgSz w:w="11900" w:h="16838" w:orient="portrait"/>
          <w:cols w:equalWidth="0" w:num="1">
            <w:col w:w="11420"/>
          </w:cols>
          <w:pgMar w:left="240" w:top="112"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ind w:left="980" w:right="20" w:hanging="972"/>
        <w:spacing w:after="0" w:line="269" w:lineRule="auto"/>
        <w:tabs>
          <w:tab w:leader="none" w:pos="980" w:val="left"/>
        </w:tabs>
        <w:numPr>
          <w:ilvl w:val="0"/>
          <w:numId w:val="59"/>
        </w:numPr>
        <w:rPr>
          <w:rFonts w:ascii="Arial" w:cs="Arial" w:eastAsia="Arial" w:hAnsi="Arial"/>
          <w:sz w:val="18"/>
          <w:szCs w:val="18"/>
          <w:b w:val="1"/>
          <w:bCs w:val="1"/>
          <w:color w:val="2C2C2C"/>
        </w:rPr>
      </w:pPr>
      <w:r>
        <w:rPr>
          <w:rFonts w:ascii="Arial" w:cs="Arial" w:eastAsia="Arial" w:hAnsi="Arial"/>
          <w:sz w:val="18"/>
          <w:szCs w:val="18"/>
          <w:b w:val="1"/>
          <w:bCs w:val="1"/>
          <w:color w:val="auto"/>
        </w:rPr>
        <w:t>the extent to which we repurchase additional common stock under our authorized share repurchase program; and</w:t>
      </w:r>
    </w:p>
    <w:p>
      <w:pPr>
        <w:spacing w:after="0" w:line="114" w:lineRule="exact"/>
        <w:rPr>
          <w:rFonts w:ascii="Arial" w:cs="Arial" w:eastAsia="Arial" w:hAnsi="Arial"/>
          <w:sz w:val="18"/>
          <w:szCs w:val="18"/>
          <w:b w:val="1"/>
          <w:bCs w:val="1"/>
          <w:color w:val="2C2C2C"/>
        </w:rPr>
      </w:pPr>
    </w:p>
    <w:p>
      <w:pPr>
        <w:ind w:left="980" w:right="20" w:hanging="972"/>
        <w:spacing w:after="0" w:line="287" w:lineRule="auto"/>
        <w:tabs>
          <w:tab w:leader="none" w:pos="980" w:val="left"/>
        </w:tabs>
        <w:numPr>
          <w:ilvl w:val="0"/>
          <w:numId w:val="59"/>
        </w:numPr>
        <w:rPr>
          <w:rFonts w:ascii="Arial" w:cs="Arial" w:eastAsia="Arial" w:hAnsi="Arial"/>
          <w:sz w:val="18"/>
          <w:szCs w:val="18"/>
          <w:b w:val="1"/>
          <w:bCs w:val="1"/>
          <w:color w:val="2C2C2C"/>
        </w:rPr>
      </w:pPr>
      <w:r>
        <w:rPr>
          <w:rFonts w:ascii="Arial" w:cs="Arial" w:eastAsia="Arial" w:hAnsi="Arial"/>
          <w:sz w:val="18"/>
          <w:szCs w:val="18"/>
          <w:b w:val="1"/>
          <w:bCs w:val="1"/>
          <w:color w:val="auto"/>
        </w:rPr>
        <w:t>the costs of commercialization activities, including product marketing, sales and distribution.</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We may not have sufficient funds or be able to obtain additional financing to pay the amounts due under our indebtedness. In addition, failure to comply with the covenants under our debt agreements could result in an event of default under those instruments. An event of default could result in the acceleration of amounts due under a particular debt agreement and a cross default and acceleration under other debt agreements, and we may not have sufficient funds or be able to obtain additional financing to make any accelerated payments. Under these circumstances, our lenders could seek to enforce security interests in our assets securing our indebtedness.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hedging program is subject to counterparty default risk</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We manage our interest rate risk in part by entering into interest rate swaps with a number of counterparties to swap a portion of our indebtedness that is based on variable interest rates to a fixed rate. As a result, we are subject to the risk that the counterparty to one or more of these contracts defaults on its performance under the contract. During an economic downturn,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w:t>
      </w:r>
    </w:p>
    <w:p>
      <w:pPr>
        <w:spacing w:after="0" w:line="18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and our results of operations and financial condition.</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If our capital resources are insufficient to meet our future capital requirements, we will need to finance our cash needs through public or private equity or debt offerings, bank loans or collaboration and licensing arrangements. In August 2018, we filed an automatic shelf registration statement, which immediately became effective under SEC rules. For so long as we continue to satisfy the requirements to be deemed a “well-known seasoned issuer” under SEC rules (which include, among other things, the timely filing of our reports under the Exchange Act and maintenance of</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at least $700 million of public float or issuing an aggregate amount of $1 billion of non-convertible securities, other than common stock, in registered offerings for cash during the past three years), this shelf registration statement, effective until August 8, 2021, allows us to issue an unrestricted amount of equity, debt and certain other types of securities through one or more future primary or secondary offerings. If we do not file a new shelf registration statement prior to August 8, 2021,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If we raise funds by issuing equity securities, our stockholders may experience dilution. Public or bank debt financing, if available, may involve agreements that include covenants, like those contained in our senior secured credit facilities,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2.875% Convertible Senior Notes due 2021 (Senior Convertible Notes)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Although we have been profitable for each of the last five fiscal years, we have not been profitable for every quarter during that time. 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62</w:t>
      </w:r>
    </w:p>
    <w:p>
      <w:pPr>
        <w:sectPr>
          <w:pgSz w:w="11900" w:h="16838" w:orient="portrait"/>
          <w:cols w:equalWidth="0" w:num="1">
            <w:col w:w="11420"/>
          </w:cols>
          <w:pgMar w:left="240" w:top="112"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basis or sustain or increase profitability on an annual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SPIN-OFF OF OUR BIOSCIENCES BUSINESS RISKS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If the spin-off distribution on August 1, 2016 of all of the outstanding shares of Aptevo Therapeutics Inc. common stock to our stockholders does not qualify as a tax-free transaction for U.S. federal income tax purposes, we and our stockholders could be subject to significant tax liabilities.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b w:val="1"/>
          <w:bCs w:val="1"/>
          <w:color w:val="auto"/>
        </w:rPr>
        <w:t>It was our intention that our distribution on August 1, 2016 of all of the outstanding shares of Aptevo common stock to our stockholders (the Distribution), together with certain related transactions, qualify as a tax-free transaction described under Sections 355 and 368(a)(1)(D) of the Internal Revenue Code of 1986, as amended (the Code). In anticipation of the Distribution, we received a favorable private letter ruling from the Internal Revenue Service (the IRS), regarding certain U.S. federal income tax matters relating to the Distribution and certain related transactions and an opinion of counsel substantially to the effect that, for U.S. federal income tax purposes, the Distribution, together with certain related transactions, will qualify as a transaction described under Sections 355 and 368(a)(1)(D) of the Code. A “private letter ruling,” is a written statement issued to a taxpayer by an Associate Chief Counsel Office of the Office of Chief Counsel that interprets and applies the tax laws to a specific set of facts. Our private letter ruling is based on certain facts and representations submitted by us to the IRS and the opinion of counsel was based upon and relied on, among other things, the IRS private letter ruling and certain facts and assumptions, as well as certain representations and covenants of us and Aptevo contained in a tax matters agreement and certain representations contained in representation letters provided by us, Aptevo and certain stockholders to such counsel, including representations and covenants relating to the past and future conduct of us, Aptevo and such stockholders. If any of these facts, assumptions, representations, or covenants are, or become, inaccurate or incomplete, the IRS private letter ruling and/or the opinion of counsel may be invalid and the conclusions reached therein could be jeopardized and, as a result, the Distribution, together with certain related transactions, could fail to qualify as a tax-free transaction described under Sections 355 and 368(a)(1)(D) of the Code for U.S. federal income tax purposes.</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In addition, the IRS private letter ruling only addresses certain limited matters relevant to determining whether the Distribution, together with certain related transactions, qualifies as a transaction described under Sections 355 and 368(a)(1)(D) of the Code, and the opinion of counsel only represents the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judgment of such counsel, which is not binding on the IRS or any court. Accordingly, notwithstanding the IRS private letter ruling and the opinion of counsel, there can be no assurance that the IRS will not assert that the Distribution, together with certain related transactions, should be treated as a taxable transaction for U.S. federal income tax purposes or that a court would not sustain such a challenge.</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If the Distribution, together with certain related transactions, fails to qualify as a tax-free transaction described under Sections 355 and 368(a)(1)(D) of the Code, for U.S. federal income tax purposes, in general, (i) we would recognize taxable gain on the Distribution equal to the amount by which the fair market value of the Aptevo shares distributed to our stockholders exceeded our tax basis in the Aptevo shares and</w:t>
      </w:r>
    </w:p>
    <w:p>
      <w:pPr>
        <w:spacing w:after="0" w:line="1" w:lineRule="exact"/>
        <w:rPr>
          <w:sz w:val="20"/>
          <w:szCs w:val="20"/>
          <w:color w:val="auto"/>
        </w:rPr>
      </w:pPr>
    </w:p>
    <w:p>
      <w:pPr>
        <w:jc w:val="both"/>
        <w:ind w:firstLine="2"/>
        <w:spacing w:after="0" w:line="254" w:lineRule="auto"/>
        <w:tabs>
          <w:tab w:leader="none" w:pos="27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each of our stockholders who received Aptevo shares in the Distribution would be treated as receiving a taxable distribution equal to the fair market value of the Aptevo shares received by such stockholder.</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Under the tax matters agreement that we entered into with Aptevo in connection with the spin-off, Aptevo may be required to indemnify us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Aptevo’s stock, assets or business, or a breach of the relevant representations or covenants made by Aptevo in the tax matters agreement or the IRS private letter ruling or in the representation letters provided to our counsel for purposes of their opinion. Any such indemnity obligations could be material, and there can be no assurance that Aptevo will be able to pay any such indemnification.</w:t>
      </w:r>
    </w:p>
    <w:p>
      <w:pPr>
        <w:spacing w:after="0" w:line="7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To preserve the tax-free treatment of the Distribution, together with certain related transactions, and in addition to Aptevo's indemnity obligation, the tax matters agreement, which expired on August 2, 2018, restricted Aptevo from taking any action that prevents such transactions from being tax-free for U.S. federal income tax purposes. In particular, for the two-year period following the Distribution, Aptevo was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There can be no assurance that Aptevo adequately complied with these restrictions. If a finding is made by the IRS through a tax audit that Aptevo failed to satisfy its obligations, this could have a substantial</w:t>
      </w:r>
    </w:p>
    <w:p>
      <w:pPr>
        <w:spacing w:after="0" w:line="2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63</w:t>
      </w:r>
    </w:p>
    <w:p>
      <w:pPr>
        <w:sectPr>
          <w:pgSz w:w="11900" w:h="16838" w:orient="portrait"/>
          <w:cols w:equalWidth="0" w:num="1">
            <w:col w:w="11420"/>
          </w:cols>
          <w:pgMar w:left="240" w:top="112"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impact on our tax obligations, consolidated financial condition and cash flows.</w:t>
      </w:r>
    </w:p>
    <w:p>
      <w:pPr>
        <w:spacing w:after="0" w:line="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In connection with Aptevo’s separation from us, Aptevo agreed to indemnify us for certain matters. This indemnity may not be sufficient to hold us harmless from the full amount of losses that we may incur in connection with these matters, and Aptevo may not be able to satisfy its indemnification obligations to us.</w:t>
      </w:r>
    </w:p>
    <w:p>
      <w:pPr>
        <w:spacing w:after="0" w:line="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Pursuant to the agreements that we entered into with Aptevo at the time of Aptevo’s separation from us, Aptevo agreed to indemnify us for certain matters, including liabilities related to Aptevo’s business or for which Aptevo otherwise agreed to be responsible in the separation. This indemnity from Aptevo may not be sufficient to protect us against the full amount of losses that we may incur in connection with these matters, including if third parties assert claims against us for liabilities that were allocated to Aptevo in the separation. Moreover, Aptevo may dispute its indemnification obligation to us or have insufficient resources to satisfy its indemnification obligations to us. Even if we ultimately succeed in recovering from Aptevo the amount of any losses that we incur in connection with these matters, the recovery could take a substantial amount of time and we may be required to bear these losses ourselves while we seek recovery. Each of these risks could negatively affect our business, operating results, financial condition and cash flows.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OTHER BUSINESS RISKS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We face an inherent risk of product liability exposure related to the sale of our products, any other products that we successfully acquire or develop and the testing of our product candidates in clinical trials.</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One measure of protection against such lawsuits is coverage under the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We cannot predict whether the Secretary of HHS will renew the declarations when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they expire, whether Congress will fund the relevant PREP Act compensation programs, or whether the necessary prerequisites for immunity would be triggered with respect to our products or product candidates.</w:t>
      </w:r>
    </w:p>
    <w:p>
      <w:pPr>
        <w:spacing w:after="0" w:line="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Additionally, certain of our products, namely BioThrax and RSDL, are certified anti-terrorism products covered under the protections of the Support Anti-Terrorism by Fostering Effective Technology Act of 2002 (the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If we cannot successfully defend ourselves against future claims that our products or product candidates caused injuries and if we are not entitled to indemnity by the USG, or the USG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185" w:lineRule="exact"/>
        <w:rPr>
          <w:sz w:val="20"/>
          <w:szCs w:val="20"/>
          <w:color w:val="auto"/>
        </w:rPr>
      </w:pPr>
    </w:p>
    <w:p>
      <w:pPr>
        <w:ind w:left="660" w:hanging="334"/>
        <w:spacing w:after="0"/>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decreased demand or withdrawal of a product;</w:t>
      </w:r>
    </w:p>
    <w:p>
      <w:pPr>
        <w:spacing w:after="0" w:line="171" w:lineRule="exact"/>
        <w:rPr>
          <w:rFonts w:ascii="Arial" w:cs="Arial" w:eastAsia="Arial" w:hAnsi="Arial"/>
          <w:sz w:val="18"/>
          <w:szCs w:val="18"/>
          <w:b w:val="1"/>
          <w:bCs w:val="1"/>
          <w:color w:val="2C2C2C"/>
        </w:rPr>
      </w:pPr>
    </w:p>
    <w:p>
      <w:pPr>
        <w:ind w:left="660" w:hanging="334"/>
        <w:spacing w:after="0"/>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injury to our reputation;</w:t>
      </w:r>
    </w:p>
    <w:p>
      <w:pPr>
        <w:spacing w:after="0" w:line="171" w:lineRule="exact"/>
        <w:rPr>
          <w:rFonts w:ascii="Arial" w:cs="Arial" w:eastAsia="Arial" w:hAnsi="Arial"/>
          <w:sz w:val="18"/>
          <w:szCs w:val="18"/>
          <w:b w:val="1"/>
          <w:bCs w:val="1"/>
          <w:color w:val="2C2C2C"/>
        </w:rPr>
      </w:pPr>
    </w:p>
    <w:p>
      <w:pPr>
        <w:ind w:left="660" w:hanging="334"/>
        <w:spacing w:after="0"/>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withdrawal of clinical trial participants;</w:t>
      </w:r>
    </w:p>
    <w:p>
      <w:pPr>
        <w:spacing w:after="0" w:line="171" w:lineRule="exact"/>
        <w:rPr>
          <w:rFonts w:ascii="Arial" w:cs="Arial" w:eastAsia="Arial" w:hAnsi="Arial"/>
          <w:sz w:val="18"/>
          <w:szCs w:val="18"/>
          <w:b w:val="1"/>
          <w:bCs w:val="1"/>
          <w:color w:val="2C2C2C"/>
        </w:rPr>
      </w:pPr>
    </w:p>
    <w:p>
      <w:pPr>
        <w:ind w:left="660" w:hanging="334"/>
        <w:spacing w:after="0"/>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costs to defend the related litigation;</w:t>
      </w:r>
    </w:p>
    <w:p>
      <w:pPr>
        <w:spacing w:after="0" w:line="171" w:lineRule="exact"/>
        <w:rPr>
          <w:rFonts w:ascii="Arial" w:cs="Arial" w:eastAsia="Arial" w:hAnsi="Arial"/>
          <w:sz w:val="18"/>
          <w:szCs w:val="18"/>
          <w:b w:val="1"/>
          <w:bCs w:val="1"/>
          <w:color w:val="2C2C2C"/>
        </w:rPr>
      </w:pPr>
    </w:p>
    <w:p>
      <w:pPr>
        <w:ind w:left="660" w:right="20" w:hanging="334"/>
        <w:spacing w:after="0" w:line="287" w:lineRule="auto"/>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substantial monetary awards to trial participants or patients;</w:t>
      </w:r>
    </w:p>
    <w:p>
      <w:pPr>
        <w:spacing w:after="0" w:line="99" w:lineRule="exact"/>
        <w:rPr>
          <w:rFonts w:ascii="Arial" w:cs="Arial" w:eastAsia="Arial" w:hAnsi="Arial"/>
          <w:sz w:val="18"/>
          <w:szCs w:val="18"/>
          <w:b w:val="1"/>
          <w:bCs w:val="1"/>
          <w:color w:val="2C2C2C"/>
        </w:rPr>
      </w:pPr>
    </w:p>
    <w:p>
      <w:pPr>
        <w:ind w:left="660" w:hanging="334"/>
        <w:spacing w:after="0"/>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loss of revenue; and</w:t>
      </w:r>
    </w:p>
    <w:p>
      <w:pPr>
        <w:spacing w:after="0" w:line="171" w:lineRule="exact"/>
        <w:rPr>
          <w:rFonts w:ascii="Arial" w:cs="Arial" w:eastAsia="Arial" w:hAnsi="Arial"/>
          <w:sz w:val="18"/>
          <w:szCs w:val="18"/>
          <w:b w:val="1"/>
          <w:bCs w:val="1"/>
          <w:color w:val="2C2C2C"/>
        </w:rPr>
      </w:pPr>
    </w:p>
    <w:p>
      <w:pPr>
        <w:ind w:left="660" w:right="20" w:hanging="334"/>
        <w:spacing w:after="0" w:line="287" w:lineRule="auto"/>
        <w:tabs>
          <w:tab w:leader="none" w:pos="660" w:val="left"/>
        </w:tabs>
        <w:numPr>
          <w:ilvl w:val="0"/>
          <w:numId w:val="61"/>
        </w:numPr>
        <w:rPr>
          <w:rFonts w:ascii="Arial" w:cs="Arial" w:eastAsia="Arial" w:hAnsi="Arial"/>
          <w:sz w:val="18"/>
          <w:szCs w:val="18"/>
          <w:b w:val="1"/>
          <w:bCs w:val="1"/>
          <w:color w:val="2C2C2C"/>
        </w:rPr>
      </w:pPr>
      <w:r>
        <w:rPr>
          <w:rFonts w:ascii="Arial" w:cs="Arial" w:eastAsia="Arial" w:hAnsi="Arial"/>
          <w:sz w:val="18"/>
          <w:szCs w:val="18"/>
          <w:b w:val="1"/>
          <w:bCs w:val="1"/>
          <w:color w:val="auto"/>
        </w:rPr>
        <w:t>an inability to commercialize products that we may develop.</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w:t>
      </w:r>
    </w:p>
    <w:p>
      <w:pPr>
        <w:spacing w:after="0" w:line="800"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64</w:t>
      </w:r>
    </w:p>
    <w:p>
      <w:pPr>
        <w:sectPr>
          <w:pgSz w:w="11900" w:h="16838" w:orient="portrait"/>
          <w:cols w:equalWidth="0" w:num="1">
            <w:col w:w="11420"/>
          </w:cols>
          <w:pgMar w:left="240" w:top="112"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liability exposure for these products. Additionally, potential product liability claims related to our commercial products, including NARCAN® Nasal Spray, Vivotif and Vaxchora,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The accuracy of our financial reporting depends on the effectiveness of our internal control over financial reporting. A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 effect on our business and financial reporting, and the trading price of our common stock could be negatively affected.</w:t>
      </w:r>
    </w:p>
    <w:p>
      <w:pPr>
        <w:spacing w:after="0" w:line="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proprietary and confidential business and employee information.</w:t>
      </w:r>
    </w:p>
    <w:p>
      <w:pPr>
        <w:spacing w:after="0" w:line="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7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w:t>
      </w:r>
    </w:p>
    <w:p>
      <w:pPr>
        <w:spacing w:after="0" w:line="742"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65</w:t>
      </w:r>
    </w:p>
    <w:p>
      <w:pPr>
        <w:sectPr>
          <w:pgSz w:w="11900" w:h="16838" w:orient="portrait"/>
          <w:cols w:equalWidth="0" w:num="1">
            <w:col w:w="11420"/>
          </w:cols>
          <w:pgMar w:left="240" w:top="112"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If we cannot offer a competitive compensation package to attract and retain the qualified personnel necessary for the continued development of our business, we may not be able to maintain our operations or grow our business.</w:t>
      </w:r>
    </w:p>
    <w:p>
      <w:pPr>
        <w:spacing w:after="0" w:line="69"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b w:val="1"/>
          <w:bCs w:val="1"/>
          <w:color w:val="0094FF"/>
        </w:rPr>
        <w:t>RISKS RELATED TO OWNERSHIP OF OUR COMMON STOCK</w:t>
      </w:r>
    </w:p>
    <w:p>
      <w:pPr>
        <w:spacing w:after="0" w:line="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Mr. El-Hibri has the ability to significantly influence the election of the members of our Board of Directors due to his substantial beneficial ownership of our common stock. As of July 26, 2019, Mr. El-Hibri was the beneficial owner of approximately 11%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8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These provisions include:</w:t>
      </w:r>
    </w:p>
    <w:p>
      <w:pPr>
        <w:spacing w:after="0" w:line="31" w:lineRule="exact"/>
        <w:rPr>
          <w:sz w:val="20"/>
          <w:szCs w:val="20"/>
          <w:color w:val="auto"/>
        </w:rPr>
      </w:pPr>
    </w:p>
    <w:p>
      <w:pPr>
        <w:ind w:left="660" w:hanging="584"/>
        <w:spacing w:after="0"/>
        <w:tabs>
          <w:tab w:leader="none" w:pos="660" w:val="left"/>
        </w:tabs>
        <w:numPr>
          <w:ilvl w:val="0"/>
          <w:numId w:val="62"/>
        </w:numPr>
        <w:rPr>
          <w:rFonts w:ascii="Arial" w:cs="Arial" w:eastAsia="Arial" w:hAnsi="Arial"/>
          <w:sz w:val="18"/>
          <w:szCs w:val="18"/>
          <w:b w:val="1"/>
          <w:bCs w:val="1"/>
          <w:color w:val="2C2C2C"/>
        </w:rPr>
      </w:pPr>
      <w:r>
        <w:rPr>
          <w:rFonts w:ascii="Arial" w:cs="Arial" w:eastAsia="Arial" w:hAnsi="Arial"/>
          <w:sz w:val="18"/>
          <w:szCs w:val="18"/>
          <w:b w:val="1"/>
          <w:bCs w:val="1"/>
          <w:color w:val="auto"/>
        </w:rPr>
        <w:t>the classification of our directors;</w:t>
      </w:r>
    </w:p>
    <w:p>
      <w:pPr>
        <w:spacing w:after="0" w:line="149" w:lineRule="exact"/>
        <w:rPr>
          <w:rFonts w:ascii="Arial" w:cs="Arial" w:eastAsia="Arial" w:hAnsi="Arial"/>
          <w:sz w:val="18"/>
          <w:szCs w:val="18"/>
          <w:b w:val="1"/>
          <w:bCs w:val="1"/>
          <w:color w:val="2C2C2C"/>
        </w:rPr>
      </w:pPr>
    </w:p>
    <w:p>
      <w:pPr>
        <w:ind w:left="660" w:right="20" w:hanging="584"/>
        <w:spacing w:after="0" w:line="287" w:lineRule="auto"/>
        <w:tabs>
          <w:tab w:leader="none" w:pos="660" w:val="left"/>
        </w:tabs>
        <w:numPr>
          <w:ilvl w:val="0"/>
          <w:numId w:val="62"/>
        </w:numPr>
        <w:rPr>
          <w:rFonts w:ascii="Arial" w:cs="Arial" w:eastAsia="Arial" w:hAnsi="Arial"/>
          <w:sz w:val="18"/>
          <w:szCs w:val="18"/>
          <w:b w:val="1"/>
          <w:bCs w:val="1"/>
          <w:color w:val="2C2C2C"/>
        </w:rPr>
      </w:pPr>
      <w:r>
        <w:rPr>
          <w:rFonts w:ascii="Arial" w:cs="Arial" w:eastAsia="Arial" w:hAnsi="Arial"/>
          <w:sz w:val="18"/>
          <w:szCs w:val="18"/>
          <w:b w:val="1"/>
          <w:bCs w:val="1"/>
          <w:color w:val="auto"/>
        </w:rPr>
        <w:t>limitations on changing the number of directors then in office;</w:t>
      </w:r>
    </w:p>
    <w:p>
      <w:pPr>
        <w:spacing w:after="0" w:line="99" w:lineRule="exact"/>
        <w:rPr>
          <w:rFonts w:ascii="Arial" w:cs="Arial" w:eastAsia="Arial" w:hAnsi="Arial"/>
          <w:sz w:val="18"/>
          <w:szCs w:val="18"/>
          <w:b w:val="1"/>
          <w:bCs w:val="1"/>
          <w:color w:val="2C2C2C"/>
        </w:rPr>
      </w:pPr>
    </w:p>
    <w:p>
      <w:pPr>
        <w:ind w:left="660" w:hanging="584"/>
        <w:spacing w:after="0"/>
        <w:tabs>
          <w:tab w:leader="none" w:pos="660" w:val="left"/>
        </w:tabs>
        <w:numPr>
          <w:ilvl w:val="0"/>
          <w:numId w:val="62"/>
        </w:numPr>
        <w:rPr>
          <w:rFonts w:ascii="Arial" w:cs="Arial" w:eastAsia="Arial" w:hAnsi="Arial"/>
          <w:sz w:val="18"/>
          <w:szCs w:val="18"/>
          <w:b w:val="1"/>
          <w:bCs w:val="1"/>
          <w:color w:val="2C2C2C"/>
        </w:rPr>
      </w:pPr>
      <w:r>
        <w:rPr>
          <w:rFonts w:ascii="Arial" w:cs="Arial" w:eastAsia="Arial" w:hAnsi="Arial"/>
          <w:sz w:val="18"/>
          <w:szCs w:val="18"/>
          <w:b w:val="1"/>
          <w:bCs w:val="1"/>
          <w:color w:val="auto"/>
        </w:rPr>
        <w:t>limitations on the removal of directors;</w:t>
      </w:r>
    </w:p>
    <w:p>
      <w:pPr>
        <w:spacing w:after="0" w:line="171" w:lineRule="exact"/>
        <w:rPr>
          <w:rFonts w:ascii="Arial" w:cs="Arial" w:eastAsia="Arial" w:hAnsi="Arial"/>
          <w:sz w:val="18"/>
          <w:szCs w:val="18"/>
          <w:b w:val="1"/>
          <w:bCs w:val="1"/>
          <w:color w:val="2C2C2C"/>
        </w:rPr>
      </w:pPr>
    </w:p>
    <w:p>
      <w:pPr>
        <w:ind w:left="660" w:hanging="584"/>
        <w:spacing w:after="0"/>
        <w:tabs>
          <w:tab w:leader="none" w:pos="660" w:val="left"/>
        </w:tabs>
        <w:numPr>
          <w:ilvl w:val="0"/>
          <w:numId w:val="62"/>
        </w:numPr>
        <w:rPr>
          <w:rFonts w:ascii="Arial" w:cs="Arial" w:eastAsia="Arial" w:hAnsi="Arial"/>
          <w:sz w:val="18"/>
          <w:szCs w:val="18"/>
          <w:b w:val="1"/>
          <w:bCs w:val="1"/>
          <w:color w:val="2C2C2C"/>
        </w:rPr>
      </w:pPr>
      <w:r>
        <w:rPr>
          <w:rFonts w:ascii="Arial" w:cs="Arial" w:eastAsia="Arial" w:hAnsi="Arial"/>
          <w:sz w:val="18"/>
          <w:szCs w:val="18"/>
          <w:b w:val="1"/>
          <w:bCs w:val="1"/>
          <w:color w:val="auto"/>
        </w:rPr>
        <w:t>limitations on filling vacancies on the board;</w:t>
      </w:r>
    </w:p>
    <w:p>
      <w:pPr>
        <w:spacing w:after="0" w:line="171" w:lineRule="exact"/>
        <w:rPr>
          <w:rFonts w:ascii="Arial" w:cs="Arial" w:eastAsia="Arial" w:hAnsi="Arial"/>
          <w:sz w:val="18"/>
          <w:szCs w:val="18"/>
          <w:b w:val="1"/>
          <w:bCs w:val="1"/>
          <w:color w:val="2C2C2C"/>
        </w:rPr>
      </w:pPr>
    </w:p>
    <w:p>
      <w:pPr>
        <w:jc w:val="both"/>
        <w:ind w:left="660" w:hanging="584"/>
        <w:spacing w:after="0" w:line="269" w:lineRule="auto"/>
        <w:tabs>
          <w:tab w:leader="none" w:pos="660" w:val="left"/>
        </w:tabs>
        <w:numPr>
          <w:ilvl w:val="0"/>
          <w:numId w:val="62"/>
        </w:numPr>
        <w:rPr>
          <w:rFonts w:ascii="Arial" w:cs="Arial" w:eastAsia="Arial" w:hAnsi="Arial"/>
          <w:sz w:val="18"/>
          <w:szCs w:val="18"/>
          <w:b w:val="1"/>
          <w:bCs w:val="1"/>
          <w:color w:val="2C2C2C"/>
        </w:rPr>
      </w:pPr>
      <w:r>
        <w:rPr>
          <w:rFonts w:ascii="Arial" w:cs="Arial" w:eastAsia="Arial" w:hAnsi="Arial"/>
          <w:sz w:val="18"/>
          <w:szCs w:val="18"/>
          <w:b w:val="1"/>
          <w:bCs w:val="1"/>
          <w:color w:val="auto"/>
        </w:rPr>
        <w:t>advance notice requirements for stockholder nominations of candidates for election to the Board of Directors and other proposals;</w:t>
      </w:r>
    </w:p>
    <w:p>
      <w:pPr>
        <w:spacing w:after="0" w:line="114" w:lineRule="exact"/>
        <w:rPr>
          <w:rFonts w:ascii="Arial" w:cs="Arial" w:eastAsia="Arial" w:hAnsi="Arial"/>
          <w:sz w:val="18"/>
          <w:szCs w:val="18"/>
          <w:b w:val="1"/>
          <w:bCs w:val="1"/>
          <w:color w:val="2C2C2C"/>
        </w:rPr>
      </w:pPr>
    </w:p>
    <w:p>
      <w:pPr>
        <w:ind w:left="660" w:hanging="584"/>
        <w:spacing w:after="0"/>
        <w:tabs>
          <w:tab w:leader="none" w:pos="660" w:val="left"/>
        </w:tabs>
        <w:numPr>
          <w:ilvl w:val="0"/>
          <w:numId w:val="62"/>
        </w:numPr>
        <w:rPr>
          <w:rFonts w:ascii="Arial" w:cs="Arial" w:eastAsia="Arial" w:hAnsi="Arial"/>
          <w:sz w:val="18"/>
          <w:szCs w:val="18"/>
          <w:b w:val="1"/>
          <w:bCs w:val="1"/>
          <w:color w:val="2C2C2C"/>
        </w:rPr>
      </w:pPr>
      <w:r>
        <w:rPr>
          <w:rFonts w:ascii="Arial" w:cs="Arial" w:eastAsia="Arial" w:hAnsi="Arial"/>
          <w:sz w:val="18"/>
          <w:szCs w:val="18"/>
          <w:b w:val="1"/>
          <w:bCs w:val="1"/>
          <w:color w:val="auto"/>
        </w:rPr>
        <w:t>the inability of stockholders to act by written consent;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660" w:right="20" w:hanging="590"/>
        <w:spacing w:after="0" w:line="287" w:lineRule="auto"/>
        <w:tabs>
          <w:tab w:leader="none" w:pos="660" w:val="left"/>
        </w:tabs>
        <w:numPr>
          <w:ilvl w:val="0"/>
          <w:numId w:val="63"/>
        </w:numPr>
        <w:rPr>
          <w:rFonts w:ascii="Arial" w:cs="Arial" w:eastAsia="Arial" w:hAnsi="Arial"/>
          <w:sz w:val="18"/>
          <w:szCs w:val="18"/>
          <w:b w:val="1"/>
          <w:bCs w:val="1"/>
          <w:color w:val="2C2C2C"/>
        </w:rPr>
      </w:pPr>
      <w:r>
        <w:rPr>
          <w:rFonts w:ascii="Arial" w:cs="Arial" w:eastAsia="Arial" w:hAnsi="Arial"/>
          <w:sz w:val="18"/>
          <w:szCs w:val="18"/>
          <w:b w:val="1"/>
          <w:bCs w:val="1"/>
          <w:color w:val="auto"/>
        </w:rPr>
        <w:t>the inability of stockholders to call special meetings; and</w:t>
      </w:r>
    </w:p>
    <w:p>
      <w:pPr>
        <w:spacing w:after="0" w:line="99" w:lineRule="exact"/>
        <w:rPr>
          <w:rFonts w:ascii="Arial" w:cs="Arial" w:eastAsia="Arial" w:hAnsi="Arial"/>
          <w:sz w:val="18"/>
          <w:szCs w:val="18"/>
          <w:b w:val="1"/>
          <w:bCs w:val="1"/>
          <w:color w:val="2C2C2C"/>
        </w:rPr>
      </w:pPr>
    </w:p>
    <w:p>
      <w:pPr>
        <w:jc w:val="both"/>
        <w:ind w:left="660" w:right="20" w:hanging="590"/>
        <w:spacing w:after="0" w:line="269" w:lineRule="auto"/>
        <w:tabs>
          <w:tab w:leader="none" w:pos="660" w:val="left"/>
        </w:tabs>
        <w:numPr>
          <w:ilvl w:val="0"/>
          <w:numId w:val="63"/>
        </w:numPr>
        <w:rPr>
          <w:rFonts w:ascii="Arial" w:cs="Arial" w:eastAsia="Arial" w:hAnsi="Arial"/>
          <w:sz w:val="18"/>
          <w:szCs w:val="18"/>
          <w:b w:val="1"/>
          <w:bCs w:val="1"/>
          <w:color w:val="2C2C2C"/>
        </w:rPr>
      </w:pPr>
      <w:r>
        <w:rPr>
          <w:rFonts w:ascii="Arial" w:cs="Arial" w:eastAsia="Arial" w:hAnsi="Arial"/>
          <w:sz w:val="18"/>
          <w:szCs w:val="18"/>
          <w:b w:val="1"/>
          <w:bCs w:val="1"/>
          <w:color w:val="auto"/>
        </w:rPr>
        <w:t>the ability of our Board of Directors to designate the terms of and issue a new series of preferred stock without stockholder approval.</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Our Board of Directors may implement a stockholder rights plan without stockholder approval.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8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Our Board of Directors may implement a new stockholder rights plan, which may have anti-takeover effects, potentially preventing a change in control of us in instances in which some stockholders may</w:t>
      </w:r>
    </w:p>
    <w:p>
      <w:pPr>
        <w:spacing w:after="0" w:line="205"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66</w:t>
      </w:r>
    </w:p>
    <w:p>
      <w:pPr>
        <w:sectPr>
          <w:pgSz w:w="11900" w:h="16838" w:orient="portrait"/>
          <w:cols w:equalWidth="0" w:num="1">
            <w:col w:w="11420"/>
          </w:cols>
          <w:pgMar w:left="240" w:top="112"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420"/>
          </w:cols>
          <w:pgMar w:left="240" w:top="112" w:right="239" w:bottom="1440" w:gutter="0" w:footer="0" w:header="0"/>
        </w:sect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4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July 26, 2019, our common stock has traded as high as $73.89 per share and as low as $4.20 per share. The stock market in general as well as the market for biopharmaceutical companies in particular has experienced extreme volatility that has often been unrelated to the operating performance of particular companies. The market price of our common stock may be influenced by many factors, including, among others: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660" w:right="20" w:hanging="658"/>
        <w:spacing w:after="0" w:line="287" w:lineRule="auto"/>
        <w:tabs>
          <w:tab w:leader="none" w:pos="660" w:val="left"/>
        </w:tabs>
        <w:numPr>
          <w:ilvl w:val="0"/>
          <w:numId w:val="64"/>
        </w:numPr>
        <w:rPr>
          <w:rFonts w:ascii="Arial" w:cs="Arial" w:eastAsia="Arial" w:hAnsi="Arial"/>
          <w:sz w:val="18"/>
          <w:szCs w:val="18"/>
          <w:b w:val="1"/>
          <w:bCs w:val="1"/>
          <w:color w:val="2C2C2C"/>
        </w:rPr>
      </w:pPr>
      <w:r>
        <w:rPr>
          <w:rFonts w:ascii="Arial" w:cs="Arial" w:eastAsia="Arial" w:hAnsi="Arial"/>
          <w:sz w:val="18"/>
          <w:szCs w:val="18"/>
          <w:b w:val="1"/>
          <w:bCs w:val="1"/>
          <w:color w:val="auto"/>
        </w:rPr>
        <w:t>the other factors described in this “Risk Factors” section.</w:t>
      </w:r>
    </w:p>
    <w:p>
      <w:pPr>
        <w:spacing w:after="0" w:line="9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Because we currently do not pay dividends, investors will benefit from an investment in our common stock only if it appreciates in value.</w:t>
      </w:r>
    </w:p>
    <w:p>
      <w:pPr>
        <w:spacing w:after="0" w:line="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We currently do not pay dividends on our common stock. Our senior secured credit facilities limit and any future debt agreements that we enter into may limit our ability to pay dividends. As a result, capital appreciation, if any, of our common stock will be the sole source of gain for our stockholders for the foreseeable future.</w:t>
      </w:r>
    </w:p>
    <w:p>
      <w:pPr>
        <w:spacing w:after="0" w:line="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This could cause the market price of our common stock to drop significantly.</w:t>
      </w:r>
    </w:p>
    <w:p>
      <w:pPr>
        <w:spacing w:after="0" w:line="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June 30, 2019, have the right to require us to register these shares of common stock under specified circumstances.</w:t>
      </w:r>
    </w:p>
    <w:p>
      <w:pPr>
        <w:spacing w:after="0" w:line="992" w:lineRule="exact"/>
        <w:rPr>
          <w:sz w:val="20"/>
          <w:szCs w:val="20"/>
          <w:color w:val="auto"/>
        </w:rPr>
      </w:pPr>
    </w:p>
    <w:p>
      <w:pPr>
        <w:sectPr>
          <w:pgSz w:w="11900" w:h="16838" w:orient="portrait"/>
          <w:cols w:equalWidth="0" w:num="2">
            <w:col w:w="5480" w:space="460"/>
            <w:col w:w="5480"/>
          </w:cols>
          <w:pgMar w:left="240" w:top="112" w:right="239" w:bottom="1440" w:gutter="0" w:footer="0" w:header="0"/>
          <w:type w:val="continuous"/>
        </w:sectPr>
      </w:pPr>
    </w:p>
    <w:p>
      <w:pPr>
        <w:jc w:val="both"/>
        <w:ind w:left="660" w:right="5940" w:hanging="652"/>
        <w:spacing w:after="0" w:line="269" w:lineRule="auto"/>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contracts, decisions and procurement policies by the USG affecting BioThrax and our other products and product candidates;</w:t>
      </w:r>
    </w:p>
    <w:p>
      <w:pPr>
        <w:spacing w:after="0" w:line="114" w:lineRule="exact"/>
        <w:rPr>
          <w:rFonts w:ascii="Arial" w:cs="Arial" w:eastAsia="Arial" w:hAnsi="Arial"/>
          <w:sz w:val="18"/>
          <w:szCs w:val="18"/>
          <w:b w:val="1"/>
          <w:bCs w:val="1"/>
          <w:color w:val="2C2C2C"/>
        </w:rPr>
      </w:pPr>
    </w:p>
    <w:p>
      <w:pPr>
        <w:ind w:left="660" w:hanging="652"/>
        <w:spacing w:after="0"/>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the success of competitive products or technologies;</w:t>
      </w:r>
    </w:p>
    <w:p>
      <w:pPr>
        <w:spacing w:after="0" w:line="171" w:lineRule="exact"/>
        <w:rPr>
          <w:rFonts w:ascii="Arial" w:cs="Arial" w:eastAsia="Arial" w:hAnsi="Arial"/>
          <w:sz w:val="18"/>
          <w:szCs w:val="18"/>
          <w:b w:val="1"/>
          <w:bCs w:val="1"/>
          <w:color w:val="2C2C2C"/>
        </w:rPr>
      </w:pPr>
    </w:p>
    <w:p>
      <w:pPr>
        <w:ind w:left="660" w:right="5960" w:hanging="652"/>
        <w:spacing w:after="0" w:line="287" w:lineRule="auto"/>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results of clinical and non-clinical trials of our product candidates;</w:t>
      </w:r>
    </w:p>
    <w:p>
      <w:pPr>
        <w:spacing w:after="0" w:line="99" w:lineRule="exact"/>
        <w:rPr>
          <w:rFonts w:ascii="Arial" w:cs="Arial" w:eastAsia="Arial" w:hAnsi="Arial"/>
          <w:sz w:val="18"/>
          <w:szCs w:val="18"/>
          <w:b w:val="1"/>
          <w:bCs w:val="1"/>
          <w:color w:val="2C2C2C"/>
        </w:rPr>
      </w:pPr>
    </w:p>
    <w:p>
      <w:pPr>
        <w:ind w:left="660" w:right="5960" w:hanging="652"/>
        <w:spacing w:after="0" w:line="287" w:lineRule="auto"/>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announcements of acquisitions, financings or other transactions by us;</w:t>
      </w:r>
    </w:p>
    <w:p>
      <w:pPr>
        <w:spacing w:after="0" w:line="99" w:lineRule="exact"/>
        <w:rPr>
          <w:rFonts w:ascii="Arial" w:cs="Arial" w:eastAsia="Arial" w:hAnsi="Arial"/>
          <w:sz w:val="18"/>
          <w:szCs w:val="18"/>
          <w:b w:val="1"/>
          <w:bCs w:val="1"/>
          <w:color w:val="2C2C2C"/>
        </w:rPr>
      </w:pPr>
    </w:p>
    <w:p>
      <w:pPr>
        <w:ind w:left="660" w:hanging="652"/>
        <w:spacing w:after="0"/>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litigation or legal proceedings;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public concern as to the safety of our products;</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termination or delay of a development program;</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the recruitment or departure of key personnel;</w:t>
      </w:r>
    </w:p>
    <w:p>
      <w:pPr>
        <w:spacing w:after="0" w:line="171" w:lineRule="exact"/>
        <w:rPr>
          <w:rFonts w:ascii="Arial" w:cs="Arial" w:eastAsia="Arial" w:hAnsi="Arial"/>
          <w:sz w:val="18"/>
          <w:szCs w:val="18"/>
          <w:b w:val="1"/>
          <w:bCs w:val="1"/>
          <w:color w:val="2C2C2C"/>
        </w:rPr>
      </w:pPr>
    </w:p>
    <w:p>
      <w:pPr>
        <w:ind w:left="660" w:hanging="652"/>
        <w:spacing w:after="0"/>
        <w:tabs>
          <w:tab w:leader="none" w:pos="660" w:val="left"/>
        </w:tabs>
        <w:numPr>
          <w:ilvl w:val="0"/>
          <w:numId w:val="65"/>
        </w:numPr>
        <w:rPr>
          <w:rFonts w:ascii="Arial" w:cs="Arial" w:eastAsia="Arial" w:hAnsi="Arial"/>
          <w:sz w:val="18"/>
          <w:szCs w:val="18"/>
          <w:b w:val="1"/>
          <w:bCs w:val="1"/>
          <w:color w:val="2C2C2C"/>
        </w:rPr>
      </w:pPr>
      <w:r>
        <w:rPr>
          <w:rFonts w:ascii="Arial" w:cs="Arial" w:eastAsia="Arial" w:hAnsi="Arial"/>
          <w:sz w:val="18"/>
          <w:szCs w:val="18"/>
          <w:b w:val="1"/>
          <w:bCs w:val="1"/>
          <w:color w:val="auto"/>
        </w:rPr>
        <w:t>variations in our product revenue and profitability;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67</w:t>
      </w:r>
    </w:p>
    <w:p>
      <w:pPr>
        <w:sectPr>
          <w:pgSz w:w="11900" w:h="16838" w:orient="portrait"/>
          <w:cols w:equalWidth="0" w:num="1">
            <w:col w:w="11420"/>
          </w:cols>
          <w:pgMar w:left="240" w:top="112" w:right="239" w:bottom="1440" w:gutter="0" w:footer="0" w:header="0"/>
          <w:type w:val="continuous"/>
        </w:sectPr>
      </w:pPr>
    </w:p>
    <w:bookmarkStart w:id="67" w:name="page68"/>
    <w:bookmarkEnd w:id="67"/>
    <w:p>
      <w:pPr>
        <w:ind w:left="4140"/>
        <w:spacing w:after="0"/>
        <w:rPr>
          <w:sz w:val="20"/>
          <w:szCs w:val="20"/>
          <w:color w:val="auto"/>
        </w:rPr>
      </w:pPr>
      <w:r>
        <w:rPr>
          <w:rFonts w:ascii="Arial" w:cs="Arial" w:eastAsia="Arial" w:hAnsi="Arial"/>
          <w:sz w:val="19"/>
          <w:szCs w:val="19"/>
          <w:b w:val="1"/>
          <w:bCs w:val="1"/>
          <w:color w:val="00497F"/>
        </w:rPr>
        <w:t>EMERGENT BIOSOLUTIONS INC.</w:t>
      </w:r>
    </w:p>
    <w:p>
      <w:pPr>
        <w:spacing w:after="0" w:line="259" w:lineRule="exact"/>
        <w:rPr>
          <w:sz w:val="20"/>
          <w:szCs w:val="20"/>
          <w:color w:val="auto"/>
        </w:rPr>
      </w:pPr>
    </w:p>
    <w:p>
      <w:pPr>
        <w:ind w:right="4859"/>
        <w:spacing w:after="0" w:line="287" w:lineRule="auto"/>
        <w:rPr>
          <w:sz w:val="20"/>
          <w:szCs w:val="20"/>
          <w:color w:val="auto"/>
        </w:rPr>
      </w:pPr>
      <w:r>
        <w:rPr>
          <w:rFonts w:ascii="Arial" w:cs="Arial" w:eastAsia="Arial" w:hAnsi="Arial"/>
          <w:sz w:val="18"/>
          <w:szCs w:val="18"/>
          <w:b w:val="1"/>
          <w:bCs w:val="1"/>
          <w:color w:val="00497F"/>
        </w:rPr>
        <w:t>ITEM 2. UNREGISTERED SALES OF EQUITY SECURITIES AND USE OF PROCEEDS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Recent Sales of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Purchases of Equity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ITEM 3. DEFAULTS UPON SENIOR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ITEM 4. MINE SAFETY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ITEM 5. OTHER INFORMATION</w:t>
      </w:r>
    </w:p>
    <w:p>
      <w:pPr>
        <w:spacing w:after="0" w:line="171" w:lineRule="exact"/>
        <w:rPr>
          <w:sz w:val="20"/>
          <w:szCs w:val="20"/>
          <w:color w:val="auto"/>
        </w:rPr>
      </w:pPr>
    </w:p>
    <w:p>
      <w:pPr>
        <w:jc w:val="both"/>
        <w:ind w:right="4739" w:firstLine="324"/>
        <w:spacing w:after="0" w:line="253" w:lineRule="auto"/>
        <w:rPr>
          <w:sz w:val="20"/>
          <w:szCs w:val="20"/>
          <w:color w:val="auto"/>
        </w:rPr>
      </w:pPr>
      <w:r>
        <w:rPr>
          <w:rFonts w:ascii="Arial" w:cs="Arial" w:eastAsia="Arial" w:hAnsi="Arial"/>
          <w:sz w:val="18"/>
          <w:szCs w:val="18"/>
          <w:b w:val="1"/>
          <w:bCs w:val="1"/>
          <w:color w:val="auto"/>
        </w:rPr>
        <w:t>On June 27, 2019, certain amendments were made to the Amended Credit Agreement which extended the covenant relief period (collectively, the Amendment). The Amendment included, among other things, a change to the maximum consolidated net leverage ratio of 4.95 to 1.00 for the quarter ended June 30, 2019 and 4.75 to 1.00 for the quarter ended September 30, 2019. Covenants in the Amended Credit Agreement were also amended to limit the amount of restricted payments as defined in the Amended Credit Agreement to $25 million until the filing of the Company's December 31, 2019 Form 10-K. This description of the Amendment does not purport to be complete and is qualified in its entirety by the full text of the Amendment, which is filed hereto as Exhibit 10.2.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ITEM 6. EXHIBITS</w:t>
      </w:r>
    </w:p>
    <w:p>
      <w:pPr>
        <w:spacing w:after="0" w:line="171" w:lineRule="exact"/>
        <w:rPr>
          <w:sz w:val="20"/>
          <w:szCs w:val="20"/>
          <w:color w:val="auto"/>
        </w:rPr>
      </w:pPr>
    </w:p>
    <w:p>
      <w:pPr>
        <w:ind w:right="4939" w:firstLine="324"/>
        <w:spacing w:after="0" w:line="269" w:lineRule="auto"/>
        <w:rPr>
          <w:sz w:val="20"/>
          <w:szCs w:val="20"/>
          <w:color w:val="auto"/>
        </w:rPr>
      </w:pPr>
      <w:r>
        <w:rPr>
          <w:rFonts w:ascii="Arial" w:cs="Arial" w:eastAsia="Arial" w:hAnsi="Arial"/>
          <w:sz w:val="18"/>
          <w:szCs w:val="18"/>
          <w:b w:val="1"/>
          <w:bCs w:val="1"/>
          <w:color w:val="2C2C2C"/>
        </w:rPr>
        <w:t>The exhibits required to be filed by Item 601 of Regulation S-K are listed in the Exhibit Index immediately preceding the exhibits hereto.</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2C2C2C"/>
        </w:rPr>
        <w:t>68</w:t>
      </w:r>
    </w:p>
    <w:p>
      <w:pPr>
        <w:sectPr>
          <w:pgSz w:w="11900" w:h="16838" w:orient="portrait"/>
          <w:cols w:equalWidth="0" w:num="1">
            <w:col w:w="10219"/>
          </w:cols>
          <w:pgMar w:left="240" w:top="112" w:right="1440"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auto"/>
        </w:rPr>
        <w:t>Exhibit Number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Arial" w:cs="Arial" w:eastAsia="Arial" w:hAnsi="Arial"/>
          <w:sz w:val="20"/>
          <w:szCs w:val="20"/>
          <w:b w:val="1"/>
          <w:bCs w:val="1"/>
          <w:color w:val="00497F"/>
        </w:rPr>
        <w:t>EMERGENT BIOSOLUTIONS INC.</w:t>
      </w:r>
    </w:p>
    <w:p>
      <w:pPr>
        <w:spacing w:after="0" w:line="24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00497F"/>
        </w:rPr>
        <w:t>EXHIBIT INDEX</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153" w:lineRule="exact"/>
        <w:rPr>
          <w:sz w:val="20"/>
          <w:szCs w:val="20"/>
          <w:color w:val="auto"/>
        </w:rPr>
      </w:pPr>
    </w:p>
    <w:p>
      <w:pPr>
        <w:ind w:right="420"/>
        <w:spacing w:after="0" w:line="246" w:lineRule="auto"/>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Modification No. 17, effective June 13, 2019, to the Solicitation/Contract/Order for Commercial Items, effective December 8,</w:t>
        </w:r>
      </w:hyperlink>
      <w:r>
        <w:rPr>
          <w:rFonts w:ascii="Arial" w:cs="Arial" w:eastAsia="Arial" w:hAnsi="Arial"/>
          <w:sz w:val="18"/>
          <w:szCs w:val="18"/>
          <w:u w:val="single" w:color="auto"/>
          <w:color w:val="0000FF"/>
        </w:rPr>
        <w:t xml:space="preserve"> </w:t>
      </w:r>
      <w:hyperlink w:anchor="page71">
        <w:r>
          <w:rPr>
            <w:rFonts w:ascii="Arial" w:cs="Arial" w:eastAsia="Arial" w:hAnsi="Arial"/>
            <w:sz w:val="18"/>
            <w:szCs w:val="18"/>
            <w:u w:val="single" w:color="auto"/>
            <w:color w:val="0000FF"/>
          </w:rPr>
          <w:t>2016, from the Centers for Disease Control and Prevention to Emergent Biodefense Operations Lansing LLC.</w:t>
        </w:r>
      </w:hyperlink>
    </w:p>
    <w:p>
      <w:pPr>
        <w:spacing w:after="0" w:line="116" w:lineRule="exact"/>
        <w:rPr>
          <w:sz w:val="20"/>
          <w:szCs w:val="20"/>
          <w:color w:val="auto"/>
        </w:rPr>
      </w:pPr>
    </w:p>
    <w:p>
      <w:pPr>
        <w:sectPr>
          <w:pgSz w:w="11900" w:h="16838" w:orient="portrait"/>
          <w:cols w:equalWidth="0" w:num="2">
            <w:col w:w="680" w:space="360"/>
            <w:col w:w="10240"/>
          </w:cols>
          <w:pgMar w:left="280" w:top="112"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w:t>
            </w:r>
          </w:p>
        </w:tc>
        <w:tc>
          <w:tcPr>
            <w:tcW w:w="10000" w:type="dxa"/>
            <w:vAlign w:val="bottom"/>
            <w:gridSpan w:val="8"/>
            <w:vMerge w:val="restart"/>
          </w:tcPr>
          <w:p>
            <w:pPr>
              <w:spacing w:after="0"/>
              <w:rPr>
                <w:rFonts w:ascii="Arial" w:cs="Arial" w:eastAsia="Arial" w:hAnsi="Arial"/>
                <w:sz w:val="18"/>
                <w:szCs w:val="18"/>
                <w:color w:val="0000FF"/>
                <w:w w:val="99"/>
              </w:rPr>
            </w:pPr>
            <w:hyperlink w:anchor="page73">
              <w:r>
                <w:rPr>
                  <w:rFonts w:ascii="Arial" w:cs="Arial" w:eastAsia="Arial" w:hAnsi="Arial"/>
                  <w:sz w:val="18"/>
                  <w:szCs w:val="18"/>
                  <w:color w:val="0000FF"/>
                  <w:w w:val="99"/>
                </w:rPr>
                <w:t>First Amendment, dated June 27, 2019, to Amended and Restated Credit Agreement, dated October 15, 2018, by and among</w:t>
              </w:r>
            </w:hyperlink>
          </w:p>
        </w:tc>
        <w:tc>
          <w:tcPr>
            <w:tcW w:w="0" w:type="dxa"/>
            <w:vAlign w:val="bottom"/>
          </w:tcPr>
          <w:p>
            <w:pPr>
              <w:spacing w:after="0"/>
              <w:rPr>
                <w:sz w:val="1"/>
                <w:szCs w:val="1"/>
                <w:color w:val="auto"/>
              </w:rPr>
            </w:pPr>
          </w:p>
        </w:tc>
      </w:tr>
      <w:tr>
        <w:trPr>
          <w:trHeight w:val="46"/>
        </w:trPr>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00" w:type="dxa"/>
            <w:vAlign w:val="bottom"/>
            <w:tcBorders>
              <w:bottom w:val="single" w:sz="8" w:color="0000FF"/>
            </w:tcBorders>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Emergent BioSolutions Inc., the lenders party thereto from time to time, and Wells Fargo Bank, National Association, as the</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73">
              <w:r>
                <w:rPr>
                  <w:rFonts w:ascii="Arial" w:cs="Arial" w:eastAsia="Arial" w:hAnsi="Arial"/>
                  <w:sz w:val="18"/>
                  <w:szCs w:val="18"/>
                  <w:color w:val="0000FF"/>
                  <w:w w:val="98"/>
                </w:rPr>
                <w:t>Administrative Agent.</w:t>
              </w:r>
            </w:hyperlink>
          </w:p>
        </w:tc>
        <w:tc>
          <w:tcPr>
            <w:tcW w:w="83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674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80">
              <w:r>
                <w:rPr>
                  <w:rFonts w:ascii="Arial" w:cs="Arial" w:eastAsia="Arial" w:hAnsi="Arial"/>
                  <w:sz w:val="18"/>
                  <w:szCs w:val="18"/>
                  <w:color w:val="0000FF"/>
                  <w:w w:val="99"/>
                </w:rPr>
                <w:t>Certification of the Chief Executive Officer pursuant to Exchange Act Rule 13a-14(a).</w:t>
              </w:r>
            </w:hyperlink>
          </w:p>
        </w:tc>
        <w:tc>
          <w:tcPr>
            <w:tcW w:w="3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66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Certification of the Chief Financial Officer pursuant to Exchange Act Rule 13a-14(a).</w:t>
              </w:r>
            </w:hyperlink>
          </w:p>
        </w:tc>
        <w:tc>
          <w:tcPr>
            <w:tcW w:w="33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10000" w:type="dxa"/>
            <w:vAlign w:val="bottom"/>
            <w:gridSpan w:val="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Certification of the 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82">
              <w:r>
                <w:rPr>
                  <w:rFonts w:ascii="Arial" w:cs="Arial" w:eastAsia="Arial" w:hAnsi="Arial"/>
                  <w:sz w:val="18"/>
                  <w:szCs w:val="18"/>
                  <w:color w:val="0000FF"/>
                  <w:w w:val="99"/>
                </w:rPr>
                <w:t>Sarbanes-Oxley Act of 2002.</w:t>
              </w:r>
            </w:hyperlink>
          </w:p>
        </w:tc>
        <w:tc>
          <w:tcPr>
            <w:tcW w:w="7340" w:type="dxa"/>
            <w:vAlign w:val="bottom"/>
            <w:tcBorders>
              <w:top w:val="single" w:sz="8" w:color="0000FF"/>
            </w:tcBorders>
            <w:gridSpan w:val="4"/>
          </w:tcPr>
          <w:p>
            <w:pPr>
              <w:spacing w:after="0"/>
              <w:rPr>
                <w:sz w:val="15"/>
                <w:szCs w:val="15"/>
                <w:color w:val="auto"/>
              </w:rPr>
            </w:pPr>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10000" w:type="dxa"/>
            <w:vAlign w:val="bottom"/>
            <w:gridSpan w:val="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Certification of the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83">
              <w:r>
                <w:rPr>
                  <w:rFonts w:ascii="Arial" w:cs="Arial" w:eastAsia="Arial" w:hAnsi="Arial"/>
                  <w:sz w:val="18"/>
                  <w:szCs w:val="18"/>
                  <w:color w:val="0000FF"/>
                  <w:w w:val="99"/>
                </w:rPr>
                <w:t>Sarbanes-Oxley Act of 2002.</w:t>
              </w:r>
            </w:hyperlink>
          </w:p>
        </w:tc>
        <w:tc>
          <w:tcPr>
            <w:tcW w:w="7280" w:type="dxa"/>
            <w:vAlign w:val="bottom"/>
            <w:tcBorders>
              <w:top w:val="single" w:sz="8" w:color="0000FF"/>
            </w:tcBorders>
            <w:gridSpan w:val="3"/>
          </w:tcPr>
          <w:p>
            <w:pPr>
              <w:spacing w:after="0"/>
              <w:rPr>
                <w:sz w:val="15"/>
                <w:szCs w:val="15"/>
                <w:color w:val="auto"/>
              </w:rPr>
            </w:pPr>
          </w:p>
        </w:tc>
        <w:tc>
          <w:tcPr>
            <w:tcW w:w="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ind w:left="20"/>
              <w:spacing w:after="0"/>
              <w:rPr>
                <w:sz w:val="20"/>
                <w:szCs w:val="20"/>
                <w:color w:val="auto"/>
              </w:rPr>
            </w:pPr>
            <w:r>
              <w:rPr>
                <w:rFonts w:ascii="Arial" w:cs="Arial" w:eastAsia="Arial" w:hAnsi="Arial"/>
                <w:sz w:val="18"/>
                <w:szCs w:val="18"/>
                <w:color w:val="auto"/>
              </w:rPr>
              <w:t>INS</w:t>
            </w:r>
          </w:p>
        </w:tc>
        <w:tc>
          <w:tcPr>
            <w:tcW w:w="10000" w:type="dxa"/>
            <w:vAlign w:val="bottom"/>
            <w:gridSpan w:val="8"/>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Linksbase Document.</w:t>
            </w:r>
          </w:p>
        </w:tc>
        <w:tc>
          <w:tcPr>
            <w:tcW w:w="0" w:type="dxa"/>
            <w:vAlign w:val="bottom"/>
          </w:tcPr>
          <w:p>
            <w:pPr>
              <w:spacing w:after="0"/>
              <w:rPr>
                <w:sz w:val="1"/>
                <w:szCs w:val="1"/>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Definition Linksbase Document.</w:t>
            </w:r>
          </w:p>
        </w:tc>
        <w:tc>
          <w:tcPr>
            <w:tcW w:w="0" w:type="dxa"/>
            <w:vAlign w:val="bottom"/>
          </w:tcPr>
          <w:p>
            <w:pPr>
              <w:spacing w:after="0"/>
              <w:rPr>
                <w:sz w:val="1"/>
                <w:szCs w:val="1"/>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Label Linksbase Document.</w:t>
            </w:r>
          </w:p>
        </w:tc>
        <w:tc>
          <w:tcPr>
            <w:tcW w:w="0" w:type="dxa"/>
            <w:vAlign w:val="bottom"/>
          </w:tcPr>
          <w:p>
            <w:pPr>
              <w:spacing w:after="0"/>
              <w:rPr>
                <w:sz w:val="1"/>
                <w:szCs w:val="1"/>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Presentation Linksbase Document.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2C2C2C"/>
        </w:rPr>
        <w:t>Attached as Exhibit 101 to this report are the following formatted in XBRL (Extensible Business Reporting Language):</w:t>
      </w:r>
    </w:p>
    <w:p>
      <w:pPr>
        <w:spacing w:after="0" w:line="225" w:lineRule="exact"/>
        <w:rPr>
          <w:sz w:val="20"/>
          <w:szCs w:val="20"/>
          <w:color w:val="auto"/>
        </w:rPr>
      </w:pPr>
    </w:p>
    <w:p>
      <w:pPr>
        <w:ind w:left="620" w:hanging="328"/>
        <w:spacing w:after="0"/>
        <w:tabs>
          <w:tab w:leader="none" w:pos="620" w:val="left"/>
        </w:tabs>
        <w:numPr>
          <w:ilvl w:val="0"/>
          <w:numId w:val="66"/>
        </w:numPr>
        <w:rPr>
          <w:rFonts w:ascii="Arial" w:cs="Arial" w:eastAsia="Arial" w:hAnsi="Arial"/>
          <w:sz w:val="18"/>
          <w:szCs w:val="18"/>
          <w:b w:val="1"/>
          <w:bCs w:val="1"/>
          <w:color w:val="2C2C2C"/>
        </w:rPr>
      </w:pPr>
      <w:r>
        <w:rPr>
          <w:rFonts w:ascii="Arial" w:cs="Arial" w:eastAsia="Arial" w:hAnsi="Arial"/>
          <w:sz w:val="18"/>
          <w:szCs w:val="18"/>
          <w:b w:val="1"/>
          <w:bCs w:val="1"/>
          <w:color w:val="2C2C2C"/>
        </w:rPr>
        <w:t>Condensed Consolidated Statements of Operations for the three and six months ended June 30, 2019 and 2018;</w:t>
      </w:r>
    </w:p>
    <w:p>
      <w:pPr>
        <w:spacing w:after="0" w:line="31" w:lineRule="exact"/>
        <w:rPr>
          <w:rFonts w:ascii="Arial" w:cs="Arial" w:eastAsia="Arial" w:hAnsi="Arial"/>
          <w:sz w:val="18"/>
          <w:szCs w:val="18"/>
          <w:b w:val="1"/>
          <w:bCs w:val="1"/>
          <w:color w:val="2C2C2C"/>
        </w:rPr>
      </w:pPr>
    </w:p>
    <w:p>
      <w:pPr>
        <w:ind w:left="620" w:hanging="328"/>
        <w:spacing w:after="0"/>
        <w:tabs>
          <w:tab w:leader="none" w:pos="620" w:val="left"/>
        </w:tabs>
        <w:numPr>
          <w:ilvl w:val="0"/>
          <w:numId w:val="66"/>
        </w:numPr>
        <w:rPr>
          <w:rFonts w:ascii="Arial" w:cs="Arial" w:eastAsia="Arial" w:hAnsi="Arial"/>
          <w:sz w:val="18"/>
          <w:szCs w:val="18"/>
          <w:b w:val="1"/>
          <w:bCs w:val="1"/>
          <w:color w:val="2C2C2C"/>
        </w:rPr>
      </w:pPr>
      <w:r>
        <w:rPr>
          <w:rFonts w:ascii="Arial" w:cs="Arial" w:eastAsia="Arial" w:hAnsi="Arial"/>
          <w:sz w:val="18"/>
          <w:szCs w:val="18"/>
          <w:b w:val="1"/>
          <w:bCs w:val="1"/>
          <w:color w:val="2C2C2C"/>
        </w:rPr>
        <w:t>Condensed Consolidated Statements of Comprehensive Loss for the three and six months ended June 30, 2019 and 2018;</w:t>
      </w:r>
    </w:p>
    <w:p>
      <w:pPr>
        <w:spacing w:after="0" w:line="9" w:lineRule="exact"/>
        <w:rPr>
          <w:rFonts w:ascii="Arial" w:cs="Arial" w:eastAsia="Arial" w:hAnsi="Arial"/>
          <w:sz w:val="18"/>
          <w:szCs w:val="18"/>
          <w:b w:val="1"/>
          <w:bCs w:val="1"/>
          <w:color w:val="2C2C2C"/>
        </w:rPr>
      </w:pPr>
    </w:p>
    <w:p>
      <w:pPr>
        <w:ind w:left="620" w:hanging="328"/>
        <w:spacing w:after="0"/>
        <w:tabs>
          <w:tab w:leader="none" w:pos="620" w:val="left"/>
        </w:tabs>
        <w:numPr>
          <w:ilvl w:val="0"/>
          <w:numId w:val="66"/>
        </w:numPr>
        <w:rPr>
          <w:rFonts w:ascii="Arial" w:cs="Arial" w:eastAsia="Arial" w:hAnsi="Arial"/>
          <w:sz w:val="18"/>
          <w:szCs w:val="18"/>
          <w:b w:val="1"/>
          <w:bCs w:val="1"/>
          <w:color w:val="2C2C2C"/>
        </w:rPr>
      </w:pPr>
      <w:r>
        <w:rPr>
          <w:rFonts w:ascii="Arial" w:cs="Arial" w:eastAsia="Arial" w:hAnsi="Arial"/>
          <w:sz w:val="18"/>
          <w:szCs w:val="18"/>
          <w:b w:val="1"/>
          <w:bCs w:val="1"/>
          <w:color w:val="2C2C2C"/>
        </w:rPr>
        <w:t>Condensed Consolidated Balance Sheets at June 30, 2019 and December 31, 2018;</w:t>
      </w:r>
    </w:p>
    <w:p>
      <w:pPr>
        <w:spacing w:after="0" w:line="9" w:lineRule="exact"/>
        <w:rPr>
          <w:rFonts w:ascii="Arial" w:cs="Arial" w:eastAsia="Arial" w:hAnsi="Arial"/>
          <w:sz w:val="18"/>
          <w:szCs w:val="18"/>
          <w:b w:val="1"/>
          <w:bCs w:val="1"/>
          <w:color w:val="2C2C2C"/>
        </w:rPr>
      </w:pPr>
    </w:p>
    <w:p>
      <w:pPr>
        <w:ind w:left="620" w:hanging="328"/>
        <w:spacing w:after="0"/>
        <w:tabs>
          <w:tab w:leader="none" w:pos="620" w:val="left"/>
        </w:tabs>
        <w:numPr>
          <w:ilvl w:val="0"/>
          <w:numId w:val="66"/>
        </w:numPr>
        <w:rPr>
          <w:rFonts w:ascii="Arial" w:cs="Arial" w:eastAsia="Arial" w:hAnsi="Arial"/>
          <w:sz w:val="18"/>
          <w:szCs w:val="18"/>
          <w:b w:val="1"/>
          <w:bCs w:val="1"/>
          <w:color w:val="2C2C2C"/>
        </w:rPr>
      </w:pPr>
      <w:r>
        <w:rPr>
          <w:rFonts w:ascii="Arial" w:cs="Arial" w:eastAsia="Arial" w:hAnsi="Arial"/>
          <w:sz w:val="18"/>
          <w:szCs w:val="18"/>
          <w:b w:val="1"/>
          <w:bCs w:val="1"/>
          <w:color w:val="2C2C2C"/>
        </w:rPr>
        <w:t>Condensed Consolidated Statements of Cash Flows for the six months ended June 30, 2019 and 2018; and</w:t>
      </w:r>
    </w:p>
    <w:p>
      <w:pPr>
        <w:spacing w:after="0" w:line="9" w:lineRule="exact"/>
        <w:rPr>
          <w:rFonts w:ascii="Arial" w:cs="Arial" w:eastAsia="Arial" w:hAnsi="Arial"/>
          <w:sz w:val="18"/>
          <w:szCs w:val="18"/>
          <w:b w:val="1"/>
          <w:bCs w:val="1"/>
          <w:color w:val="2C2C2C"/>
        </w:rPr>
      </w:pPr>
    </w:p>
    <w:p>
      <w:pPr>
        <w:ind w:left="620" w:hanging="328"/>
        <w:spacing w:after="0"/>
        <w:tabs>
          <w:tab w:leader="none" w:pos="620" w:val="left"/>
        </w:tabs>
        <w:numPr>
          <w:ilvl w:val="0"/>
          <w:numId w:val="66"/>
        </w:numPr>
        <w:rPr>
          <w:rFonts w:ascii="Arial" w:cs="Arial" w:eastAsia="Arial" w:hAnsi="Arial"/>
          <w:sz w:val="17"/>
          <w:szCs w:val="17"/>
          <w:b w:val="1"/>
          <w:bCs w:val="1"/>
          <w:color w:val="2C2C2C"/>
        </w:rPr>
      </w:pPr>
      <w:r>
        <w:rPr>
          <w:rFonts w:ascii="Arial" w:cs="Arial" w:eastAsia="Arial" w:hAnsi="Arial"/>
          <w:sz w:val="17"/>
          <w:szCs w:val="17"/>
          <w:b w:val="1"/>
          <w:bCs w:val="1"/>
          <w:color w:val="2C2C2C"/>
        </w:rPr>
        <w:t>Condensed Consolidated Statement of Changes in Stockholders' Equity for the six months ended June 30, 2019 and 2018; and</w:t>
      </w:r>
    </w:p>
    <w:p>
      <w:pPr>
        <w:spacing w:after="0" w:line="20" w:lineRule="exact"/>
        <w:rPr>
          <w:rFonts w:ascii="Arial" w:cs="Arial" w:eastAsia="Arial" w:hAnsi="Arial"/>
          <w:sz w:val="17"/>
          <w:szCs w:val="17"/>
          <w:b w:val="1"/>
          <w:bCs w:val="1"/>
          <w:color w:val="2C2C2C"/>
        </w:rPr>
      </w:pPr>
    </w:p>
    <w:p>
      <w:pPr>
        <w:ind w:left="620" w:hanging="328"/>
        <w:spacing w:after="0"/>
        <w:tabs>
          <w:tab w:leader="none" w:pos="620" w:val="left"/>
        </w:tabs>
        <w:numPr>
          <w:ilvl w:val="0"/>
          <w:numId w:val="66"/>
        </w:numPr>
        <w:rPr>
          <w:rFonts w:ascii="Arial" w:cs="Arial" w:eastAsia="Arial" w:hAnsi="Arial"/>
          <w:sz w:val="18"/>
          <w:szCs w:val="18"/>
          <w:b w:val="1"/>
          <w:bCs w:val="1"/>
          <w:color w:val="2C2C2C"/>
        </w:rPr>
      </w:pPr>
      <w:r>
        <w:rPr>
          <w:rFonts w:ascii="Arial" w:cs="Arial" w:eastAsia="Arial" w:hAnsi="Arial"/>
          <w:sz w:val="18"/>
          <w:szCs w:val="18"/>
          <w:b w:val="1"/>
          <w:bCs w:val="1"/>
          <w:color w:val="2C2C2C"/>
        </w:rPr>
        <w:t>Notes to Condensed Consolidated Financial Statements.</w:t>
      </w:r>
    </w:p>
    <w:p>
      <w:pPr>
        <w:spacing w:after="0" w:line="200" w:lineRule="exact"/>
        <w:rPr>
          <w:sz w:val="20"/>
          <w:szCs w:val="20"/>
          <w:color w:val="auto"/>
        </w:rPr>
      </w:pPr>
    </w:p>
    <w:p>
      <w:pPr>
        <w:spacing w:after="0" w:line="327" w:lineRule="exact"/>
        <w:rPr>
          <w:sz w:val="20"/>
          <w:szCs w:val="20"/>
          <w:color w:val="auto"/>
        </w:rPr>
      </w:pPr>
    </w:p>
    <w:p>
      <w:pPr>
        <w:ind w:left="620" w:hanging="328"/>
        <w:spacing w:after="0"/>
        <w:tabs>
          <w:tab w:leader="none" w:pos="620" w:val="left"/>
        </w:tabs>
        <w:numPr>
          <w:ilvl w:val="0"/>
          <w:numId w:val="67"/>
        </w:numPr>
        <w:rPr>
          <w:rFonts w:ascii="Arial" w:cs="Arial" w:eastAsia="Arial" w:hAnsi="Arial"/>
          <w:sz w:val="18"/>
          <w:szCs w:val="18"/>
          <w:b w:val="1"/>
          <w:bCs w:val="1"/>
          <w:color w:val="2C2C2C"/>
        </w:rPr>
      </w:pPr>
      <w:r>
        <w:rPr>
          <w:rFonts w:ascii="Arial" w:cs="Arial" w:eastAsia="Arial" w:hAnsi="Arial"/>
          <w:sz w:val="18"/>
          <w:szCs w:val="18"/>
          <w:b w:val="1"/>
          <w:bCs w:val="1"/>
          <w:color w:val="2C2C2C"/>
        </w:rPr>
        <w:t>Filed herewith.</w:t>
      </w:r>
    </w:p>
    <w:p>
      <w:pPr>
        <w:spacing w:after="0" w:line="212" w:lineRule="exact"/>
        <w:rPr>
          <w:sz w:val="20"/>
          <w:szCs w:val="20"/>
          <w:color w:val="auto"/>
        </w:rPr>
      </w:pPr>
    </w:p>
    <w:p>
      <w:pPr>
        <w:ind w:left="620" w:right="580" w:hanging="328"/>
        <w:spacing w:after="0" w:line="281" w:lineRule="auto"/>
        <w:tabs>
          <w:tab w:leader="none" w:pos="458" w:val="left"/>
        </w:tabs>
        <w:numPr>
          <w:ilvl w:val="0"/>
          <w:numId w:val="68"/>
        </w:numPr>
        <w:rPr>
          <w:rFonts w:ascii="Arial" w:cs="Arial" w:eastAsia="Arial" w:hAnsi="Arial"/>
          <w:sz w:val="22"/>
          <w:szCs w:val="22"/>
          <w:b w:val="1"/>
          <w:bCs w:val="1"/>
          <w:color w:val="2C2C2C"/>
        </w:rPr>
      </w:pPr>
      <w:r>
        <w:rPr>
          <w:rFonts w:ascii="Arial" w:cs="Arial" w:eastAsia="Arial" w:hAnsi="Arial"/>
          <w:sz w:val="18"/>
          <w:szCs w:val="18"/>
          <w:b w:val="1"/>
          <w:bCs w:val="1"/>
          <w:color w:val="2C2C2C"/>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C2C2C"/>
        </w:rPr>
        <w:t>69</w:t>
      </w:r>
    </w:p>
    <w:p>
      <w:pPr>
        <w:sectPr>
          <w:pgSz w:w="11900" w:h="16838" w:orient="portrait"/>
          <w:cols w:equalWidth="0" w:num="1">
            <w:col w:w="11280"/>
          </w:cols>
          <w:pgMar w:left="280" w:top="112" w:right="3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97F"/>
        </w:rPr>
        <w:t>SIGNATURES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color w:val="2C2C2C"/>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EMERGENT BIOSOLUTIONS INC.</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 SR.</w:t>
      </w:r>
    </w:p>
    <w:p>
      <w:pPr>
        <w:ind w:left="360"/>
        <w:spacing w:after="0" w:line="234" w:lineRule="auto"/>
        <w:rPr>
          <w:sz w:val="20"/>
          <w:szCs w:val="20"/>
          <w:color w:val="auto"/>
        </w:rPr>
      </w:pPr>
      <w:r>
        <w:rPr>
          <w:rFonts w:ascii="Arial" w:cs="Arial" w:eastAsia="Arial" w:hAnsi="Arial"/>
          <w:sz w:val="18"/>
          <w:szCs w:val="18"/>
          <w:color w:val="auto"/>
        </w:rPr>
        <w:t>Robert G. Kramer, Sr.</w:t>
      </w:r>
    </w:p>
    <w:p>
      <w:pPr>
        <w:ind w:left="36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1, 2019</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ind w:left="360"/>
        <w:spacing w:after="0" w:line="234" w:lineRule="auto"/>
        <w:rPr>
          <w:sz w:val="20"/>
          <w:szCs w:val="20"/>
          <w:color w:val="auto"/>
        </w:rPr>
      </w:pPr>
      <w:r>
        <w:rPr>
          <w:rFonts w:ascii="Arial" w:cs="Arial" w:eastAsia="Arial" w:hAnsi="Arial"/>
          <w:sz w:val="18"/>
          <w:szCs w:val="18"/>
          <w:color w:val="auto"/>
        </w:rPr>
        <w:t>Richard S. Lindahl</w:t>
      </w:r>
    </w:p>
    <w:p>
      <w:pPr>
        <w:ind w:left="360"/>
        <w:spacing w:after="0" w:line="235" w:lineRule="auto"/>
        <w:rPr>
          <w:sz w:val="20"/>
          <w:szCs w:val="20"/>
          <w:color w:val="auto"/>
        </w:rPr>
      </w:pPr>
      <w:r>
        <w:rPr>
          <w:rFonts w:ascii="Arial" w:cs="Arial" w:eastAsia="Arial" w:hAnsi="Arial"/>
          <w:sz w:val="18"/>
          <w:szCs w:val="18"/>
          <w:color w:val="auto"/>
        </w:rPr>
        <w:t>Executive Vice President, Chief Financial Officer and Treasurer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and Accounting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1, 2019</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70</w:t>
      </w:r>
    </w:p>
    <w:p>
      <w:pPr>
        <w:sectPr>
          <w:pgSz w:w="11900" w:h="16838" w:orient="portrait"/>
          <w:cols w:equalWidth="0" w:num="1">
            <w:col w:w="11420"/>
          </w:cols>
          <w:pgMar w:left="240" w:top="112"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Confidential Materials Omitted – To be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upon request. Double asterisks denote omissions.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Exhibit 10.1</w:t>
            </w:r>
          </w:p>
        </w:tc>
        <w:tc>
          <w:tcPr>
            <w:tcW w:w="0" w:type="dxa"/>
            <w:vAlign w:val="bottom"/>
          </w:tcPr>
          <w:p>
            <w:pPr>
              <w:spacing w:after="0"/>
              <w:rPr>
                <w:sz w:val="1"/>
                <w:szCs w:val="1"/>
                <w:color w:val="auto"/>
              </w:rPr>
            </w:pPr>
          </w:p>
        </w:tc>
      </w:tr>
      <w:tr>
        <w:trPr>
          <w:trHeight w:val="627"/>
        </w:trPr>
        <w:tc>
          <w:tcPr>
            <w:tcW w:w="5640" w:type="dxa"/>
            <w:vAlign w:val="bottom"/>
            <w:tcBorders>
              <w:bottom w:val="single" w:sz="8" w:color="auto"/>
            </w:tcBorders>
            <w:gridSpan w:val="2"/>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1400" w:type="dxa"/>
            <w:vAlign w:val="bottom"/>
            <w:tcBorders>
              <w:right w:val="single" w:sz="8" w:color="auto"/>
            </w:tcBorders>
          </w:tcPr>
          <w:p>
            <w:pPr>
              <w:spacing w:after="0"/>
              <w:rPr>
                <w:sz w:val="21"/>
                <w:szCs w:val="21"/>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1. CONTRACT ID CODE</w:t>
            </w:r>
          </w:p>
        </w:tc>
        <w:tc>
          <w:tcPr>
            <w:tcW w:w="800" w:type="dxa"/>
            <w:vAlign w:val="bottom"/>
            <w:tcBorders>
              <w:right w:val="single" w:sz="8" w:color="auto"/>
            </w:tcBorders>
          </w:tcPr>
          <w:p>
            <w:pPr>
              <w:spacing w:after="0"/>
              <w:rPr>
                <w:sz w:val="21"/>
                <w:szCs w:val="21"/>
                <w:color w:val="auto"/>
              </w:rPr>
            </w:pPr>
          </w:p>
        </w:tc>
        <w:tc>
          <w:tcPr>
            <w:tcW w:w="1780" w:type="dxa"/>
            <w:vAlign w:val="bottom"/>
            <w:gridSpan w:val="3"/>
          </w:tcPr>
          <w:p>
            <w:pPr>
              <w:jc w:val="right"/>
              <w:ind w:right="23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640" w:type="dxa"/>
            <w:vAlign w:val="bottom"/>
            <w:vMerge w:val="restart"/>
          </w:tcPr>
          <w:p>
            <w:pPr>
              <w:jc w:val="right"/>
              <w:ind w:right="202"/>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4"/>
                <w:szCs w:val="4"/>
                <w:color w:val="auto"/>
              </w:rPr>
            </w:pPr>
          </w:p>
        </w:tc>
        <w:tc>
          <w:tcPr>
            <w:tcW w:w="6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40" w:type="dxa"/>
            <w:vAlign w:val="bottom"/>
            <w:vMerge w:val="continue"/>
          </w:tcPr>
          <w:p>
            <w:pPr>
              <w:spacing w:after="0"/>
              <w:rPr>
                <w:sz w:val="21"/>
                <w:szCs w:val="21"/>
                <w:color w:val="auto"/>
              </w:rPr>
            </w:pPr>
          </w:p>
        </w:tc>
        <w:tc>
          <w:tcPr>
            <w:tcW w:w="520" w:type="dxa"/>
            <w:vAlign w:val="bottom"/>
            <w:tcBorders>
              <w:left w:val="single" w:sz="8" w:color="auto"/>
            </w:tcBorders>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2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left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3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2. AMENDMENT/MODIFICATION NO.</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   EFFECTIVE DATE</w:t>
            </w:r>
          </w:p>
        </w:tc>
        <w:tc>
          <w:tcPr>
            <w:tcW w:w="32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 REQUISITION/PURCHASE REQ NO.</w:t>
            </w:r>
          </w:p>
        </w:tc>
        <w:tc>
          <w:tcPr>
            <w:tcW w:w="1960" w:type="dxa"/>
            <w:vAlign w:val="bottom"/>
            <w:gridSpan w:val="3"/>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P00017</w:t>
            </w:r>
          </w:p>
        </w:tc>
        <w:tc>
          <w:tcPr>
            <w:tcW w:w="2400" w:type="dxa"/>
            <w:vAlign w:val="bottom"/>
            <w:tcBorders>
              <w:right w:val="single" w:sz="8" w:color="auto"/>
            </w:tcBorders>
          </w:tcPr>
          <w:p>
            <w:pPr>
              <w:jc w:val="right"/>
              <w:ind w:right="1164"/>
              <w:spacing w:after="0"/>
              <w:rPr>
                <w:sz w:val="20"/>
                <w:szCs w:val="20"/>
                <w:color w:val="auto"/>
              </w:rPr>
            </w:pPr>
            <w:r>
              <w:rPr>
                <w:rFonts w:ascii="Arial" w:cs="Arial" w:eastAsia="Arial" w:hAnsi="Arial"/>
                <w:sz w:val="18"/>
                <w:szCs w:val="18"/>
                <w:color w:val="auto"/>
              </w:rPr>
              <w:t>06/13/2019</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OS242076</w:t>
            </w:r>
          </w:p>
        </w:tc>
        <w:tc>
          <w:tcPr>
            <w:tcW w:w="13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4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800" w:type="dxa"/>
            <w:vAlign w:val="bottom"/>
            <w:tcBorders>
              <w:bottom w:val="single" w:sz="8" w:color="auto"/>
              <w:right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3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6. ISSUED BY CODE</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ASPR-BARDA</w:t>
            </w:r>
          </w:p>
        </w:tc>
        <w:tc>
          <w:tcPr>
            <w:tcW w:w="3200" w:type="dxa"/>
            <w:vAlign w:val="bottom"/>
            <w:gridSpan w:val="3"/>
          </w:tcPr>
          <w:p>
            <w:pPr>
              <w:ind w:left="20"/>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800" w:type="dxa"/>
            <w:vAlign w:val="bottom"/>
            <w:tcBorders>
              <w:right w:val="single" w:sz="8" w:color="auto"/>
            </w:tcBorders>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ASPR-BARDA02</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240" w:type="dxa"/>
            <w:vAlign w:val="bottom"/>
            <w:tcBorders>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1800" w:type="dxa"/>
            <w:vAlign w:val="bottom"/>
            <w:gridSpan w:val="2"/>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240" w:type="dxa"/>
            <w:vAlign w:val="bottom"/>
          </w:tcPr>
          <w:p>
            <w:pPr>
              <w:ind w:left="40"/>
              <w:spacing w:after="0"/>
              <w:rPr>
                <w:sz w:val="20"/>
                <w:szCs w:val="20"/>
                <w:color w:val="auto"/>
              </w:rPr>
            </w:pPr>
            <w:r>
              <w:rPr>
                <w:rFonts w:ascii="Arial" w:cs="Arial" w:eastAsia="Arial" w:hAnsi="Arial"/>
                <w:sz w:val="18"/>
                <w:szCs w:val="18"/>
                <w:color w:val="auto"/>
              </w:rPr>
              <w:t>ASPR-BARDA</w:t>
            </w:r>
          </w:p>
        </w:tc>
        <w:tc>
          <w:tcPr>
            <w:tcW w:w="2400" w:type="dxa"/>
            <w:vAlign w:val="bottom"/>
            <w:tcBorders>
              <w:right w:val="single" w:sz="8" w:color="auto"/>
            </w:tcBorders>
          </w:tcPr>
          <w:p>
            <w:pPr>
              <w:spacing w:after="0"/>
              <w:rPr>
                <w:sz w:val="24"/>
                <w:szCs w:val="24"/>
                <w:color w:val="auto"/>
              </w:rPr>
            </w:pPr>
          </w:p>
        </w:tc>
        <w:tc>
          <w:tcPr>
            <w:tcW w:w="5160" w:type="dxa"/>
            <w:vAlign w:val="bottom"/>
            <w:gridSpan w:val="6"/>
          </w:tcPr>
          <w:p>
            <w:pPr>
              <w:ind w:left="20"/>
              <w:spacing w:after="0"/>
              <w:rPr>
                <w:sz w:val="20"/>
                <w:szCs w:val="20"/>
                <w:color w:val="auto"/>
              </w:rPr>
            </w:pPr>
            <w:r>
              <w:rPr>
                <w:rFonts w:ascii="Arial" w:cs="Arial" w:eastAsia="Arial" w:hAnsi="Arial"/>
                <w:sz w:val="18"/>
                <w:szCs w:val="18"/>
                <w:color w:val="auto"/>
              </w:rPr>
              <w:t>US DEPT OF HEALTH &amp; HUMAN SERVICES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0"/>
              <w:spacing w:after="0"/>
              <w:rPr>
                <w:sz w:val="20"/>
                <w:szCs w:val="20"/>
                <w:color w:val="auto"/>
              </w:rPr>
            </w:pPr>
            <w:r>
              <w:rPr>
                <w:rFonts w:ascii="Arial" w:cs="Arial" w:eastAsia="Arial" w:hAnsi="Arial"/>
                <w:sz w:val="18"/>
                <w:szCs w:val="18"/>
                <w:color w:val="auto"/>
              </w:rPr>
              <w:t>200 Independence Ave., S.W.</w:t>
            </w:r>
          </w:p>
        </w:tc>
        <w:tc>
          <w:tcPr>
            <w:tcW w:w="2400" w:type="dxa"/>
            <w:vAlign w:val="bottom"/>
            <w:tcBorders>
              <w:right w:val="single" w:sz="8" w:color="auto"/>
            </w:tcBorders>
          </w:tcPr>
          <w:p>
            <w:pPr>
              <w:spacing w:after="0"/>
              <w:rPr>
                <w:sz w:val="18"/>
                <w:szCs w:val="18"/>
                <w:color w:val="auto"/>
              </w:rPr>
            </w:pPr>
          </w:p>
        </w:tc>
        <w:tc>
          <w:tcPr>
            <w:tcW w:w="5160" w:type="dxa"/>
            <w:vAlign w:val="bottom"/>
            <w:gridSpan w:val="6"/>
          </w:tcPr>
          <w:p>
            <w:pPr>
              <w:ind w:left="20"/>
              <w:spacing w:after="0"/>
              <w:rPr>
                <w:sz w:val="20"/>
                <w:szCs w:val="20"/>
                <w:color w:val="auto"/>
              </w:rPr>
            </w:pPr>
            <w:r>
              <w:rPr>
                <w:rFonts w:ascii="Arial" w:cs="Arial" w:eastAsia="Arial" w:hAnsi="Arial"/>
                <w:sz w:val="18"/>
                <w:szCs w:val="18"/>
                <w:color w:val="auto"/>
              </w:rPr>
              <w:t>ASST SEC OF PREPAREDNESS &amp; RESPONSE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0"/>
              <w:spacing w:after="0"/>
              <w:rPr>
                <w:sz w:val="20"/>
                <w:szCs w:val="20"/>
                <w:color w:val="auto"/>
              </w:rPr>
            </w:pPr>
            <w:r>
              <w:rPr>
                <w:rFonts w:ascii="Arial" w:cs="Arial" w:eastAsia="Arial" w:hAnsi="Arial"/>
                <w:sz w:val="18"/>
                <w:szCs w:val="18"/>
                <w:color w:val="auto"/>
              </w:rPr>
              <w:t>Room 640-G</w:t>
            </w:r>
          </w:p>
        </w:tc>
        <w:tc>
          <w:tcPr>
            <w:tcW w:w="2400" w:type="dxa"/>
            <w:vAlign w:val="bottom"/>
            <w:tcBorders>
              <w:right w:val="single" w:sz="8" w:color="auto"/>
            </w:tcBorders>
          </w:tcPr>
          <w:p>
            <w:pPr>
              <w:spacing w:after="0"/>
              <w:rPr>
                <w:sz w:val="18"/>
                <w:szCs w:val="18"/>
                <w:color w:val="auto"/>
              </w:rPr>
            </w:pPr>
          </w:p>
        </w:tc>
        <w:tc>
          <w:tcPr>
            <w:tcW w:w="5160" w:type="dxa"/>
            <w:vAlign w:val="bottom"/>
            <w:gridSpan w:val="6"/>
          </w:tcPr>
          <w:p>
            <w:pPr>
              <w:ind w:left="20"/>
              <w:spacing w:after="0"/>
              <w:rPr>
                <w:sz w:val="20"/>
                <w:szCs w:val="20"/>
                <w:color w:val="auto"/>
              </w:rPr>
            </w:pPr>
            <w:r>
              <w:rPr>
                <w:rFonts w:ascii="Arial" w:cs="Arial" w:eastAsia="Arial" w:hAnsi="Arial"/>
                <w:sz w:val="18"/>
                <w:szCs w:val="18"/>
                <w:color w:val="auto"/>
              </w:rPr>
              <w:t>ACQ MANAGEMENT, CONTRACTS, &amp; GRANTS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0"/>
              <w:spacing w:after="0"/>
              <w:rPr>
                <w:sz w:val="20"/>
                <w:szCs w:val="20"/>
                <w:color w:val="auto"/>
              </w:rPr>
            </w:pPr>
            <w:r>
              <w:rPr>
                <w:rFonts w:ascii="Arial" w:cs="Arial" w:eastAsia="Arial" w:hAnsi="Arial"/>
                <w:sz w:val="18"/>
                <w:szCs w:val="18"/>
                <w:color w:val="auto"/>
              </w:rPr>
              <w:t>Washington DC 20201</w:t>
            </w:r>
          </w:p>
        </w:tc>
        <w:tc>
          <w:tcPr>
            <w:tcW w:w="2400" w:type="dxa"/>
            <w:vAlign w:val="bottom"/>
            <w:tcBorders>
              <w:right w:val="single" w:sz="8" w:color="auto"/>
            </w:tcBorders>
          </w:tcPr>
          <w:p>
            <w:pPr>
              <w:spacing w:after="0"/>
              <w:rPr>
                <w:sz w:val="18"/>
                <w:szCs w:val="18"/>
                <w:color w:val="auto"/>
              </w:rPr>
            </w:pPr>
          </w:p>
        </w:tc>
        <w:tc>
          <w:tcPr>
            <w:tcW w:w="3200" w:type="dxa"/>
            <w:vAlign w:val="bottom"/>
            <w:gridSpan w:val="3"/>
          </w:tcPr>
          <w:p>
            <w:pPr>
              <w:ind w:left="20"/>
              <w:spacing w:after="0"/>
              <w:rPr>
                <w:sz w:val="20"/>
                <w:szCs w:val="20"/>
                <w:color w:val="auto"/>
              </w:rPr>
            </w:pPr>
            <w:r>
              <w:rPr>
                <w:rFonts w:ascii="Arial" w:cs="Arial" w:eastAsia="Arial" w:hAnsi="Arial"/>
                <w:sz w:val="18"/>
                <w:szCs w:val="18"/>
                <w:color w:val="auto"/>
              </w:rPr>
              <w:t>O’NEILL HOUSE OFFICE BUILDING</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auto"/>
                <w:w w:val="97"/>
              </w:rPr>
              <w:t>Washington DC 20515</w:t>
            </w: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240" w:type="dxa"/>
            <w:vAlign w:val="bottom"/>
            <w:tcBorders>
              <w:bottom w:val="single" w:sz="8" w:color="auto"/>
            </w:tcBorders>
          </w:tcPr>
          <w:p>
            <w:pPr>
              <w:spacing w:after="0"/>
              <w:rPr>
                <w:sz w:val="9"/>
                <w:szCs w:val="9"/>
                <w:color w:val="auto"/>
              </w:rPr>
            </w:pPr>
          </w:p>
        </w:tc>
        <w:tc>
          <w:tcPr>
            <w:tcW w:w="24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64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40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3340" w:type="dxa"/>
            <w:vAlign w:val="bottom"/>
            <w:gridSpan w:val="4"/>
          </w:tcPr>
          <w:p>
            <w:pPr>
              <w:ind w:left="40"/>
              <w:spacing w:after="0"/>
              <w:rPr>
                <w:sz w:val="20"/>
                <w:szCs w:val="20"/>
                <w:color w:val="auto"/>
              </w:rPr>
            </w:pPr>
            <w:r>
              <w:rPr>
                <w:rFonts w:ascii="Arial" w:cs="Arial" w:eastAsia="Arial" w:hAnsi="Arial"/>
                <w:sz w:val="13"/>
                <w:szCs w:val="13"/>
                <w:color w:val="auto"/>
              </w:rPr>
              <w:t>9A. AMENDMENT OF SOLICITATION NO.</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5640" w:type="dxa"/>
            <w:vAlign w:val="bottom"/>
            <w:gridSpan w:val="2"/>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640" w:type="dxa"/>
            <w:vAlign w:val="bottom"/>
            <w:gridSpan w:val="2"/>
            <w:vMerge w:val="restart"/>
          </w:tcPr>
          <w:p>
            <w:pPr>
              <w:ind w:left="40"/>
              <w:spacing w:after="0"/>
              <w:rPr>
                <w:sz w:val="20"/>
                <w:szCs w:val="20"/>
                <w:color w:val="auto"/>
              </w:rPr>
            </w:pPr>
            <w:r>
              <w:rPr>
                <w:rFonts w:ascii="Arial" w:cs="Arial" w:eastAsia="Arial" w:hAnsi="Arial"/>
                <w:sz w:val="14"/>
                <w:szCs w:val="14"/>
                <w:color w:val="auto"/>
              </w:rPr>
              <w:t>EMERGENT BIODEFENSE OPERATIONS LANSING LLC 330303</w:t>
            </w:r>
          </w:p>
        </w:tc>
        <w:tc>
          <w:tcPr>
            <w:tcW w:w="1400" w:type="dxa"/>
            <w:vAlign w:val="bottom"/>
            <w:tcBorders>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640" w:type="dxa"/>
            <w:vAlign w:val="bottom"/>
            <w:gridSpan w:val="2"/>
            <w:vMerge w:val="continue"/>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240" w:type="dxa"/>
            <w:vAlign w:val="bottom"/>
            <w:vMerge w:val="restart"/>
          </w:tcPr>
          <w:p>
            <w:pPr>
              <w:ind w:left="40"/>
              <w:spacing w:after="0"/>
              <w:rPr>
                <w:sz w:val="20"/>
                <w:szCs w:val="20"/>
                <w:color w:val="auto"/>
              </w:rPr>
            </w:pPr>
            <w:r>
              <w:rPr>
                <w:rFonts w:ascii="Arial" w:cs="Arial" w:eastAsia="Arial" w:hAnsi="Arial"/>
                <w:sz w:val="14"/>
                <w:szCs w:val="14"/>
                <w:color w:val="auto"/>
              </w:rPr>
              <w:t>Attn: DIANA</w:t>
            </w:r>
          </w:p>
        </w:tc>
        <w:tc>
          <w:tcPr>
            <w:tcW w:w="240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240" w:type="dxa"/>
            <w:vAlign w:val="bottom"/>
            <w:vMerge w:val="continue"/>
          </w:tcPr>
          <w:p>
            <w:pPr>
              <w:spacing w:after="0"/>
              <w:rPr>
                <w:sz w:val="4"/>
                <w:szCs w:val="4"/>
                <w:color w:val="auto"/>
              </w:rPr>
            </w:pPr>
          </w:p>
        </w:tc>
        <w:tc>
          <w:tcPr>
            <w:tcW w:w="240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40"/>
              <w:spacing w:after="0"/>
              <w:rPr>
                <w:sz w:val="20"/>
                <w:szCs w:val="20"/>
                <w:color w:val="auto"/>
              </w:rPr>
            </w:pPr>
            <w:r>
              <w:rPr>
                <w:rFonts w:ascii="Arial" w:cs="Arial" w:eastAsia="Arial" w:hAnsi="Arial"/>
                <w:sz w:val="14"/>
                <w:szCs w:val="14"/>
                <w:color w:val="auto"/>
              </w:rPr>
              <w:t>EMERGENT BIODEFENSE OPERATIONS LANS</w:t>
            </w:r>
          </w:p>
        </w:tc>
        <w:tc>
          <w:tcPr>
            <w:tcW w:w="240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3340" w:type="dxa"/>
            <w:vAlign w:val="bottom"/>
            <w:gridSpan w:val="4"/>
          </w:tcPr>
          <w:p>
            <w:pPr>
              <w:ind w:left="40"/>
              <w:spacing w:after="0"/>
              <w:rPr>
                <w:sz w:val="20"/>
                <w:szCs w:val="20"/>
                <w:color w:val="auto"/>
              </w:rPr>
            </w:pPr>
            <w:r>
              <w:rPr>
                <w:rFonts w:ascii="Arial" w:cs="Arial" w:eastAsia="Arial" w:hAnsi="Arial"/>
                <w:sz w:val="13"/>
                <w:szCs w:val="13"/>
                <w:color w:val="auto"/>
              </w:rPr>
              <w:t xml:space="preserve">9B. DATED </w:t>
            </w:r>
            <w:r>
              <w:rPr>
                <w:rFonts w:ascii="Arial" w:cs="Arial" w:eastAsia="Arial" w:hAnsi="Arial"/>
                <w:sz w:val="13"/>
                <w:szCs w:val="13"/>
                <w:i w:val="1"/>
                <w:iCs w:val="1"/>
                <w:color w:val="auto"/>
              </w:rPr>
              <w:t>(SEE ITEM 11)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40"/>
              <w:spacing w:after="0"/>
              <w:rPr>
                <w:sz w:val="20"/>
                <w:szCs w:val="20"/>
                <w:color w:val="auto"/>
              </w:rPr>
            </w:pPr>
            <w:r>
              <w:rPr>
                <w:rFonts w:ascii="Arial" w:cs="Arial" w:eastAsia="Arial" w:hAnsi="Arial"/>
                <w:sz w:val="14"/>
                <w:szCs w:val="14"/>
                <w:color w:val="auto"/>
              </w:rPr>
              <w:t>3500 N MARTIN LUTHER KING JR BLVD</w:t>
            </w:r>
          </w:p>
        </w:tc>
        <w:tc>
          <w:tcPr>
            <w:tcW w:w="240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40"/>
              <w:spacing w:after="0"/>
              <w:rPr>
                <w:sz w:val="20"/>
                <w:szCs w:val="20"/>
                <w:color w:val="auto"/>
              </w:rPr>
            </w:pPr>
            <w:r>
              <w:rPr>
                <w:rFonts w:ascii="Arial" w:cs="Arial" w:eastAsia="Arial" w:hAnsi="Arial"/>
                <w:sz w:val="14"/>
                <w:szCs w:val="14"/>
                <w:color w:val="auto"/>
              </w:rPr>
              <w:t>LANSING MI 489062933</w:t>
            </w:r>
          </w:p>
        </w:tc>
        <w:tc>
          <w:tcPr>
            <w:tcW w:w="240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3340" w:type="dxa"/>
            <w:vAlign w:val="bottom"/>
            <w:gridSpan w:val="4"/>
          </w:tcPr>
          <w:p>
            <w:pPr>
              <w:ind w:left="40"/>
              <w:spacing w:after="0"/>
              <w:rPr>
                <w:sz w:val="20"/>
                <w:szCs w:val="20"/>
                <w:color w:val="auto"/>
              </w:rPr>
            </w:pPr>
            <w:r>
              <w:rPr>
                <w:rFonts w:ascii="Arial" w:cs="Arial" w:eastAsia="Arial" w:hAnsi="Arial"/>
                <w:sz w:val="13"/>
                <w:szCs w:val="13"/>
                <w:color w:val="auto"/>
              </w:rPr>
              <w:t>10A. MODIFICATION OF CONTRACT/ORDER NO.</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w w:val="97"/>
              </w:rPr>
              <w:t>HHSD200201792634C</w:t>
            </w: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2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340" w:type="dxa"/>
            <w:vAlign w:val="bottom"/>
            <w:gridSpan w:val="4"/>
          </w:tcPr>
          <w:p>
            <w:pPr>
              <w:ind w:left="40"/>
              <w:spacing w:after="0"/>
              <w:rPr>
                <w:sz w:val="20"/>
                <w:szCs w:val="20"/>
                <w:color w:val="auto"/>
              </w:rPr>
            </w:pPr>
            <w:r>
              <w:rPr>
                <w:rFonts w:ascii="Arial" w:cs="Arial" w:eastAsia="Arial" w:hAnsi="Arial"/>
                <w:sz w:val="13"/>
                <w:szCs w:val="13"/>
                <w:color w:val="auto"/>
              </w:rPr>
              <w:t xml:space="preserve">10B. DATED </w:t>
            </w:r>
            <w:r>
              <w:rPr>
                <w:rFonts w:ascii="Arial" w:cs="Arial" w:eastAsia="Arial" w:hAnsi="Arial"/>
                <w:sz w:val="13"/>
                <w:szCs w:val="13"/>
                <w:i w:val="1"/>
                <w:iCs w:val="1"/>
                <w:color w:val="auto"/>
              </w:rPr>
              <w:t>(SEE ITEM 13)</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324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380" w:type="dxa"/>
            <w:vAlign w:val="bottom"/>
            <w:vMerge w:val="restart"/>
          </w:tcPr>
          <w:p>
            <w:pPr>
              <w:ind w:left="40"/>
              <w:spacing w:after="0"/>
              <w:rPr>
                <w:sz w:val="20"/>
                <w:szCs w:val="20"/>
                <w:color w:val="auto"/>
              </w:rPr>
            </w:pPr>
            <w:r>
              <w:rPr>
                <w:rFonts w:ascii="Arial" w:cs="Arial" w:eastAsia="Arial" w:hAnsi="Arial"/>
                <w:sz w:val="14"/>
                <w:szCs w:val="14"/>
                <w:color w:val="auto"/>
              </w:rPr>
              <w:t>12/08/2016</w:t>
            </w: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CODE 330303</w:t>
            </w:r>
          </w:p>
        </w:tc>
        <w:tc>
          <w:tcPr>
            <w:tcW w:w="2400" w:type="dxa"/>
            <w:vAlign w:val="bottom"/>
          </w:tcPr>
          <w:p>
            <w:pPr>
              <w:ind w:left="20"/>
              <w:spacing w:after="0"/>
              <w:rPr>
                <w:sz w:val="20"/>
                <w:szCs w:val="20"/>
                <w:color w:val="auto"/>
              </w:rPr>
            </w:pPr>
            <w:r>
              <w:rPr>
                <w:rFonts w:ascii="Arial" w:cs="Arial" w:eastAsia="Arial" w:hAnsi="Arial"/>
                <w:sz w:val="14"/>
                <w:szCs w:val="14"/>
                <w:color w:val="auto"/>
              </w:rPr>
              <w:t>FACILITY CODE</w:t>
            </w:r>
          </w:p>
        </w:tc>
        <w:tc>
          <w:tcPr>
            <w:tcW w:w="140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3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324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both"/>
        <w:ind w:left="40" w:right="20" w:firstLine="30"/>
        <w:spacing w:after="0" w:line="225" w:lineRule="auto"/>
        <w:rPr>
          <w:sz w:val="20"/>
          <w:szCs w:val="20"/>
          <w:color w:val="auto"/>
        </w:rPr>
      </w:pPr>
      <w:r>
        <w:rPr>
          <w:rFonts w:ascii="Arial" w:cs="Arial" w:eastAsia="Arial" w:hAnsi="Arial"/>
          <w:sz w:val="13"/>
          <w:szCs w:val="13"/>
          <w:color w:val="auto"/>
        </w:rPr>
        <w:t>The above numbered solicitation is amended as set forth in Item 14. The hour and date specified for receipt of Offers is extended, is not extended. 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228" w:lineRule="exact"/>
        <w:rPr>
          <w:sz w:val="20"/>
          <w:szCs w:val="20"/>
          <w:color w:val="auto"/>
        </w:rPr>
      </w:pPr>
    </w:p>
    <w:p>
      <w:pPr>
        <w:jc w:val="both"/>
        <w:ind w:left="40" w:right="20" w:hanging="5"/>
        <w:spacing w:after="0" w:line="223" w:lineRule="auto"/>
        <w:tabs>
          <w:tab w:leader="none" w:pos="229" w:val="left"/>
        </w:tabs>
        <w:numPr>
          <w:ilvl w:val="0"/>
          <w:numId w:val="69"/>
        </w:numPr>
        <w:rPr>
          <w:rFonts w:ascii="Arial" w:cs="Arial" w:eastAsia="Arial" w:hAnsi="Arial"/>
          <w:sz w:val="13"/>
          <w:szCs w:val="13"/>
          <w:color w:val="auto"/>
        </w:rPr>
      </w:pPr>
      <w:r>
        <w:rPr>
          <w:rFonts w:ascii="Arial" w:cs="Arial" w:eastAsia="Arial" w:hAnsi="Arial"/>
          <w:sz w:val="13"/>
          <w:szCs w:val="13"/>
          <w:color w:val="auto"/>
        </w:rPr>
        <w:t>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left="40"/>
        <w:spacing w:after="0"/>
        <w:tabs>
          <w:tab w:leader="none" w:pos="4040" w:val="left"/>
        </w:tabs>
        <w:rPr>
          <w:sz w:val="20"/>
          <w:szCs w:val="20"/>
          <w:color w:val="auto"/>
        </w:rPr>
      </w:pPr>
      <w:r>
        <w:rPr>
          <w:rFonts w:ascii="Arial" w:cs="Arial" w:eastAsia="Arial" w:hAnsi="Arial"/>
          <w:sz w:val="14"/>
          <w:szCs w:val="14"/>
          <w:color w:val="auto"/>
        </w:rPr>
        <w:t xml:space="preserve">12. ACCOUNTING AND APPROPRIATION DATA </w:t>
      </w:r>
      <w:r>
        <w:rPr>
          <w:rFonts w:ascii="Arial" w:cs="Arial" w:eastAsia="Arial" w:hAnsi="Arial"/>
          <w:sz w:val="12"/>
          <w:szCs w:val="12"/>
          <w:i w:val="1"/>
          <w:iCs w:val="1"/>
          <w:color w:val="auto"/>
        </w:rPr>
        <w:t>(If required)</w:t>
      </w:r>
      <w:r>
        <w:rPr>
          <w:sz w:val="20"/>
          <w:szCs w:val="20"/>
          <w:color w:val="auto"/>
        </w:rPr>
        <w:tab/>
      </w:r>
      <w:r>
        <w:rPr>
          <w:rFonts w:ascii="Arial" w:cs="Arial" w:eastAsia="Arial" w:hAnsi="Arial"/>
          <w:sz w:val="16"/>
          <w:szCs w:val="16"/>
          <w:color w:val="auto"/>
        </w:rPr>
        <w:t>Net Increase: $27,927,000.00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0"/>
          <w:szCs w:val="20"/>
          <w:color w:val="auto"/>
        </w:rPr>
      </w:pPr>
    </w:p>
    <w:p>
      <w:pPr>
        <w:ind w:left="3380" w:right="3060" w:hanging="351"/>
        <w:spacing w:after="0" w:line="285" w:lineRule="auto"/>
        <w:tabs>
          <w:tab w:leader="none" w:pos="3268"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089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890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1"/>
          <w:szCs w:val="11"/>
          <w:color w:val="auto"/>
        </w:rPr>
        <w:t>CHECK ONE</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 THIS CHANGE ORDER IS ISSUED PURSUANT TO: </w:t>
      </w:r>
      <w:r>
        <w:rPr>
          <w:rFonts w:ascii="Arial" w:cs="Arial" w:eastAsia="Arial" w:hAnsi="Arial"/>
          <w:sz w:val="13"/>
          <w:szCs w:val="13"/>
          <w:i w:val="1"/>
          <w:iCs w:val="1"/>
          <w:color w:val="auto"/>
        </w:rPr>
        <w:t>(Specify authority)</w:t>
      </w:r>
      <w:r>
        <w:rPr>
          <w:rFonts w:ascii="Arial" w:cs="Arial" w:eastAsia="Arial" w:hAnsi="Arial"/>
          <w:sz w:val="13"/>
          <w:szCs w:val="13"/>
          <w:color w:val="auto"/>
        </w:rPr>
        <w:t xml:space="preserve"> THE CHANGES SET FORTH IN ITEM 14 ARE MADE IN THE CONTRACT ORDER NO. IN ITEM 10A.</w:t>
      </w:r>
    </w:p>
    <w:p>
      <w:pPr>
        <w:spacing w:after="0" w:line="229" w:lineRule="exact"/>
        <w:rPr>
          <w:sz w:val="20"/>
          <w:szCs w:val="20"/>
          <w:color w:val="auto"/>
        </w:rPr>
      </w:pPr>
    </w:p>
    <w:p>
      <w:pPr>
        <w:ind w:left="1220" w:right="260" w:hanging="148"/>
        <w:spacing w:after="0"/>
        <w:rPr>
          <w:sz w:val="20"/>
          <w:szCs w:val="20"/>
          <w:color w:val="auto"/>
        </w:rPr>
      </w:pPr>
      <w:r>
        <w:rPr>
          <w:rFonts w:ascii="Arial" w:cs="Arial" w:eastAsia="Arial" w:hAnsi="Arial"/>
          <w:sz w:val="13"/>
          <w:szCs w:val="13"/>
          <w:color w:val="auto"/>
        </w:rPr>
        <w:t xml:space="preserve">B. THE ABOVE NUMBERED CONTRACT/ORDER IS MODIFIED TO REFLECT THE ADMINISTRATIVE CHANGES </w:t>
      </w:r>
      <w:r>
        <w:rPr>
          <w:rFonts w:ascii="Arial" w:cs="Arial" w:eastAsia="Arial" w:hAnsi="Arial"/>
          <w:sz w:val="13"/>
          <w:szCs w:val="13"/>
          <w:i w:val="1"/>
          <w:iCs w:val="1"/>
          <w:color w:val="auto"/>
        </w:rPr>
        <w:t>(such as changes in paying office, appropriation date, etc.)</w:t>
      </w:r>
      <w:r>
        <w:rPr>
          <w:rFonts w:ascii="Arial" w:cs="Arial" w:eastAsia="Arial" w:hAnsi="Arial"/>
          <w:sz w:val="13"/>
          <w:szCs w:val="13"/>
          <w:color w:val="auto"/>
        </w:rPr>
        <w:t xml:space="preserve"> SET FORTH IN ITEM 14, PURSUANT TO THE AUTHORITY OF FAR 43.103(b).</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 THIS SUPPLEMENTAL AGREEMENT IS ENTERED INTO PURSUANT TO AUTHORITY OF:</w:t>
      </w:r>
    </w:p>
    <w:p>
      <w:pPr>
        <w:spacing w:after="0" w:line="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FAR 52.217-7 Option for Increased Quantity – Separately Priced Line Item</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D. OTHER </w:t>
      </w:r>
      <w:r>
        <w:rPr>
          <w:rFonts w:ascii="Arial" w:cs="Arial" w:eastAsia="Arial" w:hAnsi="Arial"/>
          <w:sz w:val="10"/>
          <w:szCs w:val="10"/>
          <w:i w:val="1"/>
          <w:iCs w:val="1"/>
          <w:color w:val="auto"/>
        </w:rPr>
        <w:t>(Specify type of modification and authority)</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7" w:lineRule="exact"/>
        <w:rPr>
          <w:sz w:val="20"/>
          <w:szCs w:val="20"/>
          <w:color w:val="auto"/>
        </w:rPr>
      </w:pPr>
    </w:p>
    <w:p>
      <w:pPr>
        <w:ind w:left="280" w:hanging="245"/>
        <w:spacing w:after="0"/>
        <w:tabs>
          <w:tab w:leader="none" w:pos="2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0"/>
          <w:szCs w:val="10"/>
          <w:i w:val="1"/>
          <w:iCs w:val="1"/>
          <w:color w:val="auto"/>
        </w:rPr>
        <w:t>(Organized by UCF section headings, including solicitation/contract subject matter where feasible.)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ID Number: [**]</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DUNS Number: [**]</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purpose of this modification is to:</w:t>
      </w:r>
    </w:p>
    <w:p>
      <w:pPr>
        <w:spacing w:after="0" w:line="163" w:lineRule="exact"/>
        <w:rPr>
          <w:sz w:val="20"/>
          <w:szCs w:val="20"/>
          <w:color w:val="auto"/>
        </w:rPr>
      </w:pPr>
    </w:p>
    <w:p>
      <w:pPr>
        <w:ind w:left="200" w:hanging="165"/>
        <w:spacing w:after="0"/>
        <w:tabs>
          <w:tab w:leader="none" w:pos="2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Order an increased quantity of [**] doses of BioThrax [**] year product at a unit price of $[**] per dose for a total cost of $27,927,000.00.</w:t>
      </w:r>
    </w:p>
    <w:p>
      <w:pPr>
        <w:spacing w:after="0" w:line="163" w:lineRule="exact"/>
        <w:rPr>
          <w:rFonts w:ascii="Arial" w:cs="Arial" w:eastAsia="Arial" w:hAnsi="Arial"/>
          <w:sz w:val="14"/>
          <w:szCs w:val="14"/>
          <w:color w:val="auto"/>
        </w:rPr>
      </w:pPr>
    </w:p>
    <w:p>
      <w:pPr>
        <w:ind w:left="200" w:hanging="165"/>
        <w:spacing w:after="0"/>
        <w:tabs>
          <w:tab w:leader="none" w:pos="2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Accordingly, total contract value is hereby increased from $492,321,363.90 by $27,927,000.00 to read $520,248,368.90.</w:t>
      </w:r>
    </w:p>
    <w:p>
      <w:pPr>
        <w:spacing w:after="0" w:line="163" w:lineRule="exact"/>
        <w:rPr>
          <w:rFonts w:ascii="Arial" w:cs="Arial" w:eastAsia="Arial" w:hAnsi="Arial"/>
          <w:sz w:val="14"/>
          <w:szCs w:val="14"/>
          <w:color w:val="auto"/>
        </w:rPr>
      </w:pPr>
    </w:p>
    <w:p>
      <w:pPr>
        <w:ind w:left="200" w:hanging="165"/>
        <w:spacing w:after="0"/>
        <w:tabs>
          <w:tab w:leader="none" w:pos="2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modification supersedes the Authorization to Proceed dated June 13, 2019.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p>
        </w:tc>
        <w:tc>
          <w:tcPr>
            <w:tcW w:w="1700" w:type="dxa"/>
            <w:vAlign w:val="bottom"/>
            <w:tcBorders>
              <w:top w:val="single" w:sz="8" w:color="auto"/>
              <w:right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7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Michael Mann, Sr. Manager Comm. Ops.</w:t>
            </w:r>
          </w:p>
        </w:tc>
        <w:tc>
          <w:tcPr>
            <w:tcW w:w="170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Natasha Y. Rowland</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15B. CONTRACTOR/OFFEROR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15C. DATE SIGNED</w:t>
            </w:r>
          </w:p>
        </w:tc>
        <w:tc>
          <w:tcPr>
            <w:tcW w:w="20" w:type="dxa"/>
            <w:vAlign w:val="bottom"/>
          </w:tcPr>
          <w:p>
            <w:pPr>
              <w:spacing w:after="0"/>
              <w:rPr>
                <w:sz w:val="16"/>
                <w:szCs w:val="16"/>
                <w:color w:val="auto"/>
              </w:rPr>
            </w:pPr>
          </w:p>
        </w:tc>
        <w:tc>
          <w:tcPr>
            <w:tcW w:w="39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16B. UNITED STATES OF AMERICA</w:t>
            </w:r>
          </w:p>
        </w:tc>
        <w:tc>
          <w:tcPr>
            <w:tcW w:w="1780" w:type="dxa"/>
            <w:vAlign w:val="bottom"/>
          </w:tcPr>
          <w:p>
            <w:pPr>
              <w:ind w:left="20"/>
              <w:spacing w:after="0"/>
              <w:rPr>
                <w:sz w:val="20"/>
                <w:szCs w:val="20"/>
                <w:color w:val="auto"/>
              </w:rPr>
            </w:pPr>
            <w:r>
              <w:rPr>
                <w:rFonts w:ascii="Arial" w:cs="Arial" w:eastAsia="Arial" w:hAnsi="Arial"/>
                <w:sz w:val="14"/>
                <w:szCs w:val="14"/>
                <w:color w:val="auto"/>
              </w:rPr>
              <w:t>16C. DATE SIGNED</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9 Jul 19</w:t>
            </w:r>
          </w:p>
        </w:tc>
        <w:tc>
          <w:tcPr>
            <w:tcW w:w="20" w:type="dxa"/>
            <w:vAlign w:val="bottom"/>
          </w:tcPr>
          <w:p>
            <w:pPr>
              <w:spacing w:after="0"/>
              <w:rPr>
                <w:sz w:val="14"/>
                <w:szCs w:val="14"/>
                <w:color w:val="auto"/>
              </w:rPr>
            </w:pPr>
          </w:p>
        </w:tc>
        <w:tc>
          <w:tcPr>
            <w:tcW w:w="39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By</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vMerge w:val="restart"/>
          </w:tcPr>
          <w:p>
            <w:pPr>
              <w:spacing w:after="0"/>
              <w:rPr>
                <w:sz w:val="20"/>
                <w:szCs w:val="20"/>
                <w:color w:val="auto"/>
              </w:rPr>
            </w:pPr>
            <w:r>
              <w:rPr>
                <w:rFonts w:ascii="Arial" w:cs="Arial" w:eastAsia="Arial" w:hAnsi="Arial"/>
                <w:sz w:val="13"/>
                <w:szCs w:val="13"/>
                <w:color w:val="auto"/>
              </w:rPr>
              <w:t xml:space="preserve">/s/ J. </w:t>
            </w:r>
            <w:r>
              <w:rPr>
                <w:rFonts w:ascii="Arial" w:cs="Arial" w:eastAsia="Arial" w:hAnsi="Arial"/>
                <w:sz w:val="14"/>
                <w:szCs w:val="14"/>
                <w:color w:val="auto"/>
              </w:rPr>
              <w:t>Michael Mann II</w:t>
            </w:r>
          </w:p>
        </w:tc>
        <w:tc>
          <w:tcPr>
            <w:tcW w:w="24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vMerge w:val="restart"/>
          </w:tcPr>
          <w:p>
            <w:pPr>
              <w:spacing w:after="0"/>
              <w:rPr>
                <w:sz w:val="20"/>
                <w:szCs w:val="20"/>
                <w:color w:val="auto"/>
              </w:rPr>
            </w:pPr>
            <w:r>
              <w:rPr>
                <w:rFonts w:ascii="Arial" w:cs="Arial" w:eastAsia="Arial" w:hAnsi="Arial"/>
                <w:sz w:val="14"/>
                <w:szCs w:val="14"/>
                <w:color w:val="auto"/>
              </w:rPr>
              <w:t>/s/ Natasha Y. Rowland</w:t>
            </w:r>
          </w:p>
        </w:tc>
        <w:tc>
          <w:tcPr>
            <w:tcW w:w="2380" w:type="dxa"/>
            <w:vAlign w:val="bottom"/>
            <w:tcBorders>
              <w:right w:val="single" w:sz="8" w:color="auto"/>
            </w:tcBorders>
          </w:tcPr>
          <w:p>
            <w:pPr>
              <w:spacing w:after="0"/>
              <w:rPr>
                <w:sz w:val="14"/>
                <w:szCs w:val="14"/>
                <w:color w:val="auto"/>
              </w:rPr>
            </w:pPr>
          </w:p>
        </w:tc>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7/9/2019</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Borders>
              <w:bottom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auto"/>
            </w:tcBorders>
          </w:tcPr>
          <w:p>
            <w:pPr>
              <w:spacing w:after="0"/>
              <w:rPr>
                <w:sz w:val="13"/>
                <w:szCs w:val="13"/>
                <w:color w:val="auto"/>
              </w:rPr>
            </w:pPr>
          </w:p>
        </w:tc>
        <w:tc>
          <w:tcPr>
            <w:tcW w:w="3900" w:type="dxa"/>
            <w:vAlign w:val="bottom"/>
            <w:tcBorders>
              <w:bottom w:val="single" w:sz="8" w:color="auto"/>
              <w:right w:val="single" w:sz="8" w:color="auto"/>
            </w:tcBorders>
            <w:gridSpan w:val="2"/>
          </w:tcPr>
          <w:p>
            <w:pPr>
              <w:ind w:left="820"/>
              <w:spacing w:after="0"/>
              <w:rPr>
                <w:sz w:val="20"/>
                <w:szCs w:val="20"/>
                <w:color w:val="auto"/>
              </w:rPr>
            </w:pPr>
            <w:r>
              <w:rPr>
                <w:rFonts w:ascii="Arial" w:cs="Arial" w:eastAsia="Arial" w:hAnsi="Arial"/>
                <w:sz w:val="13"/>
                <w:szCs w:val="13"/>
                <w:i w:val="1"/>
                <w:iCs w:val="1"/>
                <w:color w:val="auto"/>
              </w:rPr>
              <w:t>(Signature of person authorized to sign)</w:t>
            </w:r>
          </w:p>
        </w:tc>
        <w:tc>
          <w:tcPr>
            <w:tcW w:w="170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980" w:type="dxa"/>
            <w:vAlign w:val="bottom"/>
            <w:tcBorders>
              <w:bottom w:val="single" w:sz="8" w:color="auto"/>
              <w:right w:val="single" w:sz="8" w:color="auto"/>
            </w:tcBorders>
            <w:gridSpan w:val="2"/>
          </w:tcPr>
          <w:p>
            <w:pPr>
              <w:ind w:left="1040"/>
              <w:spacing w:after="0"/>
              <w:rPr>
                <w:sz w:val="20"/>
                <w:szCs w:val="20"/>
                <w:color w:val="auto"/>
              </w:rPr>
            </w:pPr>
            <w:r>
              <w:rPr>
                <w:rFonts w:ascii="Arial" w:cs="Arial" w:eastAsia="Arial" w:hAnsi="Arial"/>
                <w:sz w:val="13"/>
                <w:szCs w:val="13"/>
                <w:i w:val="1"/>
                <w:iCs w:val="1"/>
                <w:color w:val="auto"/>
              </w:rPr>
              <w:t>(Signature of Contracting Officer)</w:t>
            </w:r>
          </w:p>
        </w:tc>
        <w:tc>
          <w:tcPr>
            <w:tcW w:w="1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color w:val="auto"/>
        </w:rPr>
        <w:t>NSN 7540-01-152-8070</w:t>
        <w:tab/>
        <w:t>STANDARD FORM 30 (Rev. 10-83)</w:t>
      </w:r>
    </w:p>
    <w:p>
      <w:pPr>
        <w:spacing w:after="0" w:line="1" w:lineRule="exact"/>
        <w:rPr>
          <w:sz w:val="20"/>
          <w:szCs w:val="20"/>
          <w:color w:val="auto"/>
        </w:rPr>
      </w:pPr>
    </w:p>
    <w:p>
      <w:pPr>
        <w:spacing w:after="0"/>
        <w:tabs>
          <w:tab w:leader="none" w:pos="1800" w:val="left"/>
        </w:tabs>
        <w:rPr>
          <w:sz w:val="20"/>
          <w:szCs w:val="20"/>
          <w:color w:val="auto"/>
        </w:rPr>
      </w:pPr>
      <w:r>
        <w:rPr>
          <w:rFonts w:ascii="Arial" w:cs="Arial" w:eastAsia="Arial" w:hAnsi="Arial"/>
          <w:sz w:val="14"/>
          <w:szCs w:val="14"/>
          <w:color w:val="auto"/>
        </w:rPr>
        <w:t>Previous edition unusable</w:t>
        <w:tab/>
        <w:t>Sponsored 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54875" cy="113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13030"/>
                    </a:xfrm>
                    <a:prstGeom prst="rect">
                      <a:avLst/>
                    </a:prstGeom>
                    <a:noFill/>
                  </pic:spPr>
                </pic:pic>
              </a:graphicData>
            </a:graphic>
          </wp:anchor>
        </w:drawing>
      </w:r>
    </w:p>
    <w:p>
      <w:pPr>
        <w:sectPr>
          <w:pgSz w:w="11900" w:h="16838" w:orient="portrait"/>
          <w:cols w:equalWidth="0" w:num="1">
            <w:col w:w="11420"/>
          </w:cols>
          <w:pgMar w:left="240" w:top="125" w:right="239" w:bottom="45"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9"/>
        </w:trPr>
        <w:tc>
          <w:tcPr>
            <w:tcW w:w="2100" w:type="dxa"/>
            <w:vAlign w:val="bottom"/>
            <w:tcBorders>
              <w:right w:val="single" w:sz="8" w:color="00000A"/>
            </w:tcBorders>
          </w:tcPr>
          <w:p>
            <w:pPr>
              <w:ind w:left="40"/>
              <w:spacing w:after="0"/>
              <w:rPr>
                <w:sz w:val="20"/>
                <w:szCs w:val="20"/>
                <w:color w:val="auto"/>
              </w:rPr>
            </w:pPr>
            <w:r>
              <w:rPr>
                <w:rFonts w:ascii="Arial" w:cs="Arial" w:eastAsia="Arial" w:hAnsi="Arial"/>
                <w:sz w:val="14"/>
                <w:szCs w:val="14"/>
                <w:b w:val="1"/>
                <w:bCs w:val="1"/>
                <w:color w:val="auto"/>
              </w:rPr>
              <w:t>CONTINUATION SHEET</w:t>
            </w:r>
          </w:p>
        </w:tc>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REFERENCE NO. OF DOCUMENT BEING CONTINUED</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PAGE OF</w:t>
            </w:r>
          </w:p>
        </w:tc>
        <w:tc>
          <w:tcPr>
            <w:tcW w:w="340" w:type="dxa"/>
            <w:vAlign w:val="bottom"/>
          </w:tcPr>
          <w:p>
            <w:pPr>
              <w:spacing w:after="0"/>
              <w:rPr>
                <w:sz w:val="16"/>
                <w:szCs w:val="16"/>
                <w:color w:val="auto"/>
              </w:rPr>
            </w:pPr>
          </w:p>
        </w:tc>
        <w:tc>
          <w:tcPr>
            <w:tcW w:w="900" w:type="dxa"/>
            <w:vAlign w:val="bottom"/>
            <w:tcBorders>
              <w:right w:val="single" w:sz="8" w:color="00000A"/>
            </w:tcBorders>
          </w:tcPr>
          <w:p>
            <w:pPr>
              <w:spacing w:after="0"/>
              <w:rPr>
                <w:sz w:val="16"/>
                <w:szCs w:val="16"/>
                <w:color w:val="auto"/>
              </w:rPr>
            </w:pPr>
          </w:p>
        </w:tc>
      </w:tr>
      <w:tr>
        <w:trPr>
          <w:trHeight w:val="297"/>
        </w:trPr>
        <w:tc>
          <w:tcPr>
            <w:tcW w:w="2100" w:type="dxa"/>
            <w:vAlign w:val="bottom"/>
            <w:tcBorders>
              <w:right w:val="single" w:sz="8" w:color="00000A"/>
            </w:tcBorders>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HHSD200201792634C/P00017</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Borders>
              <w:right w:val="single" w:sz="8" w:color="00000A"/>
            </w:tcBorders>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2</w:t>
            </w:r>
          </w:p>
        </w:tc>
        <w:tc>
          <w:tcPr>
            <w:tcW w:w="340" w:type="dxa"/>
            <w:vAlign w:val="bottom"/>
            <w:tcBorders>
              <w:right w:val="single" w:sz="8" w:color="00000A"/>
            </w:tcBorders>
          </w:tcPr>
          <w:p>
            <w:pPr>
              <w:spacing w:after="0"/>
              <w:rPr>
                <w:sz w:val="24"/>
                <w:szCs w:val="24"/>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2</w:t>
            </w:r>
          </w:p>
        </w:tc>
      </w:tr>
      <w:tr>
        <w:trPr>
          <w:trHeight w:val="81"/>
        </w:trPr>
        <w:tc>
          <w:tcPr>
            <w:tcW w:w="2100" w:type="dxa"/>
            <w:vAlign w:val="bottom"/>
            <w:tcBorders>
              <w:bottom w:val="single" w:sz="8" w:color="00000A"/>
              <w:right w:val="single" w:sz="8" w:color="00000A"/>
            </w:tcBorders>
          </w:tcPr>
          <w:p>
            <w:pPr>
              <w:spacing w:after="0"/>
              <w:rPr>
                <w:sz w:val="7"/>
                <w:szCs w:val="7"/>
                <w:color w:val="auto"/>
              </w:rPr>
            </w:pPr>
          </w:p>
        </w:tc>
        <w:tc>
          <w:tcPr>
            <w:tcW w:w="4280" w:type="dxa"/>
            <w:vAlign w:val="bottom"/>
            <w:tcBorders>
              <w:bottom w:val="single" w:sz="8" w:color="00000A"/>
            </w:tcBorders>
          </w:tcPr>
          <w:p>
            <w:pPr>
              <w:spacing w:after="0"/>
              <w:rPr>
                <w:sz w:val="7"/>
                <w:szCs w:val="7"/>
                <w:color w:val="auto"/>
              </w:rPr>
            </w:pPr>
          </w:p>
        </w:tc>
        <w:tc>
          <w:tcPr>
            <w:tcW w:w="1500" w:type="dxa"/>
            <w:vAlign w:val="bottom"/>
            <w:tcBorders>
              <w:bottom w:val="single" w:sz="8" w:color="00000A"/>
            </w:tcBorders>
          </w:tcPr>
          <w:p>
            <w:pPr>
              <w:spacing w:after="0"/>
              <w:rPr>
                <w:sz w:val="7"/>
                <w:szCs w:val="7"/>
                <w:color w:val="auto"/>
              </w:rPr>
            </w:pPr>
          </w:p>
        </w:tc>
        <w:tc>
          <w:tcPr>
            <w:tcW w:w="680" w:type="dxa"/>
            <w:vAlign w:val="bottom"/>
            <w:tcBorders>
              <w:bottom w:val="single" w:sz="8" w:color="00000A"/>
            </w:tcBorders>
          </w:tcPr>
          <w:p>
            <w:pPr>
              <w:spacing w:after="0"/>
              <w:rPr>
                <w:sz w:val="7"/>
                <w:szCs w:val="7"/>
                <w:color w:val="auto"/>
              </w:rPr>
            </w:pPr>
          </w:p>
        </w:tc>
        <w:tc>
          <w:tcPr>
            <w:tcW w:w="960" w:type="dxa"/>
            <w:vAlign w:val="bottom"/>
            <w:tcBorders>
              <w:bottom w:val="single" w:sz="8" w:color="00000A"/>
              <w:right w:val="single" w:sz="8" w:color="00000A"/>
            </w:tcBorders>
          </w:tcPr>
          <w:p>
            <w:pPr>
              <w:spacing w:after="0"/>
              <w:rPr>
                <w:sz w:val="7"/>
                <w:szCs w:val="7"/>
                <w:color w:val="auto"/>
              </w:rPr>
            </w:pPr>
          </w:p>
        </w:tc>
        <w:tc>
          <w:tcPr>
            <w:tcW w:w="680" w:type="dxa"/>
            <w:vAlign w:val="bottom"/>
            <w:tcBorders>
              <w:bottom w:val="single" w:sz="8" w:color="00000A"/>
            </w:tcBorders>
          </w:tcPr>
          <w:p>
            <w:pPr>
              <w:spacing w:after="0"/>
              <w:rPr>
                <w:sz w:val="7"/>
                <w:szCs w:val="7"/>
                <w:color w:val="auto"/>
              </w:rPr>
            </w:pPr>
          </w:p>
        </w:tc>
        <w:tc>
          <w:tcPr>
            <w:tcW w:w="340" w:type="dxa"/>
            <w:vAlign w:val="bottom"/>
            <w:tcBorders>
              <w:bottom w:val="single" w:sz="8" w:color="00000A"/>
              <w:right w:val="single" w:sz="8" w:color="00000A"/>
            </w:tcBorders>
          </w:tcPr>
          <w:p>
            <w:pPr>
              <w:spacing w:after="0"/>
              <w:rPr>
                <w:sz w:val="7"/>
                <w:szCs w:val="7"/>
                <w:color w:val="auto"/>
              </w:rPr>
            </w:pPr>
          </w:p>
        </w:tc>
        <w:tc>
          <w:tcPr>
            <w:tcW w:w="900" w:type="dxa"/>
            <w:vAlign w:val="bottom"/>
            <w:tcBorders>
              <w:bottom w:val="single" w:sz="8" w:color="00000A"/>
            </w:tcBorders>
          </w:tcPr>
          <w:p>
            <w:pPr>
              <w:spacing w:after="0"/>
              <w:rPr>
                <w:sz w:val="7"/>
                <w:szCs w:val="7"/>
                <w:color w:val="auto"/>
              </w:rPr>
            </w:pPr>
          </w:p>
        </w:tc>
      </w:tr>
      <w:tr>
        <w:trPr>
          <w:trHeight w:val="252"/>
        </w:trPr>
        <w:tc>
          <w:tcPr>
            <w:tcW w:w="63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OFFEROR OR CONTRACTOR</w:t>
            </w:r>
          </w:p>
        </w:tc>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09"/>
        </w:trPr>
        <w:tc>
          <w:tcPr>
            <w:tcW w:w="6380" w:type="dxa"/>
            <w:vAlign w:val="bottom"/>
            <w:gridSpan w:val="2"/>
          </w:tcPr>
          <w:p>
            <w:pPr>
              <w:ind w:left="40"/>
              <w:spacing w:after="0"/>
              <w:rPr>
                <w:sz w:val="20"/>
                <w:szCs w:val="20"/>
                <w:color w:val="auto"/>
              </w:rPr>
            </w:pPr>
            <w:r>
              <w:rPr>
                <w:rFonts w:ascii="Arial" w:cs="Arial" w:eastAsia="Arial" w:hAnsi="Arial"/>
                <w:sz w:val="18"/>
                <w:szCs w:val="18"/>
                <w:color w:val="auto"/>
              </w:rPr>
              <w:t>EMERGENT BIODEFENSE OPERATIONS LANSING LLC 330303</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1"/>
        </w:trPr>
        <w:tc>
          <w:tcPr>
            <w:tcW w:w="2100" w:type="dxa"/>
            <w:vAlign w:val="bottom"/>
            <w:tcBorders>
              <w:bottom w:val="single" w:sz="8" w:color="00000A"/>
            </w:tcBorders>
          </w:tcPr>
          <w:p>
            <w:pPr>
              <w:spacing w:after="0"/>
              <w:rPr>
                <w:sz w:val="7"/>
                <w:szCs w:val="7"/>
                <w:color w:val="auto"/>
              </w:rPr>
            </w:pPr>
          </w:p>
        </w:tc>
        <w:tc>
          <w:tcPr>
            <w:tcW w:w="4280" w:type="dxa"/>
            <w:vAlign w:val="bottom"/>
            <w:tcBorders>
              <w:bottom w:val="single" w:sz="8" w:color="00000A"/>
            </w:tcBorders>
          </w:tcPr>
          <w:p>
            <w:pPr>
              <w:spacing w:after="0"/>
              <w:rPr>
                <w:sz w:val="7"/>
                <w:szCs w:val="7"/>
                <w:color w:val="auto"/>
              </w:rPr>
            </w:pPr>
          </w:p>
        </w:tc>
        <w:tc>
          <w:tcPr>
            <w:tcW w:w="1500" w:type="dxa"/>
            <w:vAlign w:val="bottom"/>
            <w:tcBorders>
              <w:bottom w:val="single" w:sz="8" w:color="00000A"/>
            </w:tcBorders>
          </w:tcPr>
          <w:p>
            <w:pPr>
              <w:spacing w:after="0"/>
              <w:rPr>
                <w:sz w:val="7"/>
                <w:szCs w:val="7"/>
                <w:color w:val="auto"/>
              </w:rPr>
            </w:pPr>
          </w:p>
        </w:tc>
        <w:tc>
          <w:tcPr>
            <w:tcW w:w="680" w:type="dxa"/>
            <w:vAlign w:val="bottom"/>
            <w:tcBorders>
              <w:bottom w:val="single" w:sz="8" w:color="00000A"/>
            </w:tcBorders>
          </w:tcPr>
          <w:p>
            <w:pPr>
              <w:spacing w:after="0"/>
              <w:rPr>
                <w:sz w:val="7"/>
                <w:szCs w:val="7"/>
                <w:color w:val="auto"/>
              </w:rPr>
            </w:pPr>
          </w:p>
        </w:tc>
        <w:tc>
          <w:tcPr>
            <w:tcW w:w="960" w:type="dxa"/>
            <w:vAlign w:val="bottom"/>
            <w:tcBorders>
              <w:bottom w:val="single" w:sz="8" w:color="00000A"/>
            </w:tcBorders>
          </w:tcPr>
          <w:p>
            <w:pPr>
              <w:spacing w:after="0"/>
              <w:rPr>
                <w:sz w:val="7"/>
                <w:szCs w:val="7"/>
                <w:color w:val="auto"/>
              </w:rPr>
            </w:pPr>
          </w:p>
        </w:tc>
        <w:tc>
          <w:tcPr>
            <w:tcW w:w="680" w:type="dxa"/>
            <w:vAlign w:val="bottom"/>
            <w:tcBorders>
              <w:bottom w:val="single" w:sz="8" w:color="00000A"/>
            </w:tcBorders>
          </w:tcPr>
          <w:p>
            <w:pPr>
              <w:spacing w:after="0"/>
              <w:rPr>
                <w:sz w:val="7"/>
                <w:szCs w:val="7"/>
                <w:color w:val="auto"/>
              </w:rPr>
            </w:pPr>
          </w:p>
        </w:tc>
        <w:tc>
          <w:tcPr>
            <w:tcW w:w="340" w:type="dxa"/>
            <w:vAlign w:val="bottom"/>
            <w:tcBorders>
              <w:bottom w:val="single" w:sz="8" w:color="00000A"/>
            </w:tcBorders>
          </w:tcPr>
          <w:p>
            <w:pPr>
              <w:spacing w:after="0"/>
              <w:rPr>
                <w:sz w:val="7"/>
                <w:szCs w:val="7"/>
                <w:color w:val="auto"/>
              </w:rPr>
            </w:pPr>
          </w:p>
        </w:tc>
        <w:tc>
          <w:tcPr>
            <w:tcW w:w="900" w:type="dxa"/>
            <w:vAlign w:val="bottom"/>
            <w:tcBorders>
              <w:bottom w:val="single" w:sz="8" w:color="00000A"/>
            </w:tcBorders>
          </w:tcPr>
          <w:p>
            <w:pPr>
              <w:spacing w:after="0"/>
              <w:rPr>
                <w:sz w:val="7"/>
                <w:szCs w:val="7"/>
                <w:color w:val="auto"/>
              </w:rPr>
            </w:pPr>
          </w:p>
        </w:tc>
      </w:tr>
      <w:tr>
        <w:trPr>
          <w:trHeight w:val="225"/>
        </w:trPr>
        <w:tc>
          <w:tcPr>
            <w:tcW w:w="2100" w:type="dxa"/>
            <w:vAlign w:val="bottom"/>
          </w:tcPr>
          <w:p>
            <w:pPr>
              <w:jc w:val="center"/>
              <w:ind w:right="684"/>
              <w:spacing w:after="0"/>
              <w:rPr>
                <w:sz w:val="20"/>
                <w:szCs w:val="20"/>
                <w:color w:val="auto"/>
              </w:rPr>
            </w:pPr>
            <w:r>
              <w:rPr>
                <w:rFonts w:ascii="Arial" w:cs="Arial" w:eastAsia="Arial" w:hAnsi="Arial"/>
                <w:sz w:val="14"/>
                <w:szCs w:val="14"/>
                <w:b w:val="1"/>
                <w:bCs w:val="1"/>
                <w:color w:val="auto"/>
              </w:rPr>
              <w:t>ITEM No.</w:t>
            </w:r>
          </w:p>
        </w:tc>
        <w:tc>
          <w:tcPr>
            <w:tcW w:w="4280" w:type="dxa"/>
            <w:vAlign w:val="bottom"/>
          </w:tcPr>
          <w:p>
            <w:pPr>
              <w:jc w:val="center"/>
              <w:ind w:right="284"/>
              <w:spacing w:after="0"/>
              <w:rPr>
                <w:sz w:val="20"/>
                <w:szCs w:val="20"/>
                <w:color w:val="auto"/>
              </w:rPr>
            </w:pPr>
            <w:r>
              <w:rPr>
                <w:rFonts w:ascii="Arial" w:cs="Arial" w:eastAsia="Arial" w:hAnsi="Arial"/>
                <w:sz w:val="14"/>
                <w:szCs w:val="14"/>
                <w:b w:val="1"/>
                <w:bCs w:val="1"/>
                <w:color w:val="auto"/>
              </w:rPr>
              <w:t>SUPPLIES/SERVICES</w:t>
            </w:r>
          </w:p>
        </w:tc>
        <w:tc>
          <w:tcPr>
            <w:tcW w:w="1500" w:type="dxa"/>
            <w:vAlign w:val="bottom"/>
          </w:tcPr>
          <w:p>
            <w:pPr>
              <w:jc w:val="center"/>
              <w:ind w:left="308"/>
              <w:spacing w:after="0"/>
              <w:rPr>
                <w:sz w:val="20"/>
                <w:szCs w:val="20"/>
                <w:color w:val="auto"/>
              </w:rPr>
            </w:pPr>
            <w:r>
              <w:rPr>
                <w:rFonts w:ascii="Arial" w:cs="Arial" w:eastAsia="Arial" w:hAnsi="Arial"/>
                <w:sz w:val="14"/>
                <w:szCs w:val="14"/>
                <w:b w:val="1"/>
                <w:bCs w:val="1"/>
                <w:color w:val="auto"/>
              </w:rPr>
              <w:t>QUANTITY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164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rPr>
              <w:t>UNIT PRICE</w:t>
            </w:r>
          </w:p>
        </w:tc>
        <w:tc>
          <w:tcPr>
            <w:tcW w:w="124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rPr>
              <w:t>AMOUNT</w:t>
            </w:r>
          </w:p>
        </w:tc>
      </w:tr>
      <w:tr>
        <w:trPr>
          <w:trHeight w:val="189"/>
        </w:trPr>
        <w:tc>
          <w:tcPr>
            <w:tcW w:w="2100" w:type="dxa"/>
            <w:vAlign w:val="bottom"/>
          </w:tcPr>
          <w:p>
            <w:pPr>
              <w:jc w:val="center"/>
              <w:ind w:right="624"/>
              <w:spacing w:after="0"/>
              <w:rPr>
                <w:sz w:val="20"/>
                <w:szCs w:val="20"/>
                <w:color w:val="auto"/>
              </w:rPr>
            </w:pPr>
            <w:r>
              <w:rPr>
                <w:rFonts w:ascii="Arial" w:cs="Arial" w:eastAsia="Arial" w:hAnsi="Arial"/>
                <w:sz w:val="14"/>
                <w:szCs w:val="14"/>
                <w:color w:val="auto"/>
              </w:rPr>
              <w:t>(A)</w:t>
            </w:r>
          </w:p>
        </w:tc>
        <w:tc>
          <w:tcPr>
            <w:tcW w:w="4280" w:type="dxa"/>
            <w:vAlign w:val="bottom"/>
          </w:tcPr>
          <w:p>
            <w:pPr>
              <w:jc w:val="center"/>
              <w:ind w:right="244"/>
              <w:spacing w:after="0"/>
              <w:rPr>
                <w:sz w:val="20"/>
                <w:szCs w:val="20"/>
                <w:color w:val="auto"/>
              </w:rPr>
            </w:pPr>
            <w:r>
              <w:rPr>
                <w:rFonts w:ascii="Arial" w:cs="Arial" w:eastAsia="Arial" w:hAnsi="Arial"/>
                <w:sz w:val="14"/>
                <w:szCs w:val="14"/>
                <w:color w:val="auto"/>
              </w:rPr>
              <w:t>(B)</w:t>
            </w:r>
          </w:p>
        </w:tc>
        <w:tc>
          <w:tcPr>
            <w:tcW w:w="1500" w:type="dxa"/>
            <w:vAlign w:val="bottom"/>
          </w:tcPr>
          <w:p>
            <w:pPr>
              <w:jc w:val="center"/>
              <w:ind w:left="348"/>
              <w:spacing w:after="0"/>
              <w:rPr>
                <w:sz w:val="20"/>
                <w:szCs w:val="20"/>
                <w:color w:val="auto"/>
              </w:rPr>
            </w:pPr>
            <w:r>
              <w:rPr>
                <w:rFonts w:ascii="Arial" w:cs="Arial" w:eastAsia="Arial" w:hAnsi="Arial"/>
                <w:sz w:val="14"/>
                <w:szCs w:val="14"/>
                <w:color w:val="auto"/>
              </w:rPr>
              <w:t>(C)</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(D)</w:t>
            </w:r>
          </w:p>
        </w:tc>
        <w:tc>
          <w:tcPr>
            <w:tcW w:w="1640" w:type="dxa"/>
            <w:vAlign w:val="bottom"/>
            <w:gridSpan w:val="2"/>
          </w:tcPr>
          <w:p>
            <w:pPr>
              <w:jc w:val="center"/>
              <w:ind w:right="359"/>
              <w:spacing w:after="0"/>
              <w:rPr>
                <w:sz w:val="20"/>
                <w:szCs w:val="20"/>
                <w:color w:val="auto"/>
              </w:rPr>
            </w:pPr>
            <w:r>
              <w:rPr>
                <w:rFonts w:ascii="Arial" w:cs="Arial" w:eastAsia="Arial" w:hAnsi="Arial"/>
                <w:sz w:val="14"/>
                <w:szCs w:val="14"/>
                <w:color w:val="auto"/>
              </w:rPr>
              <w:t>(E)</w:t>
            </w:r>
          </w:p>
        </w:tc>
        <w:tc>
          <w:tcPr>
            <w:tcW w:w="1240" w:type="dxa"/>
            <w:vAlign w:val="bottom"/>
            <w:gridSpan w:val="2"/>
          </w:tcPr>
          <w:p>
            <w:pPr>
              <w:jc w:val="center"/>
              <w:ind w:right="410"/>
              <w:spacing w:after="0"/>
              <w:rPr>
                <w:sz w:val="20"/>
                <w:szCs w:val="20"/>
                <w:color w:val="auto"/>
              </w:rPr>
            </w:pPr>
            <w:r>
              <w:rPr>
                <w:rFonts w:ascii="Arial" w:cs="Arial" w:eastAsia="Arial" w:hAnsi="Arial"/>
                <w:sz w:val="14"/>
                <w:szCs w:val="14"/>
                <w:color w:val="auto"/>
              </w:rPr>
              <w:t>(F)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7195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7195185"/>
                    </a:xfrm>
                    <a:prstGeom prst="rect">
                      <a:avLst/>
                    </a:prstGeom>
                    <a:noFill/>
                  </pic:spPr>
                </pic:pic>
              </a:graphicData>
            </a:graphic>
          </wp:anchor>
        </w:drawing>
      </w:r>
    </w:p>
    <w:p>
      <w:pPr>
        <w:spacing w:after="0" w:line="32" w:lineRule="exact"/>
        <w:rPr>
          <w:sz w:val="20"/>
          <w:szCs w:val="20"/>
          <w:color w:val="auto"/>
        </w:rPr>
      </w:pPr>
    </w:p>
    <w:p>
      <w:pPr>
        <w:ind w:left="1760" w:right="7340" w:hanging="334"/>
        <w:spacing w:after="0"/>
        <w:tabs>
          <w:tab w:leader="none" w:pos="1776" w:val="left"/>
        </w:tabs>
        <w:numPr>
          <w:ilvl w:val="0"/>
          <w:numId w:val="73"/>
        </w:numPr>
        <w:rPr>
          <w:rFonts w:ascii="Arial" w:cs="Arial" w:eastAsia="Arial" w:hAnsi="Arial"/>
          <w:sz w:val="14"/>
          <w:szCs w:val="14"/>
          <w:color w:val="auto"/>
        </w:rPr>
      </w:pPr>
      <w:r>
        <w:rPr>
          <w:rFonts w:ascii="Arial" w:cs="Arial" w:eastAsia="Arial" w:hAnsi="Arial"/>
          <w:sz w:val="18"/>
          <w:szCs w:val="18"/>
          <w:color w:val="auto"/>
        </w:rPr>
        <w:t>No further changes. Delivery Location Code: HHS HHS</w:t>
      </w:r>
    </w:p>
    <w:p>
      <w:pPr>
        <w:spacing w:after="0" w:line="207" w:lineRule="exact"/>
        <w:rPr>
          <w:rFonts w:ascii="Arial" w:cs="Arial" w:eastAsia="Arial" w:hAnsi="Arial"/>
          <w:sz w:val="14"/>
          <w:szCs w:val="14"/>
          <w:color w:val="auto"/>
        </w:rPr>
      </w:pPr>
    </w:p>
    <w:p>
      <w:pPr>
        <w:ind w:left="1760" w:right="7160"/>
        <w:spacing w:after="0" w:line="246" w:lineRule="auto"/>
        <w:rPr>
          <w:rFonts w:ascii="Arial" w:cs="Arial" w:eastAsia="Arial" w:hAnsi="Arial"/>
          <w:sz w:val="14"/>
          <w:szCs w:val="14"/>
          <w:color w:val="auto"/>
        </w:rPr>
      </w:pPr>
      <w:r>
        <w:rPr>
          <w:rFonts w:ascii="Arial" w:cs="Arial" w:eastAsia="Arial" w:hAnsi="Arial"/>
          <w:sz w:val="18"/>
          <w:szCs w:val="18"/>
          <w:color w:val="auto"/>
        </w:rPr>
        <w:t>200 Independence Avenue, SW Washington DC 20201 US</w:t>
      </w:r>
    </w:p>
    <w:p>
      <w:pPr>
        <w:spacing w:after="0" w:line="179" w:lineRule="exact"/>
        <w:rPr>
          <w:rFonts w:ascii="Arial" w:cs="Arial" w:eastAsia="Arial" w:hAnsi="Arial"/>
          <w:sz w:val="14"/>
          <w:szCs w:val="14"/>
          <w:color w:val="auto"/>
        </w:rPr>
      </w:pPr>
    </w:p>
    <w:p>
      <w:pPr>
        <w:ind w:left="1760"/>
        <w:spacing w:after="0"/>
        <w:rPr>
          <w:rFonts w:ascii="Arial" w:cs="Arial" w:eastAsia="Arial" w:hAnsi="Arial"/>
          <w:sz w:val="14"/>
          <w:szCs w:val="14"/>
          <w:color w:val="auto"/>
        </w:rPr>
      </w:pPr>
      <w:r>
        <w:rPr>
          <w:rFonts w:ascii="Arial" w:cs="Arial" w:eastAsia="Arial" w:hAnsi="Arial"/>
          <w:sz w:val="18"/>
          <w:szCs w:val="18"/>
          <w:color w:val="auto"/>
        </w:rPr>
        <w:t>FOB: Origin</w:t>
      </w:r>
    </w:p>
    <w:p>
      <w:pPr>
        <w:ind w:left="1760"/>
        <w:spacing w:after="0"/>
        <w:rPr>
          <w:rFonts w:ascii="Arial" w:cs="Arial" w:eastAsia="Arial" w:hAnsi="Arial"/>
          <w:sz w:val="14"/>
          <w:szCs w:val="14"/>
          <w:color w:val="auto"/>
        </w:rPr>
      </w:pPr>
      <w:r>
        <w:rPr>
          <w:rFonts w:ascii="Arial" w:cs="Arial" w:eastAsia="Arial" w:hAnsi="Arial"/>
          <w:sz w:val="18"/>
          <w:szCs w:val="18"/>
          <w:color w:val="auto"/>
        </w:rPr>
        <w:t>Period of Performance: [**] to [**]</w:t>
      </w:r>
    </w:p>
    <w:p>
      <w:pPr>
        <w:spacing w:after="0" w:line="198" w:lineRule="exact"/>
        <w:rPr>
          <w:rFonts w:ascii="Arial" w:cs="Arial" w:eastAsia="Arial" w:hAnsi="Arial"/>
          <w:sz w:val="14"/>
          <w:szCs w:val="14"/>
          <w:color w:val="auto"/>
        </w:rPr>
      </w:pPr>
    </w:p>
    <w:p>
      <w:pPr>
        <w:ind w:left="1760" w:right="5300"/>
        <w:spacing w:after="0" w:line="246" w:lineRule="auto"/>
        <w:rPr>
          <w:rFonts w:ascii="Arial" w:cs="Arial" w:eastAsia="Arial" w:hAnsi="Arial"/>
          <w:sz w:val="14"/>
          <w:szCs w:val="14"/>
          <w:color w:val="auto"/>
        </w:rPr>
      </w:pPr>
      <w:r>
        <w:rPr>
          <w:rFonts w:ascii="Arial" w:cs="Arial" w:eastAsia="Arial" w:hAnsi="Arial"/>
          <w:sz w:val="18"/>
          <w:szCs w:val="18"/>
          <w:color w:val="auto"/>
        </w:rPr>
        <w:t>Change Item 3 to read as follows (amount shown is the obligated amount):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3</w:t>
            </w:r>
          </w:p>
        </w:tc>
        <w:tc>
          <w:tcPr>
            <w:tcW w:w="7460" w:type="dxa"/>
            <w:vAlign w:val="bottom"/>
            <w:vMerge w:val="restart"/>
          </w:tcPr>
          <w:p>
            <w:pPr>
              <w:ind w:left="980"/>
              <w:spacing w:after="0"/>
              <w:rPr>
                <w:sz w:val="20"/>
                <w:szCs w:val="20"/>
                <w:color w:val="auto"/>
              </w:rPr>
            </w:pPr>
            <w:r>
              <w:rPr>
                <w:rFonts w:ascii="Arial" w:cs="Arial" w:eastAsia="Arial" w:hAnsi="Arial"/>
                <w:sz w:val="18"/>
                <w:szCs w:val="18"/>
                <w:color w:val="auto"/>
              </w:rPr>
              <w:t>Optional Line Item 0003</w:t>
            </w:r>
          </w:p>
        </w:tc>
        <w:tc>
          <w:tcPr>
            <w:tcW w:w="2780" w:type="dxa"/>
            <w:vAlign w:val="bottom"/>
            <w:vMerge w:val="restart"/>
          </w:tcPr>
          <w:p>
            <w:pPr>
              <w:jc w:val="right"/>
              <w:spacing w:after="0"/>
              <w:rPr>
                <w:sz w:val="20"/>
                <w:szCs w:val="20"/>
                <w:color w:val="auto"/>
              </w:rPr>
            </w:pPr>
            <w:r>
              <w:rPr>
                <w:rFonts w:ascii="Arial" w:cs="Arial" w:eastAsia="Arial" w:hAnsi="Arial"/>
                <w:sz w:val="18"/>
                <w:szCs w:val="18"/>
                <w:color w:val="auto"/>
              </w:rPr>
              <w:t>$27,927,000.00</w:t>
            </w:r>
          </w:p>
        </w:tc>
        <w:tc>
          <w:tcPr>
            <w:tcW w:w="0" w:type="dxa"/>
            <w:vAlign w:val="bottom"/>
          </w:tcPr>
          <w:p>
            <w:pPr>
              <w:spacing w:after="0"/>
              <w:rPr>
                <w:sz w:val="1"/>
                <w:szCs w:val="1"/>
                <w:color w:val="auto"/>
              </w:rPr>
            </w:pPr>
          </w:p>
        </w:tc>
      </w:tr>
      <w:tr>
        <w:trPr>
          <w:trHeight w:val="53"/>
        </w:trPr>
        <w:tc>
          <w:tcPr>
            <w:tcW w:w="740" w:type="dxa"/>
            <w:vAlign w:val="bottom"/>
          </w:tcPr>
          <w:p>
            <w:pPr>
              <w:spacing w:after="0"/>
              <w:rPr>
                <w:sz w:val="4"/>
                <w:szCs w:val="4"/>
                <w:color w:val="auto"/>
              </w:rPr>
            </w:pPr>
          </w:p>
        </w:tc>
        <w:tc>
          <w:tcPr>
            <w:tcW w:w="7460" w:type="dxa"/>
            <w:vAlign w:val="bottom"/>
            <w:vMerge w:val="continue"/>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BioThrax [**] product</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Expiry dating upon date of delivery:</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No less than [**] Months and no more than [**] months for [**]-year</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product at a unit price of [**]</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 w:type="dxa"/>
            <w:vAlign w:val="bottom"/>
          </w:tcPr>
          <w:p>
            <w:pPr>
              <w:spacing w:after="0"/>
              <w:rPr>
                <w:sz w:val="24"/>
                <w:szCs w:val="24"/>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Quantity: [**]</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Unit Price: [**]</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Total Value: $27,927,000.00</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 w:type="dxa"/>
            <w:vAlign w:val="bottom"/>
          </w:tcPr>
          <w:p>
            <w:pPr>
              <w:spacing w:after="0"/>
              <w:rPr>
                <w:sz w:val="24"/>
                <w:szCs w:val="24"/>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Total dollar value ordered under Item 3 is increased by</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$27,927,000.00 from $[**] to $[**].</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Delivery Address: Contractor’s Facility</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Delivery is estimated to occur by NLT [**]</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Amount: $[**]</w:t>
      </w:r>
    </w:p>
    <w:p>
      <w:pPr>
        <w:ind w:left="1420"/>
        <w:spacing w:after="0" w:line="234" w:lineRule="auto"/>
        <w:rPr>
          <w:sz w:val="20"/>
          <w:szCs w:val="20"/>
          <w:color w:val="auto"/>
        </w:rPr>
      </w:pPr>
      <w:r>
        <w:rPr>
          <w:rFonts w:ascii="Arial" w:cs="Arial" w:eastAsia="Arial" w:hAnsi="Arial"/>
          <w:sz w:val="18"/>
          <w:szCs w:val="18"/>
          <w:color w:val="auto"/>
        </w:rPr>
        <w:t>Accounting Info:</w:t>
      </w:r>
    </w:p>
    <w:p>
      <w:pPr>
        <w:spacing w:after="0" w:line="1" w:lineRule="exact"/>
        <w:rPr>
          <w:sz w:val="20"/>
          <w:szCs w:val="20"/>
          <w:color w:val="auto"/>
        </w:rPr>
      </w:pPr>
    </w:p>
    <w:p>
      <w:pPr>
        <w:ind w:left="1420" w:right="7760" w:firstLine="6"/>
        <w:spacing w:after="0"/>
        <w:tabs>
          <w:tab w:leader="none" w:pos="17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 Yr.: 2019 CAN: [**] Object Class: 26402 Funded: $0.00</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Amount: $[**]</w:t>
      </w:r>
    </w:p>
    <w:p>
      <w:pPr>
        <w:ind w:left="1420"/>
        <w:spacing w:after="0" w:line="234" w:lineRule="auto"/>
        <w:rPr>
          <w:sz w:val="20"/>
          <w:szCs w:val="20"/>
          <w:color w:val="auto"/>
        </w:rPr>
      </w:pPr>
      <w:r>
        <w:rPr>
          <w:rFonts w:ascii="Arial" w:cs="Arial" w:eastAsia="Arial" w:hAnsi="Arial"/>
          <w:sz w:val="18"/>
          <w:szCs w:val="18"/>
          <w:color w:val="auto"/>
        </w:rPr>
        <w:t>Accounting Info:</w:t>
      </w:r>
    </w:p>
    <w:p>
      <w:pPr>
        <w:spacing w:after="0" w:line="1" w:lineRule="exact"/>
        <w:rPr>
          <w:sz w:val="20"/>
          <w:szCs w:val="20"/>
          <w:color w:val="auto"/>
        </w:rPr>
      </w:pPr>
    </w:p>
    <w:p>
      <w:pPr>
        <w:ind w:left="1420" w:right="7760" w:firstLine="6"/>
        <w:spacing w:after="0"/>
        <w:tabs>
          <w:tab w:leader="none" w:pos="17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 Yr.: 2019 CAN: [**] Object Class: 26402 Funded: $0.00</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Amount: $27,927,000.00</w:t>
      </w:r>
    </w:p>
    <w:p>
      <w:pPr>
        <w:ind w:left="1420"/>
        <w:spacing w:after="0" w:line="234" w:lineRule="auto"/>
        <w:rPr>
          <w:sz w:val="20"/>
          <w:szCs w:val="20"/>
          <w:color w:val="auto"/>
        </w:rPr>
      </w:pPr>
      <w:r>
        <w:rPr>
          <w:rFonts w:ascii="Arial" w:cs="Arial" w:eastAsia="Arial" w:hAnsi="Arial"/>
          <w:sz w:val="18"/>
          <w:szCs w:val="18"/>
          <w:color w:val="auto"/>
        </w:rPr>
        <w:t>Accounting Info:</w:t>
      </w:r>
    </w:p>
    <w:p>
      <w:pPr>
        <w:spacing w:after="0" w:line="1" w:lineRule="exact"/>
        <w:rPr>
          <w:sz w:val="20"/>
          <w:szCs w:val="20"/>
          <w:color w:val="auto"/>
        </w:rPr>
      </w:pPr>
    </w:p>
    <w:p>
      <w:pPr>
        <w:ind w:left="1420" w:right="7240" w:firstLine="6"/>
        <w:spacing w:after="0" w:line="234" w:lineRule="auto"/>
        <w:tabs>
          <w:tab w:leader="none" w:pos="17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 Yr.: 2019 CAN: 199SNS1 Object Class: 26402</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Funded: $27,927,000.00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color w:val="auto"/>
        </w:rPr>
        <w:t>NSN 7540-01-152-8067</w:t>
        <w:tab/>
        <w:t>OPTIONAL FORM 336 (4-86)</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Sponsored by GSA</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FAR (48 CFR) 53.110</w:t>
      </w:r>
    </w:p>
    <w:p>
      <w:pPr>
        <w:sectPr>
          <w:pgSz w:w="11900" w:h="16838" w:orient="portrait"/>
          <w:cols w:equalWidth="0" w:num="1">
            <w:col w:w="11440"/>
          </w:cols>
          <w:pgMar w:left="240" w:top="140" w:right="219" w:bottom="1440" w:gutter="0" w:footer="0" w:header="0"/>
        </w:sectPr>
      </w:pPr>
    </w:p>
    <w:bookmarkStart w:id="72" w:name="page73"/>
    <w:bookmarkEnd w:id="72"/>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AMENDED AND RESTATED CREDIT AGREEMENT</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FIRST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June 27, 2019, among EMERGENT BIOSOLUTIONS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(as defined in the Credit Agreement referred to below) party hereto, the Lenders party hereto (the “</w:t>
      </w:r>
      <w:r>
        <w:rPr>
          <w:rFonts w:ascii="Arial" w:cs="Arial" w:eastAsia="Arial" w:hAnsi="Arial"/>
          <w:sz w:val="18"/>
          <w:szCs w:val="18"/>
          <w:u w:val="single" w:color="auto"/>
          <w:color w:val="auto"/>
        </w:rPr>
        <w:t>Consenting Lenders</w:t>
      </w:r>
      <w:r>
        <w:rPr>
          <w:rFonts w:ascii="Arial" w:cs="Arial" w:eastAsia="Arial" w:hAnsi="Arial"/>
          <w:sz w:val="18"/>
          <w:szCs w:val="18"/>
          <w:color w:val="auto"/>
        </w:rPr>
        <w:t>”), and WELLS FARGO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indicated, all capitalized terms used herein and not otherwise defined herein shall have the respective meanings provided such terms in the Credit Agreement referred to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the Borrower, the lenders party thereto from time to time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entered into that certain Amended and Restated Credit Agreement, dated as of October 15, 2018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Existing Credit Agreement, as amended by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5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WHEREAS, the Borrower has requested, and subject to the terms and conditions set forth herein, the Administrative Agent and the Consenting Lenders have agreed, to certain amendments to the Existing Credit Agreement as more specifically set forth herein;</w:t>
      </w:r>
    </w:p>
    <w:p>
      <w:pPr>
        <w:spacing w:after="0" w:line="15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it is agreed as follows: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Amendments to Existing Credit Agreement</w:t>
      </w:r>
      <w:r>
        <w:rPr>
          <w:rFonts w:ascii="Arial" w:cs="Arial" w:eastAsia="Arial" w:hAnsi="Arial"/>
          <w:sz w:val="20"/>
          <w:szCs w:val="20"/>
          <w:color w:val="auto"/>
        </w:rPr>
        <w:t xml:space="preserve">. Effective as of the Amendment Effective Date (as defined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w:t>
      </w:r>
      <w:r>
        <w:rPr>
          <w:rFonts w:ascii="Arial" w:cs="Arial" w:eastAsia="Arial" w:hAnsi="Arial"/>
          <w:sz w:val="20"/>
          <w:szCs w:val="20"/>
          <w:color w:val="auto"/>
        </w:rPr>
        <w:t xml:space="preserve"> below) and subject to the terms and conditions set forth herein and in reliance upon the representations and warranties set forth herein, the Existing Credit Agreement is hereby amended as follows: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8"/>
          <w:szCs w:val="18"/>
          <w:u w:val="single" w:color="auto"/>
          <w:color w:val="auto"/>
        </w:rPr>
        <w:t xml:space="preserve">Article I </w:t>
      </w:r>
      <w:r>
        <w:rPr>
          <w:rFonts w:ascii="Arial" w:cs="Arial" w:eastAsia="Arial" w:hAnsi="Arial"/>
          <w:sz w:val="18"/>
          <w:szCs w:val="18"/>
          <w:color w:val="auto"/>
        </w:rPr>
        <w:t>of the Existing Credit Agreement is hereby amended by adding the following defined terms in appropriate alphabetical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order:</w:t>
      </w:r>
    </w:p>
    <w:p>
      <w:pPr>
        <w:spacing w:after="0" w:line="22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Covenant Relief Period</w:t>
      </w:r>
      <w:r>
        <w:rPr>
          <w:rFonts w:ascii="Arial" w:cs="Arial" w:eastAsia="Arial" w:hAnsi="Arial"/>
          <w:sz w:val="20"/>
          <w:szCs w:val="20"/>
          <w:color w:val="auto"/>
        </w:rPr>
        <w:t xml:space="preserve">” means the period commencing with the First Amendment Effective Date and ending on the date that the Borrower provides the financial statements referred to in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for the fiscal year ended December 31, 2019, together with a duly completed Compliance Certificate for such period pursuant to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demonstrating compliance with the financial covenants set forth in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June 27, 2019.</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204" w:lineRule="exact"/>
        <w:rPr>
          <w:sz w:val="20"/>
          <w:szCs w:val="20"/>
          <w:color w:val="auto"/>
        </w:rPr>
      </w:pPr>
    </w:p>
    <w:p>
      <w:pPr>
        <w:ind w:right="20" w:firstLine="656"/>
        <w:spacing w:after="0" w:line="265" w:lineRule="auto"/>
        <w:tabs>
          <w:tab w:leader="none" w:pos="1080" w:val="left"/>
        </w:tabs>
        <w:numPr>
          <w:ilvl w:val="0"/>
          <w:numId w:val="77"/>
        </w:numPr>
        <w:rPr>
          <w:rFonts w:ascii="Arial" w:cs="Arial" w:eastAsia="Arial" w:hAnsi="Arial"/>
          <w:sz w:val="22"/>
          <w:szCs w:val="22"/>
          <w:color w:val="auto"/>
        </w:rPr>
      </w:pPr>
      <w:r>
        <w:rPr>
          <w:rFonts w:ascii="Arial" w:cs="Arial" w:eastAsia="Arial" w:hAnsi="Arial"/>
          <w:sz w:val="20"/>
          <w:szCs w:val="20"/>
          <w:u w:val="single" w:color="auto"/>
          <w:color w:val="auto"/>
        </w:rPr>
        <w:t>Article I</w:t>
      </w:r>
      <w:r>
        <w:rPr>
          <w:rFonts w:ascii="Arial" w:cs="Arial" w:eastAsia="Arial" w:hAnsi="Arial"/>
          <w:sz w:val="20"/>
          <w:szCs w:val="20"/>
          <w:color w:val="auto"/>
        </w:rPr>
        <w:t xml:space="preserve"> of the Existing Credit Agreement is hereby amended by adding the following new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thereto and in connection therewith the table of contents shall be amended to include a reference to “SECTION 1.16 Divisions”:</w:t>
      </w:r>
    </w:p>
    <w:p>
      <w:pPr>
        <w:spacing w:after="0" w:line="183"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92" w:lineRule="exact"/>
        <w:rPr>
          <w:sz w:val="20"/>
          <w:szCs w:val="20"/>
          <w:color w:val="auto"/>
        </w:rPr>
      </w:pPr>
    </w:p>
    <w:p>
      <w:pPr>
        <w:jc w:val="both"/>
        <w:ind w:firstLine="656"/>
        <w:spacing w:after="0" w:line="265" w:lineRule="auto"/>
        <w:tabs>
          <w:tab w:leader="none" w:pos="1122" w:val="left"/>
        </w:tabs>
        <w:numPr>
          <w:ilvl w:val="0"/>
          <w:numId w:val="78"/>
        </w:numPr>
        <w:rPr>
          <w:rFonts w:ascii="Arial" w:cs="Arial" w:eastAsia="Arial" w:hAnsi="Arial"/>
          <w:sz w:val="22"/>
          <w:szCs w:val="22"/>
          <w:color w:val="auto"/>
        </w:rPr>
      </w:pPr>
      <w:r>
        <w:rPr>
          <w:rFonts w:ascii="Arial" w:cs="Arial" w:eastAsia="Arial" w:hAnsi="Arial"/>
          <w:sz w:val="20"/>
          <w:szCs w:val="20"/>
          <w:u w:val="single" w:color="auto"/>
          <w:color w:val="auto"/>
        </w:rPr>
        <w:t>Section 5.13(a)</w:t>
      </w:r>
      <w:r>
        <w:rPr>
          <w:rFonts w:ascii="Arial" w:cs="Arial" w:eastAsia="Arial" w:hAnsi="Arial"/>
          <w:sz w:val="20"/>
          <w:szCs w:val="20"/>
          <w:color w:val="auto"/>
        </w:rPr>
        <w:t xml:space="preserve"> of the Existing Credit Agreement is hereby amended by adding the parenthetical “(without giving effect to the increased maximum Consolidated Net Leverage Ratio levels permitted during the Covenant Relief Period set forth in </w:t>
      </w:r>
      <w:r>
        <w:rPr>
          <w:rFonts w:ascii="Arial" w:cs="Arial" w:eastAsia="Arial" w:hAnsi="Arial"/>
          <w:sz w:val="20"/>
          <w:szCs w:val="20"/>
          <w:u w:val="single" w:color="auto"/>
          <w:color w:val="auto"/>
        </w:rPr>
        <w:t>Section 9.11(b)</w:t>
      </w:r>
      <w:r>
        <w:rPr>
          <w:rFonts w:ascii="Arial" w:cs="Arial" w:eastAsia="Arial" w:hAnsi="Arial"/>
          <w:sz w:val="20"/>
          <w:szCs w:val="20"/>
          <w:color w:val="auto"/>
        </w:rPr>
        <w:t>)” immediately following the reference to “</w:t>
      </w:r>
      <w:r>
        <w:rPr>
          <w:rFonts w:ascii="Arial" w:cs="Arial" w:eastAsia="Arial" w:hAnsi="Arial"/>
          <w:sz w:val="20"/>
          <w:szCs w:val="20"/>
          <w:u w:val="single" w:color="auto"/>
          <w:color w:val="auto"/>
        </w:rPr>
        <w:t>Section 9.11</w:t>
      </w:r>
      <w:r>
        <w:rPr>
          <w:rFonts w:ascii="Arial" w:cs="Arial" w:eastAsia="Arial" w:hAnsi="Arial"/>
          <w:sz w:val="20"/>
          <w:szCs w:val="20"/>
          <w:color w:val="auto"/>
        </w:rPr>
        <w:t>” in proviso (B) of such Section.</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188" w:val="left"/>
        </w:tabs>
        <w:numPr>
          <w:ilvl w:val="0"/>
          <w:numId w:val="78"/>
        </w:numPr>
        <w:rPr>
          <w:rFonts w:ascii="Arial" w:cs="Arial" w:eastAsia="Arial" w:hAnsi="Arial"/>
          <w:sz w:val="22"/>
          <w:szCs w:val="22"/>
          <w:color w:val="auto"/>
        </w:rPr>
      </w:pP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of the Existing Credit Agreement is hereby amended by adding the parenthetical “(without giving effect to the increased maximum Consolidated Net Leverage Ratio levels permitted during the Covenant Relief Period set forth in </w:t>
      </w:r>
      <w:r>
        <w:rPr>
          <w:rFonts w:ascii="Arial" w:cs="Arial" w:eastAsia="Arial" w:hAnsi="Arial"/>
          <w:sz w:val="20"/>
          <w:szCs w:val="20"/>
          <w:u w:val="single" w:color="auto"/>
          <w:color w:val="auto"/>
        </w:rPr>
        <w:t>Section 9.11(b)</w:t>
      </w:r>
      <w:r>
        <w:rPr>
          <w:rFonts w:ascii="Arial" w:cs="Arial" w:eastAsia="Arial" w:hAnsi="Arial"/>
          <w:sz w:val="20"/>
          <w:szCs w:val="20"/>
          <w:color w:val="auto"/>
        </w:rPr>
        <w:t>)” immediately following the reference to “</w:t>
      </w:r>
      <w:r>
        <w:rPr>
          <w:rFonts w:ascii="Arial" w:cs="Arial" w:eastAsia="Arial" w:hAnsi="Arial"/>
          <w:sz w:val="20"/>
          <w:szCs w:val="20"/>
          <w:u w:val="single" w:color="auto"/>
          <w:color w:val="auto"/>
        </w:rPr>
        <w:t>Section 9.11</w:t>
      </w:r>
      <w:r>
        <w:rPr>
          <w:rFonts w:ascii="Arial" w:cs="Arial" w:eastAsia="Arial" w:hAnsi="Arial"/>
          <w:sz w:val="20"/>
          <w:szCs w:val="20"/>
          <w:color w:val="auto"/>
        </w:rPr>
        <w:t>” in clause (g)(iv)(A) of such Section.</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190" w:val="left"/>
        </w:tabs>
        <w:numPr>
          <w:ilvl w:val="0"/>
          <w:numId w:val="78"/>
        </w:numPr>
        <w:rPr>
          <w:rFonts w:ascii="Arial" w:cs="Arial" w:eastAsia="Arial" w:hAnsi="Arial"/>
          <w:sz w:val="22"/>
          <w:szCs w:val="22"/>
          <w:color w:val="auto"/>
        </w:rPr>
      </w:pP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of the Existing Credit Agreement is hereby amended by adding the parenthetical “(without giving effect to the increased maximum Consolidated Net Leverage Ratio levels permitted during the Covenant Relief Period set forth in </w:t>
      </w:r>
      <w:r>
        <w:rPr>
          <w:rFonts w:ascii="Arial" w:cs="Arial" w:eastAsia="Arial" w:hAnsi="Arial"/>
          <w:sz w:val="20"/>
          <w:szCs w:val="20"/>
          <w:u w:val="single" w:color="auto"/>
          <w:color w:val="auto"/>
        </w:rPr>
        <w:t>Section 9.11(b)</w:t>
      </w:r>
      <w:r>
        <w:rPr>
          <w:rFonts w:ascii="Arial" w:cs="Arial" w:eastAsia="Arial" w:hAnsi="Arial"/>
          <w:sz w:val="20"/>
          <w:szCs w:val="20"/>
          <w:color w:val="auto"/>
        </w:rPr>
        <w:t>)” immediately following the reference to “</w:t>
      </w:r>
      <w:r>
        <w:rPr>
          <w:rFonts w:ascii="Arial" w:cs="Arial" w:eastAsia="Arial" w:hAnsi="Arial"/>
          <w:sz w:val="20"/>
          <w:szCs w:val="20"/>
          <w:u w:val="single" w:color="auto"/>
          <w:color w:val="auto"/>
        </w:rPr>
        <w:t>Section 9.11(b)</w:t>
      </w:r>
      <w:r>
        <w:rPr>
          <w:rFonts w:ascii="Arial" w:cs="Arial" w:eastAsia="Arial" w:hAnsi="Arial"/>
          <w:sz w:val="20"/>
          <w:szCs w:val="20"/>
          <w:color w:val="auto"/>
        </w:rPr>
        <w:t>” in clause (h)(ii)(A) of such Section.</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058" w:val="left"/>
        </w:tabs>
        <w:numPr>
          <w:ilvl w:val="0"/>
          <w:numId w:val="78"/>
        </w:numPr>
        <w:rPr>
          <w:rFonts w:ascii="Arial" w:cs="Arial" w:eastAsia="Arial" w:hAnsi="Arial"/>
          <w:sz w:val="22"/>
          <w:szCs w:val="22"/>
          <w:color w:val="auto"/>
        </w:rPr>
      </w:pPr>
      <w:r>
        <w:rPr>
          <w:rFonts w:ascii="Arial" w:cs="Arial" w:eastAsia="Arial" w:hAnsi="Arial"/>
          <w:sz w:val="20"/>
          <w:szCs w:val="20"/>
          <w:u w:val="single" w:color="auto"/>
          <w:color w:val="auto"/>
        </w:rPr>
        <w:t>Section 9.6</w:t>
      </w:r>
      <w:r>
        <w:rPr>
          <w:rFonts w:ascii="Arial" w:cs="Arial" w:eastAsia="Arial" w:hAnsi="Arial"/>
          <w:sz w:val="20"/>
          <w:szCs w:val="20"/>
          <w:color w:val="auto"/>
        </w:rPr>
        <w:t xml:space="preserve"> of the Existing Credit Agreement is hereby amended by replacing the proviso at the end of clause (d) of such Section with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Restricted Payments made pursuant to this </w:t>
      </w:r>
      <w:r>
        <w:rPr>
          <w:rFonts w:ascii="Arial" w:cs="Arial" w:eastAsia="Arial" w:hAnsi="Arial"/>
          <w:sz w:val="20"/>
          <w:szCs w:val="20"/>
          <w:u w:val="single" w:color="auto"/>
          <w:color w:val="auto"/>
        </w:rPr>
        <w:t>Section 9.6(d)</w:t>
      </w:r>
      <w:r>
        <w:rPr>
          <w:rFonts w:ascii="Arial" w:cs="Arial" w:eastAsia="Arial" w:hAnsi="Arial"/>
          <w:sz w:val="20"/>
          <w:szCs w:val="20"/>
          <w:color w:val="auto"/>
        </w:rPr>
        <w:t xml:space="preserve"> shall not exceed (x) $100,000,000 per calendar year and (y) $25,000,000 during the Covenant Relief Period;”.</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094" w:val="left"/>
        </w:tabs>
        <w:numPr>
          <w:ilvl w:val="0"/>
          <w:numId w:val="78"/>
        </w:numPr>
        <w:rPr>
          <w:rFonts w:ascii="Arial" w:cs="Arial" w:eastAsia="Arial" w:hAnsi="Arial"/>
          <w:sz w:val="22"/>
          <w:szCs w:val="22"/>
          <w:color w:val="auto"/>
        </w:rPr>
      </w:pP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of the Existing Credit Agreement is hereby amended by (i) replacing the word “Permit” in the first sentence of such Section with “Subject to the sentence below during the Covenant Relief Period, permit” and (ii) adding the following paragraph to the end of clause (b) of such Section as follows:</w:t>
      </w:r>
    </w:p>
    <w:p>
      <w:pPr>
        <w:spacing w:after="0" w:line="185"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 xml:space="preserve">“Notwithstanding any of the foregoing, the maximum Consolidated Net Leverage Ratio permitted pursuant to </w:t>
      </w:r>
      <w:r>
        <w:rPr>
          <w:rFonts w:ascii="Arial" w:cs="Arial" w:eastAsia="Arial" w:hAnsi="Arial"/>
          <w:sz w:val="18"/>
          <w:szCs w:val="18"/>
          <w:u w:val="single" w:color="auto"/>
          <w:color w:val="auto"/>
        </w:rPr>
        <w:t>Section 9.11(b)</w:t>
      </w:r>
      <w:r>
        <w:rPr>
          <w:rFonts w:ascii="Arial" w:cs="Arial" w:eastAsia="Arial" w:hAnsi="Arial"/>
          <w:sz w:val="18"/>
          <w:szCs w:val="18"/>
          <w:color w:val="auto"/>
        </w:rPr>
        <w:t xml:space="preserve"> during the Covenant Relief Period as of the last day of the applicable Measurement Period of the Borrower shall be (x) 4.95 to 1.00 for the</w:t>
      </w:r>
    </w:p>
    <w:p>
      <w:pPr>
        <w:sectPr>
          <w:pgSz w:w="11900" w:h="16926" w:orient="portrait"/>
          <w:cols w:equalWidth="0" w:num="1">
            <w:col w:w="11420"/>
          </w:cols>
          <w:pgMar w:left="240" w:top="121" w:right="239" w:bottom="0" w:gutter="0" w:footer="0" w:header="0"/>
        </w:sectPr>
      </w:pPr>
    </w:p>
    <w:bookmarkStart w:id="73" w:name="page74"/>
    <w:bookmarkEnd w:id="73"/>
    <w:p>
      <w:pPr>
        <w:ind w:left="660"/>
        <w:spacing w:after="0" w:line="317" w:lineRule="auto"/>
        <w:rPr>
          <w:sz w:val="20"/>
          <w:szCs w:val="20"/>
          <w:color w:val="auto"/>
        </w:rPr>
      </w:pPr>
      <w:r>
        <w:rPr>
          <w:rFonts w:ascii="Arial" w:cs="Arial" w:eastAsia="Arial" w:hAnsi="Arial"/>
          <w:sz w:val="18"/>
          <w:szCs w:val="18"/>
          <w:color w:val="auto"/>
        </w:rPr>
        <w:t xml:space="preserve">fiscal quarter ended June 30, 2019 and (y) 4.75 to 1.00 for the fiscal quarter ended September 30, 2019, after which the maximum Consolidated Net Leverage Ratio permitted pursuant to this </w:t>
      </w:r>
      <w:r>
        <w:rPr>
          <w:rFonts w:ascii="Arial" w:cs="Arial" w:eastAsia="Arial" w:hAnsi="Arial"/>
          <w:sz w:val="18"/>
          <w:szCs w:val="18"/>
          <w:u w:val="single" w:color="auto"/>
          <w:color w:val="auto"/>
        </w:rPr>
        <w:t>Section 9.11(b)</w:t>
      </w:r>
      <w:r>
        <w:rPr>
          <w:rFonts w:ascii="Arial" w:cs="Arial" w:eastAsia="Arial" w:hAnsi="Arial"/>
          <w:sz w:val="18"/>
          <w:szCs w:val="18"/>
          <w:color w:val="auto"/>
        </w:rPr>
        <w:t xml:space="preserve"> shall be subject to the levels set forth in the table above.”</w:t>
      </w:r>
    </w:p>
    <w:p>
      <w:pPr>
        <w:spacing w:after="0" w:line="157" w:lineRule="exact"/>
        <w:rPr>
          <w:sz w:val="20"/>
          <w:szCs w:val="20"/>
          <w:color w:val="auto"/>
        </w:rPr>
      </w:pPr>
    </w:p>
    <w:p>
      <w:pPr>
        <w:jc w:val="both"/>
        <w:ind w:firstLine="656"/>
        <w:spacing w:after="0" w:line="265" w:lineRule="auto"/>
        <w:tabs>
          <w:tab w:leader="none" w:pos="1188" w:val="left"/>
        </w:tabs>
        <w:numPr>
          <w:ilvl w:val="0"/>
          <w:numId w:val="79"/>
        </w:numPr>
        <w:rPr>
          <w:rFonts w:ascii="Arial" w:cs="Arial" w:eastAsia="Arial" w:hAnsi="Arial"/>
          <w:sz w:val="22"/>
          <w:szCs w:val="22"/>
          <w:color w:val="auto"/>
        </w:rPr>
      </w:pP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of the Existing Credit Agreement is hereby amended by adding the following new </w:t>
      </w:r>
      <w:r>
        <w:rPr>
          <w:rFonts w:ascii="Arial" w:cs="Arial" w:eastAsia="Arial" w:hAnsi="Arial"/>
          <w:sz w:val="20"/>
          <w:szCs w:val="20"/>
          <w:u w:val="single" w:color="auto"/>
          <w:color w:val="auto"/>
        </w:rPr>
        <w:t>Section 12.26</w:t>
      </w:r>
      <w:r>
        <w:rPr>
          <w:rFonts w:ascii="Arial" w:cs="Arial" w:eastAsia="Arial" w:hAnsi="Arial"/>
          <w:sz w:val="20"/>
          <w:szCs w:val="20"/>
          <w:color w:val="auto"/>
        </w:rPr>
        <w:t xml:space="preserve"> thereto and in connection therewith the table of contents shall be amended to include a reference to “SECTION 12.26 Acknowledgement Regarding Any Supported QFCs”:</w:t>
      </w:r>
    </w:p>
    <w:p>
      <w:pPr>
        <w:spacing w:after="0" w:line="185"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20"/>
          <w:szCs w:val="20"/>
          <w:color w:val="auto"/>
        </w:rPr>
        <w:t xml:space="preserve">“SECTION 12.26 </w:t>
      </w:r>
      <w:r>
        <w:rPr>
          <w:rFonts w:ascii="Arial" w:cs="Arial" w:eastAsia="Arial" w:hAnsi="Arial"/>
          <w:sz w:val="20"/>
          <w:szCs w:val="20"/>
          <w:u w:val="single" w:color="auto"/>
          <w:color w:val="auto"/>
        </w:rPr>
        <w:t>Acknowledgement Regarding Any Supported QFCs</w:t>
      </w:r>
      <w:r>
        <w:rPr>
          <w:rFonts w:ascii="Arial" w:cs="Arial" w:eastAsia="Arial" w:hAnsi="Arial"/>
          <w:sz w:val="20"/>
          <w:szCs w:val="20"/>
          <w:color w:val="auto"/>
        </w:rPr>
        <w:t>. To the extent that the Loan Documents provide support, through a guarantee or otherwise, for Hedge Agreements or any other agreement or instrument that is a QFC (such support, “</w:t>
      </w:r>
      <w:r>
        <w:rPr>
          <w:rFonts w:ascii="Arial" w:cs="Arial" w:eastAsia="Arial" w:hAnsi="Arial"/>
          <w:sz w:val="20"/>
          <w:szCs w:val="20"/>
          <w:u w:val="single" w:color="auto"/>
          <w:color w:val="auto"/>
        </w:rPr>
        <w:t>QFC Credit 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25" w:lineRule="exact"/>
        <w:rPr>
          <w:sz w:val="20"/>
          <w:szCs w:val="20"/>
          <w:color w:val="auto"/>
        </w:rPr>
      </w:pPr>
    </w:p>
    <w:p>
      <w:pPr>
        <w:jc w:val="both"/>
        <w:ind w:left="660" w:firstLine="645"/>
        <w:spacing w:after="0" w:line="300" w:lineRule="auto"/>
        <w:tabs>
          <w:tab w:leader="none" w:pos="1728" w:val="left"/>
        </w:tabs>
        <w:numPr>
          <w:ilvl w:val="1"/>
          <w:numId w:val="80"/>
        </w:numPr>
        <w:rPr>
          <w:rFonts w:ascii="Arial" w:cs="Arial" w:eastAsia="Arial" w:hAnsi="Arial"/>
          <w:sz w:val="19"/>
          <w:szCs w:val="19"/>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rFonts w:ascii="Arial" w:cs="Arial" w:eastAsia="Arial" w:hAnsi="Arial"/>
          <w:sz w:val="19"/>
          <w:szCs w:val="19"/>
          <w:color w:val="auto"/>
        </w:rPr>
      </w:pPr>
    </w:p>
    <w:p>
      <w:pPr>
        <w:ind w:left="1080" w:hanging="424"/>
        <w:spacing w:after="0"/>
        <w:tabs>
          <w:tab w:leader="none" w:pos="1080" w:val="left"/>
        </w:tabs>
        <w:numPr>
          <w:ilvl w:val="0"/>
          <w:numId w:val="81"/>
        </w:numPr>
        <w:rPr>
          <w:rFonts w:ascii="Arial" w:cs="Arial" w:eastAsia="Arial" w:hAnsi="Arial"/>
          <w:sz w:val="22"/>
          <w:szCs w:val="22"/>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12.26</w:t>
      </w:r>
      <w:r>
        <w:rPr>
          <w:rFonts w:ascii="Arial" w:cs="Arial" w:eastAsia="Arial" w:hAnsi="Arial"/>
          <w:sz w:val="20"/>
          <w:szCs w:val="20"/>
          <w:color w:val="auto"/>
        </w:rPr>
        <w:t>, the following terms have the following meanings:</w:t>
      </w:r>
    </w:p>
    <w:p>
      <w:pPr>
        <w:spacing w:after="0" w:line="209" w:lineRule="exact"/>
        <w:rPr>
          <w:sz w:val="20"/>
          <w:szCs w:val="20"/>
          <w:color w:val="auto"/>
        </w:rPr>
      </w:pPr>
    </w:p>
    <w:p>
      <w:pPr>
        <w:ind w:left="660" w:right="5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1620" w:hanging="315"/>
        <w:spacing w:after="0"/>
        <w:tabs>
          <w:tab w:leader="none" w:pos="1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15" w:lineRule="exact"/>
        <w:rPr>
          <w:rFonts w:ascii="Arial" w:cs="Arial" w:eastAsia="Arial" w:hAnsi="Arial"/>
          <w:sz w:val="20"/>
          <w:szCs w:val="20"/>
          <w:color w:val="auto"/>
        </w:rPr>
      </w:pPr>
    </w:p>
    <w:p>
      <w:pPr>
        <w:ind w:left="1620" w:hanging="315"/>
        <w:spacing w:after="0"/>
        <w:tabs>
          <w:tab w:leader="none" w:pos="1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15" w:lineRule="exact"/>
        <w:rPr>
          <w:rFonts w:ascii="Arial" w:cs="Arial" w:eastAsia="Arial" w:hAnsi="Arial"/>
          <w:sz w:val="20"/>
          <w:szCs w:val="20"/>
          <w:color w:val="auto"/>
        </w:rPr>
      </w:pPr>
    </w:p>
    <w:p>
      <w:pPr>
        <w:ind w:left="1620" w:hanging="315"/>
        <w:spacing w:after="0"/>
        <w:tabs>
          <w:tab w:leader="none" w:pos="1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216" w:lineRule="exact"/>
        <w:rPr>
          <w:sz w:val="20"/>
          <w:szCs w:val="20"/>
          <w:color w:val="auto"/>
        </w:rPr>
      </w:pPr>
    </w:p>
    <w:p>
      <w:pPr>
        <w:ind w:left="660" w:right="3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of Effectiveness of Amendment</w:t>
      </w:r>
      <w:r>
        <w:rPr>
          <w:rFonts w:ascii="Arial" w:cs="Arial" w:eastAsia="Arial" w:hAnsi="Arial"/>
          <w:sz w:val="20"/>
          <w:szCs w:val="20"/>
          <w:color w:val="auto"/>
        </w:rPr>
        <w:t xml:space="preserve">. This Amendment, and the amendments set forth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above, shall become effective on the date (such 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when the Administrative Agent shall have received this Amendment, duly executed by a Responsible Officer of the Borrower, the Guarantors existing as of the Amendment Effective Date, the Administrative Agent and the Required Lenders.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Administrative Agent and the Lenders to enter into this Amendment, each Credit Party represents and warrants to the Administrative Agent and the Lenders on and as of the Amendment Effective Date that, in each case:</w:t>
      </w:r>
    </w:p>
    <w:p>
      <w:pPr>
        <w:spacing w:after="0" w:line="186" w:lineRule="exact"/>
        <w:rPr>
          <w:sz w:val="20"/>
          <w:szCs w:val="20"/>
          <w:color w:val="auto"/>
        </w:rPr>
      </w:pPr>
    </w:p>
    <w:p>
      <w:pPr>
        <w:jc w:val="both"/>
        <w:ind w:firstLine="656"/>
        <w:spacing w:after="0" w:line="243" w:lineRule="auto"/>
        <w:tabs>
          <w:tab w:leader="none" w:pos="1131"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each Credit Party set forth in the Credit Agreement and in each other Loan Document to which it is a party are true and correct in all material respects on and as of the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96" w:lineRule="exact"/>
        <w:rPr>
          <w:rFonts w:ascii="Arial" w:cs="Arial" w:eastAsia="Arial" w:hAnsi="Arial"/>
          <w:sz w:val="20"/>
          <w:szCs w:val="20"/>
          <w:color w:val="auto"/>
        </w:rPr>
      </w:pPr>
    </w:p>
    <w:p>
      <w:pPr>
        <w:ind w:left="1080" w:hanging="424"/>
        <w:spacing w:after="0"/>
        <w:tabs>
          <w:tab w:leader="none" w:pos="10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88" w:val="left"/>
        </w:tabs>
        <w:numPr>
          <w:ilvl w:val="0"/>
          <w:numId w:val="83"/>
        </w:numPr>
        <w:rPr>
          <w:rFonts w:ascii="Arial" w:cs="Arial" w:eastAsia="Arial" w:hAnsi="Arial"/>
          <w:sz w:val="20"/>
          <w:szCs w:val="20"/>
          <w:color w:val="auto"/>
        </w:rPr>
      </w:pPr>
      <w:r>
        <w:rPr>
          <w:rFonts w:ascii="Arial" w:cs="Arial" w:eastAsia="Arial" w:hAnsi="Arial"/>
          <w:sz w:val="20"/>
          <w:szCs w:val="20"/>
          <w:color w:val="auto"/>
        </w:rPr>
        <w:t>it has all requisite power and authority and has taken all necessary corporate and other action to authorize the execution, delivery and performance of this Amendment and each other document executed in connection herewith to which it is a party in accordance with their respective terms and the transactions contemplated hereby; and</w:t>
      </w:r>
    </w:p>
    <w:p>
      <w:pPr>
        <w:sectPr>
          <w:pgSz w:w="11900" w:h="16838" w:orient="portrait"/>
          <w:cols w:equalWidth="0" w:num="1">
            <w:col w:w="11420"/>
          </w:cols>
          <w:pgMar w:left="240" w:top="122" w:right="239" w:bottom="23" w:gutter="0" w:footer="0" w:header="0"/>
        </w:sectPr>
      </w:pPr>
    </w:p>
    <w:bookmarkStart w:id="74" w:name="page75"/>
    <w:bookmarkEnd w:id="74"/>
    <w:p>
      <w:pPr>
        <w:jc w:val="both"/>
        <w:ind w:firstLine="656"/>
        <w:spacing w:after="0" w:line="247" w:lineRule="auto"/>
        <w:tabs>
          <w:tab w:leader="none" w:pos="1153"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this Amendment and each other document executed in connection herewith has been duly executed and delivered by the duly authorized officers of each Credit Party, and each such document constitutes the legal, valid and binding obligation of each such Credit Party, enforceable in accordance with its terms, subject to applicable bankruptcy, insolvency, reorganization, moratorium or other laws affecting creditors’ rights generally and subject to general principals of equity.</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Reference to and Effect on the Credit Agreement and the Loan Documents</w:t>
      </w:r>
      <w:r>
        <w:rPr>
          <w:rFonts w:ascii="Arial" w:cs="Arial" w:eastAsia="Arial" w:hAnsi="Arial"/>
          <w:sz w:val="16"/>
          <w:szCs w:val="16"/>
          <w:color w:val="auto"/>
        </w:rPr>
        <w:t>. Except as expressly provided herein, the Existing Credit Agreement and the other Loan Documents shall remain unmodified and in full force and effect. This Amendment shall not be deemed (a) to be a waiver of, or consent to, or a modification or amendment of, any other term or condition of the Existing Credit Agreement or any other Loan Document other than as expressly set forth herein, (b) to prejudice any right or rights which the Administrative Agent or the Lenders may now have or may have in the future under or in connection with the Existing Credit Agreement or the other Loan Documents or any of the instruments or agreements referred to therein, as the same may be amended, restated, supplemented or modified from time to time, or</w:t>
      </w:r>
    </w:p>
    <w:p>
      <w:pPr>
        <w:spacing w:after="0" w:line="4" w:lineRule="exact"/>
        <w:rPr>
          <w:sz w:val="20"/>
          <w:szCs w:val="20"/>
          <w:color w:val="auto"/>
        </w:rPr>
      </w:pPr>
    </w:p>
    <w:p>
      <w:pPr>
        <w:jc w:val="both"/>
        <w:ind w:firstLine="8"/>
        <w:spacing w:after="0" w:line="255" w:lineRule="auto"/>
        <w:tabs>
          <w:tab w:leader="none" w:pos="27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be a commitment or any other undertaking or expression of any willingness to engage in any further discussion with the Borrower, any of its Subsidiaries or any other Person with respect to any other waiver, amendment, modification or any other change to the Existing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Existing Credit Agreement as modified hereby.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Credit Party agrees to, to the extent required by the Loan Documents, make, execute and deliver all such additional and further acts, things, deeds, instruments and documents as the Administrative Agent may reasonably require for the purposes of implementing or effectuating the provisions of this Amendment and the other Loan Documents.</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Acknowledgement and Reaffirmation</w:t>
      </w:r>
      <w:r>
        <w:rPr>
          <w:rFonts w:ascii="Arial" w:cs="Arial" w:eastAsia="Arial" w:hAnsi="Arial"/>
          <w:sz w:val="20"/>
          <w:szCs w:val="20"/>
          <w:color w:val="auto"/>
        </w:rPr>
        <w:t>. Each Credit Party (a) consents to this Amendment and agrees that the transactions contemplated by this Amendment shall not limit or diminish the obligations of such Person under, or release such Person from any obligations under, any of the Loan Documents to which it is a party (as amended pursuant to this Amendment), (b) confirms and reaffirms its obligations under each of the Loan Documents to which it is a party (as amended pursuant to this Amendment) and (c) agrees that each of the Loan Documents to which it is a party (as amended pursuant to this Amendment) remains in full force and effect and is hereby ratified and confirmed.</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Costs and Expenses</w:t>
      </w:r>
      <w:r>
        <w:rPr>
          <w:rFonts w:ascii="Arial" w:cs="Arial" w:eastAsia="Arial" w:hAnsi="Arial"/>
          <w:sz w:val="20"/>
          <w:szCs w:val="20"/>
          <w:color w:val="auto"/>
        </w:rPr>
        <w:t xml:space="preserve">. The Borrower hereby reconfirms its obligations pursuant to </w:t>
      </w:r>
      <w:r>
        <w:rPr>
          <w:rFonts w:ascii="Arial" w:cs="Arial" w:eastAsia="Arial" w:hAnsi="Arial"/>
          <w:sz w:val="20"/>
          <w:szCs w:val="20"/>
          <w:u w:val="single" w:color="auto"/>
          <w:color w:val="auto"/>
        </w:rPr>
        <w:t>Section 12.3(a)</w:t>
      </w:r>
      <w:r>
        <w:rPr>
          <w:rFonts w:ascii="Arial" w:cs="Arial" w:eastAsia="Arial" w:hAnsi="Arial"/>
          <w:sz w:val="20"/>
          <w:szCs w:val="20"/>
          <w:color w:val="auto"/>
        </w:rPr>
        <w:t xml:space="preserve"> of the Credit Agreement to pay and reimburse the Administrative Agent in accordance with the terms thereof.</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by the different parties hereto on separate counterparts, each of which counterparts when executed and delivered shall be an original, but all of which shall together constitute one and the same instrument. Delivery by facsimile or electronic transmission of an executed counterpart of a signature page to this Amendment shall be effective as delivery of an original executed counterpart of this Amendment.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is the entire agreement, and supersedes any prior agreements and contemporaneous oral agreements, of the parties concerning its subject matter. This Amendment is a Loan Document and is subject to the terms and conditions of the Credit Agreement.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shall be binding on and inure to the benefit of the parties hereto and their successors and permitted assigns.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duly authorized officers to execute and deliver this Amendment as of the date first above written.</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EMERGENT BIOSOLUTIONS INC., as Borrower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228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20"/>
          <w:szCs w:val="20"/>
          <w:color w:val="auto"/>
        </w:rPr>
        <w:t>Name: Richard S. Lindahl</w:t>
      </w:r>
    </w:p>
    <w:p>
      <w:pPr>
        <w:ind w:left="4220"/>
        <w:spacing w:after="0"/>
        <w:rPr>
          <w:sz w:val="20"/>
          <w:szCs w:val="20"/>
          <w:color w:val="auto"/>
        </w:rPr>
      </w:pPr>
      <w:r>
        <w:rPr>
          <w:rFonts w:ascii="Arial" w:cs="Arial" w:eastAsia="Arial" w:hAnsi="Arial"/>
          <w:sz w:val="20"/>
          <w:szCs w:val="20"/>
          <w:color w:val="auto"/>
        </w:rPr>
        <w:t>Title: EVP, Chief Financial Officer and Treasurer</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CANGENE BIOPHARMA LLC, as Guarantor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228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20"/>
          <w:szCs w:val="20"/>
          <w:color w:val="auto"/>
        </w:rPr>
        <w:t>Name: Richard S. Lindahl</w:t>
      </w:r>
    </w:p>
    <w:p>
      <w:pPr>
        <w:ind w:left="812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1420"/>
          </w:cols>
          <w:pgMar w:left="240" w:top="122" w:right="239" w:bottom="264" w:gutter="0" w:footer="0" w:header="0"/>
        </w:sectPr>
      </w:pP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EMERGENT BIODEFENSE OPERATIONS LANSING LLC, as Guarantor</w:t>
      </w:r>
    </w:p>
    <w:p>
      <w:pPr>
        <w:sectPr>
          <w:pgSz w:w="11900" w:h="16838" w:orient="portrait"/>
          <w:cols w:equalWidth="0" w:num="1">
            <w:col w:w="11420"/>
          </w:cols>
          <w:pgMar w:left="240" w:top="122" w:right="239" w:bottom="264" w:gutter="0" w:footer="0" w:header="0"/>
          <w:type w:val="continuous"/>
        </w:sectPr>
      </w:pPr>
    </w:p>
    <w:bookmarkStart w:id="75" w:name="page76"/>
    <w:bookmarkEnd w:id="75"/>
    <w:p>
      <w:pPr>
        <w:ind w:left="27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-13970</wp:posOffset>
            </wp:positionV>
            <wp:extent cx="1228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Richard S. Lindahl</w:t>
      </w:r>
    </w:p>
    <w:p>
      <w:pPr>
        <w:ind w:left="692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EMERGENT MANUFACTURING OPERATIONS BALTIMORE LLC, as Guarantor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Richard S. Lindahl</w:t>
      </w:r>
    </w:p>
    <w:p>
      <w:pPr>
        <w:ind w:left="6920"/>
        <w:spacing w:after="0"/>
        <w:rPr>
          <w:sz w:val="20"/>
          <w:szCs w:val="20"/>
          <w:color w:val="auto"/>
        </w:rPr>
      </w:pPr>
      <w:r>
        <w:rPr>
          <w:rFonts w:ascii="Arial" w:cs="Arial" w:eastAsia="Arial" w:hAnsi="Arial"/>
          <w:sz w:val="20"/>
          <w:szCs w:val="20"/>
          <w:color w:val="auto"/>
        </w:rPr>
        <w:t>Title: Executive Manager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EMERGENT PRODUCT DEVELOPMENT GAITHERSBURG INC., as Guarantor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Richard S. Lindahl</w:t>
      </w:r>
    </w:p>
    <w:p>
      <w:pPr>
        <w:ind w:left="692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EMERGENT INTERNATIONAL INC., as Guarantor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Richard S. Lindahl</w:t>
      </w:r>
    </w:p>
    <w:p>
      <w:pPr>
        <w:ind w:left="692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EMERGENT TRAVEL HEALTH INC. (FORMERLY</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KNOWN AS PAXVAX, INC.), as Guarantor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Richard S. Lindahl</w:t>
      </w:r>
    </w:p>
    <w:p>
      <w:pPr>
        <w:ind w:left="6920"/>
        <w:spacing w:after="0"/>
        <w:rPr>
          <w:sz w:val="20"/>
          <w:szCs w:val="20"/>
          <w:color w:val="auto"/>
        </w:rPr>
      </w:pPr>
      <w:r>
        <w:rPr>
          <w:rFonts w:ascii="Arial" w:cs="Arial" w:eastAsia="Arial" w:hAnsi="Arial"/>
          <w:sz w:val="20"/>
          <w:szCs w:val="20"/>
          <w:color w:val="auto"/>
        </w:rPr>
        <w:t>Title: CFO and Treasurer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ADAPT PHARMA INC., as Guarantor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Richard S. Lindahl</w:t>
      </w:r>
    </w:p>
    <w:p>
      <w:pPr>
        <w:ind w:left="692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00"/>
        <w:spacing w:after="0" w:line="260" w:lineRule="auto"/>
        <w:rPr>
          <w:sz w:val="20"/>
          <w:szCs w:val="20"/>
          <w:color w:val="auto"/>
        </w:rPr>
      </w:pPr>
      <w:r>
        <w:rPr>
          <w:rFonts w:ascii="Arial" w:cs="Arial" w:eastAsia="Arial" w:hAnsi="Arial"/>
          <w:sz w:val="20"/>
          <w:szCs w:val="20"/>
          <w:color w:val="auto"/>
        </w:rPr>
        <w:t>WELLS FARGO BANK, NATIONAL ASSOCIATION, as Administrative Agent, Swingline Lender, Issuing Lender and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Kent S. Davis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Kent S. Davis</w:t>
      </w:r>
    </w:p>
    <w:p>
      <w:pPr>
        <w:ind w:left="62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JPMORGAN CHASE BANK, N.A.,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Anthony Galea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165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Anthony Galea</w:t>
      </w:r>
    </w:p>
    <w:p>
      <w:pPr>
        <w:ind w:left="6260"/>
        <w:spacing w:after="0"/>
        <w:rPr>
          <w:sz w:val="20"/>
          <w:szCs w:val="20"/>
          <w:color w:val="auto"/>
        </w:rPr>
      </w:pPr>
      <w:r>
        <w:rPr>
          <w:rFonts w:ascii="Arial" w:cs="Arial" w:eastAsia="Arial" w:hAnsi="Arial"/>
          <w:sz w:val="20"/>
          <w:szCs w:val="20"/>
          <w:color w:val="auto"/>
        </w:rPr>
        <w:t>Title: Executive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PNC BANK, NATIONAL ASSOCIATION, as Lender</w:t>
      </w:r>
    </w:p>
    <w:p>
      <w:pPr>
        <w:sectPr>
          <w:pgSz w:w="11900" w:h="16838" w:orient="portrait"/>
          <w:cols w:equalWidth="0" w:num="1">
            <w:col w:w="10060"/>
          </w:cols>
          <w:pgMar w:left="1440" w:top="122" w:right="399" w:bottom="0" w:gutter="0" w:footer="0" w:header="0"/>
        </w:sectPr>
      </w:pPr>
    </w:p>
    <w:bookmarkStart w:id="76" w:name="page77"/>
    <w:bookmarkEnd w:id="76"/>
    <w:p>
      <w:pPr>
        <w:spacing w:after="0" w:line="3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51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0"/>
          <w:szCs w:val="20"/>
          <w:color w:val="auto"/>
        </w:rPr>
        <w:t>Name: Eric H. Williams</w:t>
      </w:r>
    </w:p>
    <w:p>
      <w:pPr>
        <w:ind w:left="62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ROYAL BANK OF CANADA, as Lender</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Steven T.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54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6"/>
          <w:szCs w:val="16"/>
          <w:color w:val="auto"/>
        </w:rPr>
        <w:t>Name: Steven T. Bachman</w:t>
      </w:r>
    </w:p>
    <w:p>
      <w:pPr>
        <w:spacing w:after="0" w:line="46"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BMO HARRIS BANK, N.A.,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Eric Oppenheimer</w:t>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Eric Oppenheimer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CAPITAL ONE, N.A.,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Jeffrey Schaal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Jeffrey Schaal</w:t>
      </w:r>
    </w:p>
    <w:p>
      <w:pPr>
        <w:ind w:left="6260"/>
        <w:spacing w:after="0"/>
        <w:rPr>
          <w:sz w:val="20"/>
          <w:szCs w:val="20"/>
          <w:color w:val="auto"/>
        </w:rPr>
      </w:pPr>
      <w:r>
        <w:rPr>
          <w:rFonts w:ascii="Arial" w:cs="Arial" w:eastAsia="Arial" w:hAnsi="Arial"/>
          <w:sz w:val="19"/>
          <w:szCs w:val="19"/>
          <w:color w:val="auto"/>
        </w:rPr>
        <w:t>Title: Duly Authorized Signatory</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CITIZENS BANK, N.A.,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Jack J. Euston</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Jack J. Euston</w:t>
      </w:r>
    </w:p>
    <w:p>
      <w:pPr>
        <w:ind w:left="626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MUFG UNION BANK, N.A.,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Teuta Ghilaga</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Teuta Ghilaga</w:t>
      </w:r>
    </w:p>
    <w:p>
      <w:pPr>
        <w:ind w:left="62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REGIONS BANK,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Ned Spitzer</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Ned Spitzer</w:t>
      </w:r>
    </w:p>
    <w:p>
      <w:pPr>
        <w:ind w:left="626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SUNTRUST BANK,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Katherine Bass</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Katherine Bass</w:t>
      </w:r>
    </w:p>
    <w:p>
      <w:pPr>
        <w:ind w:left="626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THE HUNTINGTON NATIONAL BANK,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Joseph A. Miller</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Joseph A. Miller</w:t>
      </w:r>
    </w:p>
    <w:p>
      <w:pPr>
        <w:ind w:left="62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BANK OF AMERICA, N.A., as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 Hope Walker</w:t>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H. Hope Walker</w:t>
      </w:r>
    </w:p>
    <w:p>
      <w:pPr>
        <w:sectPr>
          <w:pgSz w:w="11900" w:h="16870" w:orient="portrait"/>
          <w:cols w:equalWidth="0" w:num="1">
            <w:col w:w="9020"/>
          </w:cols>
          <w:pgMar w:left="1440" w:top="352" w:right="1439" w:bottom="0" w:gutter="0" w:footer="0" w:header="0"/>
        </w:sectPr>
      </w:pPr>
    </w:p>
    <w:bookmarkStart w:id="77" w:name="page78"/>
    <w:bookmarkEnd w:id="77"/>
    <w:p>
      <w:pPr>
        <w:ind w:left="6260"/>
        <w:spacing w:after="0"/>
        <w:rPr>
          <w:sz w:val="20"/>
          <w:szCs w:val="20"/>
          <w:color w:val="auto"/>
        </w:rPr>
      </w:pPr>
      <w:r>
        <w:rPr>
          <w:rFonts w:ascii="Arial" w:cs="Arial" w:eastAsia="Arial" w:hAnsi="Arial"/>
          <w:sz w:val="20"/>
          <w:szCs w:val="20"/>
          <w:color w:val="auto"/>
        </w:rPr>
        <w:t>Title: Senior Vice President</w:t>
      </w:r>
    </w:p>
    <w:p>
      <w:pPr>
        <w:spacing w:after="0" w:line="23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BANK OF THE WEST,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Harry Yergey</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Harry Yergey</w:t>
      </w:r>
    </w:p>
    <w:p>
      <w:pPr>
        <w:ind w:left="62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Weinert</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Michael Weinert</w:t>
      </w:r>
    </w:p>
    <w:p>
      <w:pPr>
        <w:ind w:left="62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DNB CAPITAL LLC,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Kristi Birkeland Sorensen</w:t>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Kristi Birkeland Sorensen</w:t>
      </w:r>
    </w:p>
    <w:p>
      <w:pPr>
        <w:spacing w:after="0" w:line="22"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Title: Senior Vice President</w:t>
      </w:r>
    </w:p>
    <w:p>
      <w:pPr>
        <w:ind w:left="2700"/>
        <w:spacing w:after="0"/>
        <w:rPr>
          <w:sz w:val="20"/>
          <w:szCs w:val="20"/>
          <w:color w:val="auto"/>
        </w:rPr>
      </w:pPr>
      <w:r>
        <w:rPr>
          <w:rFonts w:ascii="Arial" w:cs="Arial" w:eastAsia="Arial" w:hAnsi="Arial"/>
          <w:sz w:val="20"/>
          <w:szCs w:val="20"/>
          <w:color w:val="auto"/>
        </w:rPr>
        <w:t>Head of Corporate Banking</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Devan Patel</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Devan Patel</w:t>
      </w:r>
    </w:p>
    <w:p>
      <w:pPr>
        <w:ind w:left="62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FIRST NATIONAL BANK,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Douglas T. Brown</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Douglas T. Brown</w:t>
      </w:r>
    </w:p>
    <w:p>
      <w:pPr>
        <w:ind w:left="62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FIFTH THIRD BANK,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Vera B. McEvoy</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Vera B. McEvoy</w:t>
      </w:r>
    </w:p>
    <w:p>
      <w:pPr>
        <w:ind w:left="6260"/>
        <w:spacing w:after="0"/>
        <w:rPr>
          <w:sz w:val="20"/>
          <w:szCs w:val="20"/>
          <w:color w:val="auto"/>
        </w:rPr>
      </w:pPr>
      <w:r>
        <w:rPr>
          <w:rFonts w:ascii="Arial" w:cs="Arial" w:eastAsia="Arial" w:hAnsi="Arial"/>
          <w:sz w:val="20"/>
          <w:szCs w:val="20"/>
          <w:color w:val="auto"/>
        </w:rPr>
        <w:t>Title: Director II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HSBC BANK USA, N.A.,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Reed R. Menefee</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Reed R. Menefee</w:t>
      </w:r>
    </w:p>
    <w:p>
      <w:pPr>
        <w:ind w:left="62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MORGAN STANLEY BANK,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Jackson Eng</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Jackson Eng</w:t>
      </w:r>
    </w:p>
    <w:p>
      <w:pPr>
        <w:ind w:left="62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TD BANK, N.A., as a Lender</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Shivani Agarwal</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Shivani Agarwal</w:t>
      </w:r>
    </w:p>
    <w:p>
      <w:pPr>
        <w:ind w:left="62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540"/>
          </w:cols>
          <w:pgMar w:left="1440" w:top="121" w:right="919" w:bottom="0" w:gutter="0" w:footer="0" w:header="0"/>
        </w:sectPr>
      </w:pPr>
    </w:p>
    <w:bookmarkStart w:id="78" w:name="page79"/>
    <w:bookmarkEnd w:id="78"/>
    <w:p>
      <w:pPr>
        <w:ind w:left="3900"/>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Tom Priedeman</w:t>
      </w:r>
    </w:p>
    <w:p>
      <w:pPr>
        <w:spacing w:after="0" w:line="15" w:lineRule="exact"/>
        <w:rPr>
          <w:sz w:val="20"/>
          <w:szCs w:val="20"/>
          <w:color w:val="auto"/>
        </w:rPr>
      </w:pPr>
    </w:p>
    <w:p>
      <w:pPr>
        <w:jc w:val="right"/>
        <w:ind w:right="279"/>
        <w:spacing w:after="0"/>
        <w:rPr>
          <w:sz w:val="20"/>
          <w:szCs w:val="20"/>
          <w:color w:val="auto"/>
        </w:rPr>
      </w:pPr>
      <w:r>
        <w:rPr>
          <w:rFonts w:ascii="Arial" w:cs="Arial" w:eastAsia="Arial" w:hAnsi="Arial"/>
          <w:sz w:val="20"/>
          <w:szCs w:val="20"/>
          <w:color w:val="auto"/>
        </w:rPr>
        <w:t>Name: Tom Priedeman</w:t>
      </w:r>
    </w:p>
    <w:p>
      <w:pPr>
        <w:jc w:val="center"/>
        <w:ind w:right="159"/>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117427862_4</w:t>
      </w:r>
    </w:p>
    <w:p>
      <w:pPr>
        <w:sectPr>
          <w:pgSz w:w="11900" w:h="16838" w:orient="portrait"/>
          <w:cols w:equalWidth="0" w:num="1">
            <w:col w:w="10219"/>
          </w:cols>
          <w:pgMar w:left="240" w:top="121"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Sr., certify that:</w:t>
      </w:r>
    </w:p>
    <w:p>
      <w:pPr>
        <w:spacing w:after="0" w:line="171"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198" w:lineRule="exact"/>
        <w:rPr>
          <w:rFonts w:ascii="Arial" w:cs="Arial" w:eastAsia="Arial" w:hAnsi="Arial"/>
          <w:sz w:val="18"/>
          <w:szCs w:val="18"/>
          <w:color w:val="auto"/>
        </w:rPr>
      </w:pPr>
    </w:p>
    <w:p>
      <w:pPr>
        <w:ind w:left="260" w:right="40" w:hanging="252"/>
        <w:spacing w:after="0" w:line="256" w:lineRule="auto"/>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260" w:right="420" w:hanging="252"/>
        <w:spacing w:after="0" w:line="291" w:lineRule="auto"/>
        <w:tabs>
          <w:tab w:leader="none" w:pos="2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260" w:right="80" w:hanging="252"/>
        <w:spacing w:after="0" w:line="256" w:lineRule="auto"/>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left="260" w:right="40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sz w:val="20"/>
          <w:szCs w:val="20"/>
          <w:color w:val="auto"/>
        </w:rPr>
      </w:pPr>
    </w:p>
    <w:p>
      <w:pPr>
        <w:ind w:left="260" w:right="30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sz w:val="20"/>
          <w:szCs w:val="20"/>
          <w:color w:val="auto"/>
        </w:rPr>
      </w:pPr>
    </w:p>
    <w:p>
      <w:pPr>
        <w:jc w:val="both"/>
        <w:ind w:left="260" w:right="320" w:hanging="252"/>
        <w:spacing w:after="0" w:line="291" w:lineRule="auto"/>
        <w:tabs>
          <w:tab w:leader="none" w:pos="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sz w:val="20"/>
          <w:szCs w:val="20"/>
          <w:color w:val="auto"/>
        </w:rPr>
      </w:pPr>
    </w:p>
    <w:p>
      <w:pPr>
        <w:ind w:left="260" w:right="16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ind w:left="260" w:right="120" w:hanging="252"/>
        <w:spacing w:after="0" w:line="291" w:lineRule="auto"/>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left="260" w:right="84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sz w:val="20"/>
          <w:szCs w:val="20"/>
          <w:color w:val="auto"/>
        </w:rPr>
      </w:pPr>
    </w:p>
    <w:p>
      <w:pPr>
        <w:ind w:left="260" w:right="44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5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171"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198" w:lineRule="exact"/>
        <w:rPr>
          <w:rFonts w:ascii="Arial" w:cs="Arial" w:eastAsia="Arial" w:hAnsi="Arial"/>
          <w:sz w:val="18"/>
          <w:szCs w:val="18"/>
          <w:color w:val="auto"/>
        </w:rPr>
      </w:pPr>
    </w:p>
    <w:p>
      <w:pPr>
        <w:ind w:left="260" w:right="40" w:hanging="252"/>
        <w:spacing w:after="0" w:line="256" w:lineRule="auto"/>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260" w:right="420" w:hanging="252"/>
        <w:spacing w:after="0" w:line="291" w:lineRule="auto"/>
        <w:tabs>
          <w:tab w:leader="none" w:pos="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260" w:right="80" w:hanging="252"/>
        <w:spacing w:after="0" w:line="256" w:lineRule="auto"/>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left="260" w:right="40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sz w:val="20"/>
          <w:szCs w:val="20"/>
          <w:color w:val="auto"/>
        </w:rPr>
      </w:pPr>
    </w:p>
    <w:p>
      <w:pPr>
        <w:ind w:left="260" w:right="30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sz w:val="20"/>
          <w:szCs w:val="20"/>
          <w:color w:val="auto"/>
        </w:rPr>
      </w:pPr>
    </w:p>
    <w:p>
      <w:pPr>
        <w:jc w:val="both"/>
        <w:ind w:left="260" w:right="320" w:hanging="252"/>
        <w:spacing w:after="0" w:line="291" w:lineRule="auto"/>
        <w:tabs>
          <w:tab w:leader="none" w:pos="2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sz w:val="20"/>
          <w:szCs w:val="20"/>
          <w:color w:val="auto"/>
        </w:rPr>
      </w:pPr>
    </w:p>
    <w:p>
      <w:pPr>
        <w:ind w:left="260" w:right="16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ind w:left="260" w:right="120" w:hanging="252"/>
        <w:spacing w:after="0" w:line="291" w:lineRule="auto"/>
        <w:tabs>
          <w:tab w:leader="none" w:pos="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left="260" w:right="84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sz w:val="20"/>
          <w:szCs w:val="20"/>
          <w:color w:val="auto"/>
        </w:rPr>
      </w:pPr>
    </w:p>
    <w:p>
      <w:pPr>
        <w:ind w:left="260" w:right="44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5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2019 as filed with the Securities and Exchange Commission on the date hereof (the "Report"), the undersigned, Robert G. Kramer, Sr., Chief Executive Officer of the Company, hereby certifies, pursuant to 18 U.S.C. Section 1350, that:</w:t>
      </w:r>
    </w:p>
    <w:p>
      <w:pPr>
        <w:spacing w:after="0" w:line="202"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right="600" w:hanging="252"/>
        <w:spacing w:after="0" w:line="262" w:lineRule="auto"/>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2019 as filed with the Securities and Exchange Commission on the date hereof (the "Report"), the undersigned, Richard S. Lindahl, Chief Financial Officer of the Company, hereby certifies, pursuant to 18 U.S.C. Section 1350, that: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ind w:left="260" w:right="600" w:hanging="229"/>
        <w:spacing w:after="0" w:line="309"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2"/>
    </w:lvl>
  </w:abstractNum>
  <w:abstractNum w:abstractNumId="5">
    <w:nsid w:val="684A481A"/>
    <w:multiLevelType w:val="hybridMultilevel"/>
    <w:lvl w:ilvl="0">
      <w:lvlJc w:val="left"/>
      <w:lvlText w:val="%1."/>
      <w:numFmt w:val="decimal"/>
      <w:start w:val="3"/>
    </w:lvl>
  </w:abstractNum>
  <w:abstractNum w:abstractNumId="6">
    <w:nsid w:val="579478FE"/>
    <w:multiLevelType w:val="hybridMultilevel"/>
    <w:lvl w:ilvl="0">
      <w:lvlJc w:val="left"/>
      <w:lvlText w:val="%1."/>
      <w:numFmt w:val="decimal"/>
      <w:start w:val="4"/>
    </w:lvl>
  </w:abstractNum>
  <w:abstractNum w:abstractNumId="7">
    <w:nsid w:val="749ABB43"/>
    <w:multiLevelType w:val="hybridMultilevel"/>
    <w:lvl w:ilvl="0">
      <w:lvlJc w:val="left"/>
      <w:lvlText w:val="%1."/>
      <w:numFmt w:val="decimal"/>
      <w:start w:val="5"/>
    </w:lvl>
  </w:abstractNum>
  <w:abstractNum w:abstractNumId="8">
    <w:nsid w:val="3DC240FB"/>
    <w:multiLevelType w:val="hybridMultilevel"/>
    <w:lvl w:ilvl="0">
      <w:lvlJc w:val="left"/>
      <w:lvlText w:val="%1."/>
      <w:numFmt w:val="decimal"/>
      <w:start w:val="6"/>
    </w:lvl>
  </w:abstractNum>
  <w:abstractNum w:abstractNumId="9">
    <w:nsid w:val="1BA026FA"/>
    <w:multiLevelType w:val="hybridMultilevel"/>
    <w:lvl w:ilvl="0">
      <w:lvlJc w:val="left"/>
      <w:lvlText w:val="%1."/>
      <w:numFmt w:val="decimal"/>
      <w:start w:val="7"/>
    </w:lvl>
  </w:abstractNum>
  <w:abstractNum w:abstractNumId="10">
    <w:nsid w:val="79A1DEAA"/>
    <w:multiLevelType w:val="hybridMultilevel"/>
    <w:lvl w:ilvl="0">
      <w:lvlJc w:val="left"/>
      <w:lvlText w:val="%1."/>
      <w:numFmt w:val="decimal"/>
      <w:start w:val="8"/>
    </w:lvl>
  </w:abstractNum>
  <w:abstractNum w:abstractNumId="11">
    <w:nsid w:val="75C6C33A"/>
    <w:multiLevelType w:val="hybridMultilevel"/>
    <w:lvl w:ilvl="0">
      <w:lvlJc w:val="left"/>
      <w:lvlText w:val="%1."/>
      <w:numFmt w:val="decimal"/>
      <w:start w:val="9"/>
    </w:lvl>
  </w:abstractNum>
  <w:abstractNum w:abstractNumId="12">
    <w:nsid w:val="12E685FB"/>
    <w:multiLevelType w:val="hybridMultilevel"/>
    <w:lvl w:ilvl="0">
      <w:lvlJc w:val="left"/>
      <w:lvlText w:val="%1."/>
      <w:numFmt w:val="decimal"/>
      <w:start w:val="11"/>
    </w:lvl>
  </w:abstractNum>
  <w:abstractNum w:abstractNumId="13">
    <w:nsid w:val="70C6A529"/>
    <w:multiLevelType w:val="hybridMultilevel"/>
    <w:lvl w:ilvl="0">
      <w:lvlJc w:val="left"/>
      <w:lvlText w:val="%1."/>
      <w:numFmt w:val="decimal"/>
      <w:start w:val="12"/>
    </w:lvl>
  </w:abstractNum>
  <w:abstractNum w:abstractNumId="14">
    <w:nsid w:val="520EEDD1"/>
    <w:multiLevelType w:val="hybridMultilevel"/>
    <w:lvl w:ilvl="0">
      <w:lvlJc w:val="left"/>
      <w:lvlText w:val="%1."/>
      <w:numFmt w:val="decimal"/>
      <w:start w:val="13"/>
    </w:lvl>
  </w:abstractNum>
  <w:abstractNum w:abstractNumId="15">
    <w:nsid w:val="374A3FE6"/>
    <w:multiLevelType w:val="hybridMultilevel"/>
    <w:lvl w:ilvl="0">
      <w:lvlJc w:val="left"/>
      <w:lvlText w:val="%1."/>
      <w:numFmt w:val="decimal"/>
      <w:start w:val="14"/>
    </w:lvl>
  </w:abstractNum>
  <w:abstractNum w:abstractNumId="16">
    <w:nsid w:val="4F4EF005"/>
    <w:multiLevelType w:val="hybridMultilevel"/>
    <w:lvl w:ilvl="0">
      <w:lvlJc w:val="left"/>
      <w:lvlText w:val="%1."/>
      <w:numFmt w:val="decimal"/>
      <w:start w:val="15"/>
    </w:lvl>
  </w:abstractNum>
  <w:abstractNum w:abstractNumId="17">
    <w:nsid w:val="23F9C13C"/>
    <w:multiLevelType w:val="hybridMultilevel"/>
    <w:lvl w:ilvl="0">
      <w:lvlJc w:val="left"/>
      <w:lvlText w:val="%1."/>
      <w:numFmt w:val="decimal"/>
      <w:start w:val="16"/>
    </w:lvl>
  </w:abstractNum>
  <w:abstractNum w:abstractNumId="18">
    <w:nsid w:val="649BB77C"/>
    <w:multiLevelType w:val="hybridMultilevel"/>
    <w:lvl w:ilvl="0">
      <w:lvlJc w:val="left"/>
      <w:lvlText w:val="%1."/>
      <w:numFmt w:val="decimal"/>
      <w:start w:val="17"/>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l"/>
      <w:numFmt w:val="bullet"/>
      <w:start w:val="1"/>
    </w:lvl>
  </w:abstractNum>
  <w:abstractNum w:abstractNumId="25">
    <w:nsid w:val="354FE9F9"/>
    <w:multiLevelType w:val="hybridMultilevel"/>
    <w:lvl w:ilvl="0">
      <w:lvlJc w:val="left"/>
      <w:lvlText w:val="l"/>
      <w:numFmt w:val="bullet"/>
      <w:start w:val="1"/>
    </w:lvl>
  </w:abstractNum>
  <w:abstractNum w:abstractNumId="26">
    <w:nsid w:val="15B5AF5C"/>
    <w:multiLevelType w:val="hybridMultilevel"/>
    <w:lvl w:ilvl="0">
      <w:lvlJc w:val="left"/>
      <w:lvlText w:val="l"/>
      <w:numFmt w:val="bullet"/>
      <w:start w:val="1"/>
    </w:lvl>
  </w:abstractNum>
  <w:abstractNum w:abstractNumId="27">
    <w:nsid w:val="741226BB"/>
    <w:multiLevelType w:val="hybridMultilevel"/>
    <w:lvl w:ilvl="0">
      <w:lvlJc w:val="left"/>
      <w:lvlText w:val="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lvl w:ilvl="1">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lowerRoman"/>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lowerRoman"/>
      <w:start w:val="2"/>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lowerRoman"/>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lowerLetter"/>
      <w:start w:val="3"/>
    </w:lvl>
  </w:abstractNum>
  <w:abstractNum w:abstractNumId="69">
    <w:nsid w:val="60B6DF70"/>
    <w:multiLevelType w:val="hybridMultilevel"/>
    <w:lvl w:ilvl="0">
      <w:lvlJc w:val="left"/>
      <w:lvlText w:val="%1."/>
      <w:numFmt w:val="decimal"/>
      <w:start w:val="13"/>
    </w:lvl>
  </w:abstractNum>
  <w:abstractNum w:abstractNumId="70">
    <w:nsid w:val="6A5EE64"/>
    <w:multiLevelType w:val="hybridMultilevel"/>
    <w:lvl w:ilvl="0">
      <w:lvlJc w:val="left"/>
      <w:lvlText w:val="%1."/>
      <w:numFmt w:val="decimal"/>
      <w:start w:val="14"/>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4"/>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lowerLetter"/>
      <w:start w:val="2"/>
    </w:lvl>
  </w:abstractNum>
  <w:abstractNum w:abstractNumId="77">
    <w:nsid w:val="6EB5BD4"/>
    <w:multiLevelType w:val="hybridMultilevel"/>
    <w:lvl w:ilvl="0">
      <w:lvlJc w:val="left"/>
      <w:lvlText w:val="(%1)"/>
      <w:numFmt w:val="lowerLetter"/>
      <w:start w:val="3"/>
    </w:lvl>
  </w:abstractNum>
  <w:abstractNum w:abstractNumId="78">
    <w:nsid w:val="6F6DD9AC"/>
    <w:multiLevelType w:val="hybridMultilevel"/>
    <w:lvl w:ilvl="0">
      <w:lvlJc w:val="left"/>
      <w:lvlText w:val="(%1)"/>
      <w:numFmt w:val="lowerLetter"/>
      <w:start w:val="8"/>
    </w:lvl>
  </w:abstractNum>
  <w:abstractNum w:abstractNumId="79">
    <w:nsid w:val="94211F2"/>
    <w:multiLevelType w:val="hybridMultilevel"/>
    <w:lvl w:ilvl="0">
      <w:lvlJc w:val="left"/>
      <w:lvlText w:val="%1"/>
      <w:numFmt w:val="lowerLetter"/>
      <w:start w:val="1"/>
    </w:lvl>
    <w:lvl w:ilvl="1">
      <w:lvlJc w:val="left"/>
      <w:lvlText w:val="(%2)"/>
      <w:numFmt w:val="lowerLetter"/>
      <w:start w:val="1"/>
    </w:lvl>
  </w:abstractNum>
  <w:abstractNum w:abstractNumId="80">
    <w:nsid w:val="885E1B"/>
    <w:multiLevelType w:val="hybridMultilevel"/>
    <w:lvl w:ilvl="0">
      <w:lvlJc w:val="left"/>
      <w:lvlText w:val="(%1)"/>
      <w:numFmt w:val="lowerLetter"/>
      <w:start w:val="2"/>
    </w:lvl>
    <w:lvl w:ilvl="1">
      <w:lvlJc w:val="left"/>
      <w:lvlText w:val="%2"/>
      <w:numFmt w:val="lowerLetter"/>
      <w:start w:val="1"/>
    </w:lvl>
  </w:abstractNum>
  <w:abstractNum w:abstractNumId="81">
    <w:nsid w:val="76272110"/>
    <w:multiLevelType w:val="hybridMultilevel"/>
    <w:lvl w:ilvl="0">
      <w:lvlJc w:val="left"/>
      <w:lvlText w:val="(%1)"/>
      <w:numFmt w:val="lowerRoman"/>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4"/>
    </w:lvl>
  </w:abstractNum>
  <w:abstractNum w:abstractNumId="84">
    <w:nsid w:val="14E17E33"/>
    <w:multiLevelType w:val="hybridMultilevel"/>
    <w:lvl w:ilvl="0">
      <w:lvlJc w:val="left"/>
      <w:lvlText w:val="(%1)"/>
      <w:numFmt w:val="lowerLetter"/>
      <w:start w:val="3"/>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lowerLetter"/>
      <w:start w:val="3"/>
    </w:lvl>
  </w:abstractNum>
  <w:abstractNum w:abstractNumId="87">
    <w:nsid w:val="68EBC550"/>
    <w:multiLevelType w:val="hybridMultilevel"/>
    <w:lvl w:ilvl="0">
      <w:lvlJc w:val="left"/>
      <w:lvlText w:val="(%1)"/>
      <w:numFmt w:val="decimal"/>
      <w:start w:val="5"/>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lowerLetter"/>
      <w:start w:val="3"/>
    </w:lvl>
  </w:abstractNum>
  <w:abstractNum w:abstractNumId="90">
    <w:nsid w:val="4A2AC315"/>
    <w:multiLevelType w:val="hybridMultilevel"/>
    <w:lvl w:ilvl="0">
      <w:lvlJc w:val="left"/>
      <w:lvlText w:val="(%1)"/>
      <w:numFmt w:val="decimal"/>
      <w:start w:val="5"/>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2019-12-28T08:50:05Z</dcterms:created>
  <dcterms:modified xsi:type="dcterms:W3CDTF">2019-12-28T08:50:05Z</dcterms:modified>
</cp:coreProperties>
</file>